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73" w:rsidRDefault="00943760" w:rsidP="00E01173">
      <w:pPr>
        <w:widowControl w:val="0"/>
        <w:tabs>
          <w:tab w:val="right" w:pos="9540"/>
        </w:tabs>
        <w:spacing w:after="120" w:line="240" w:lineRule="auto"/>
        <w:ind w:right="690"/>
        <w:rPr>
          <w:rFonts w:ascii="Times New Roman" w:hAnsi="Times New Roman" w:cs="Times New Roman"/>
          <w:b/>
          <w:bCs/>
          <w:sz w:val="24"/>
          <w:szCs w:val="24"/>
        </w:rPr>
      </w:pPr>
      <w:r w:rsidRPr="00943760">
        <w:rPr>
          <w:rFonts w:ascii="Times New Roman" w:hAnsi="Times New Roman" w:cs="Times New Roman"/>
          <w:b/>
          <w:bCs/>
          <w:sz w:val="24"/>
          <w:szCs w:val="24"/>
        </w:rPr>
        <w:t>Partner Study Drug Interruption</w:t>
      </w:r>
      <w:r w:rsidR="0013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7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618E" w:rsidRPr="007D03D4" w:rsidRDefault="0013618E" w:rsidP="00E01173">
      <w:pPr>
        <w:widowControl w:val="0"/>
        <w:tabs>
          <w:tab w:val="right" w:pos="9540"/>
        </w:tabs>
        <w:spacing w:after="120" w:line="240" w:lineRule="auto"/>
        <w:ind w:right="6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230"/>
        <w:gridCol w:w="2430"/>
      </w:tblGrid>
      <w:tr w:rsidR="00E01173" w:rsidRPr="00AD63AF" w:rsidTr="00BD74EA">
        <w:trPr>
          <w:trHeight w:val="1245"/>
        </w:trPr>
        <w:tc>
          <w:tcPr>
            <w:tcW w:w="3690" w:type="dxa"/>
            <w:tcBorders>
              <w:bottom w:val="single" w:sz="4" w:space="0" w:color="auto"/>
            </w:tcBorders>
          </w:tcPr>
          <w:p w:rsidR="00E01173" w:rsidRPr="00AD63AF" w:rsidRDefault="00E01173" w:rsidP="00BD74EA">
            <w:pPr>
              <w:rPr>
                <w:rFonts w:ascii="Times New Roman" w:hAnsi="Times New Roman" w:cs="Times New Roman"/>
              </w:rPr>
            </w:pPr>
            <w:r w:rsidRPr="00AD63AF">
              <w:rPr>
                <w:rFonts w:ascii="Times New Roman" w:hAnsi="Times New Roman" w:cs="Times New Roman"/>
              </w:rPr>
              <w:t>Screening ID:</w:t>
            </w:r>
          </w:p>
          <w:tbl>
            <w:tblPr>
              <w:tblStyle w:val="TableGrid"/>
              <w:tblW w:w="357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5"/>
              <w:gridCol w:w="265"/>
              <w:gridCol w:w="265"/>
              <w:gridCol w:w="265"/>
              <w:gridCol w:w="340"/>
              <w:gridCol w:w="425"/>
              <w:gridCol w:w="425"/>
              <w:gridCol w:w="426"/>
              <w:gridCol w:w="425"/>
            </w:tblGrid>
            <w:tr w:rsidR="00E01173" w:rsidRPr="00AD63AF" w:rsidTr="00BD74EA">
              <w:tc>
                <w:tcPr>
                  <w:tcW w:w="236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bottom w:val="nil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173" w:rsidRPr="00AD63AF" w:rsidRDefault="00E01173" w:rsidP="00BD74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3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Site            Study         Screening Number</w:t>
            </w:r>
          </w:p>
        </w:tc>
        <w:tc>
          <w:tcPr>
            <w:tcW w:w="4230" w:type="dxa"/>
          </w:tcPr>
          <w:p w:rsidR="00E01173" w:rsidRPr="00AD63AF" w:rsidRDefault="00E01173" w:rsidP="00BD74EA">
            <w:pPr>
              <w:rPr>
                <w:rFonts w:ascii="Times New Roman" w:hAnsi="Times New Roman" w:cs="Times New Roman"/>
              </w:rPr>
            </w:pPr>
            <w:r w:rsidRPr="00AD63AF">
              <w:rPr>
                <w:rFonts w:ascii="Times New Roman" w:hAnsi="Times New Roman" w:cs="Times New Roman"/>
              </w:rPr>
              <w:t>Participant ID: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01173" w:rsidRPr="00AD63AF" w:rsidTr="00BD74EA">
              <w:tc>
                <w:tcPr>
                  <w:tcW w:w="313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173" w:rsidRPr="00AD63AF" w:rsidRDefault="00E01173" w:rsidP="00BD74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Site                 Study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Couple              I/P </w:t>
            </w: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Chk</w:t>
            </w:r>
            <w:proofErr w:type="spellEnd"/>
          </w:p>
        </w:tc>
        <w:tc>
          <w:tcPr>
            <w:tcW w:w="2430" w:type="dxa"/>
          </w:tcPr>
          <w:p w:rsidR="00E01173" w:rsidRPr="00AD63AF" w:rsidRDefault="00E01173" w:rsidP="00BD74EA">
            <w:pPr>
              <w:rPr>
                <w:rFonts w:ascii="Times New Roman" w:hAnsi="Times New Roman" w:cs="Times New Roman"/>
              </w:rPr>
            </w:pPr>
            <w:r w:rsidRPr="00AD63AF">
              <w:rPr>
                <w:rFonts w:ascii="Times New Roman" w:hAnsi="Times New Roman" w:cs="Times New Roman"/>
              </w:rPr>
              <w:t>Visit Date: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1173" w:rsidRPr="00AD63AF" w:rsidTr="00BD74EA">
              <w:tc>
                <w:tcPr>
                  <w:tcW w:w="323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E01173" w:rsidRPr="00AD63AF" w:rsidRDefault="00E01173" w:rsidP="00BD74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173" w:rsidRPr="00AD63AF" w:rsidRDefault="00E01173" w:rsidP="00BD74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63A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mm            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yy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</w:tr>
    </w:tbl>
    <w:p w:rsidR="001426E0" w:rsidRPr="001426E0" w:rsidRDefault="001426E0" w:rsidP="008112E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720"/>
        <w:gridCol w:w="3971"/>
        <w:gridCol w:w="799"/>
        <w:gridCol w:w="162"/>
        <w:gridCol w:w="558"/>
        <w:gridCol w:w="316"/>
        <w:gridCol w:w="62"/>
        <w:gridCol w:w="522"/>
        <w:gridCol w:w="1027"/>
        <w:gridCol w:w="1049"/>
        <w:gridCol w:w="1164"/>
      </w:tblGrid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68" w:type="dxa"/>
            <w:gridSpan w:val="6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Date study medication discontinued:</w:t>
            </w:r>
          </w:p>
        </w:tc>
        <w:tc>
          <w:tcPr>
            <w:tcW w:w="376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1173" w:rsidRPr="00AD63AF" w:rsidTr="00BD74EA">
              <w:tc>
                <w:tcPr>
                  <w:tcW w:w="323" w:type="dxa"/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26E0" w:rsidRPr="001426E0" w:rsidRDefault="00E01173" w:rsidP="00991E2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3A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mm            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yy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0" w:type="dxa"/>
            <w:gridSpan w:val="10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Reason for interrupting or discontinuing study medication: </w:t>
            </w: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 all that apply.</w:t>
            </w:r>
          </w:p>
        </w:tc>
      </w:tr>
      <w:tr w:rsidR="00991E2E" w:rsidRPr="001426E0" w:rsidTr="00E01173">
        <w:tc>
          <w:tcPr>
            <w:tcW w:w="720" w:type="dxa"/>
          </w:tcPr>
          <w:p w:rsidR="00991E2E" w:rsidRPr="001426E0" w:rsidRDefault="00991E2E" w:rsidP="0099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70" w:type="dxa"/>
            <w:gridSpan w:val="2"/>
          </w:tcPr>
          <w:p w:rsidR="00991E2E" w:rsidRPr="001426E0" w:rsidRDefault="00991E2E" w:rsidP="0099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  <w:proofErr w:type="spellEnd"/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 Stop: Index partner has been on ARVs for over six months</w:t>
            </w:r>
          </w:p>
        </w:tc>
        <w:tc>
          <w:tcPr>
            <w:tcW w:w="720" w:type="dxa"/>
            <w:gridSpan w:val="2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00" w:type="dxa"/>
            <w:gridSpan w:val="3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3240" w:type="dxa"/>
            <w:gridSpan w:val="3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If yes </w:t>
            </w: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Complete </w:t>
            </w:r>
            <w:proofErr w:type="spellStart"/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PrEP</w:t>
            </w:r>
            <w:proofErr w:type="spellEnd"/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Stop Questionnaire</w:t>
            </w:r>
          </w:p>
        </w:tc>
      </w:tr>
      <w:tr w:rsidR="00991E2E" w:rsidRPr="001426E0" w:rsidTr="00E01173">
        <w:tc>
          <w:tcPr>
            <w:tcW w:w="720" w:type="dxa"/>
          </w:tcPr>
          <w:p w:rsidR="00991E2E" w:rsidRPr="001426E0" w:rsidRDefault="00991E2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68" w:type="dxa"/>
            <w:gridSpan w:val="6"/>
          </w:tcPr>
          <w:p w:rsidR="00991E2E" w:rsidRPr="001426E0" w:rsidRDefault="00991E2E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Participant is a possible HIV </w:t>
            </w:r>
            <w:proofErr w:type="spellStart"/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seroconverter</w:t>
            </w:r>
            <w:proofErr w:type="spellEnd"/>
          </w:p>
        </w:tc>
        <w:tc>
          <w:tcPr>
            <w:tcW w:w="1549" w:type="dxa"/>
            <w:gridSpan w:val="2"/>
          </w:tcPr>
          <w:p w:rsidR="00991E2E" w:rsidRPr="00991E2E" w:rsidRDefault="00991E2E" w:rsidP="007F302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2213" w:type="dxa"/>
            <w:gridSpan w:val="2"/>
          </w:tcPr>
          <w:p w:rsidR="00991E2E" w:rsidRPr="00991E2E" w:rsidRDefault="00991E2E" w:rsidP="007F302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 </w:t>
            </w:r>
          </w:p>
        </w:tc>
      </w:tr>
      <w:tr w:rsidR="00991E2E" w:rsidRPr="001426E0" w:rsidTr="00E01173">
        <w:tc>
          <w:tcPr>
            <w:tcW w:w="720" w:type="dxa"/>
          </w:tcPr>
          <w:p w:rsidR="00991E2E" w:rsidRPr="001426E0" w:rsidRDefault="00991E2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68" w:type="dxa"/>
            <w:gridSpan w:val="6"/>
          </w:tcPr>
          <w:p w:rsidR="00991E2E" w:rsidRPr="001426E0" w:rsidRDefault="00991E2E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Renal toxicity</w:t>
            </w:r>
          </w:p>
        </w:tc>
        <w:tc>
          <w:tcPr>
            <w:tcW w:w="1549" w:type="dxa"/>
            <w:gridSpan w:val="2"/>
          </w:tcPr>
          <w:p w:rsidR="00991E2E" w:rsidRPr="00991E2E" w:rsidRDefault="00991E2E" w:rsidP="007F302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2213" w:type="dxa"/>
            <w:gridSpan w:val="2"/>
          </w:tcPr>
          <w:p w:rsidR="00991E2E" w:rsidRPr="00991E2E" w:rsidRDefault="00991E2E" w:rsidP="007F302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 </w:t>
            </w: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8" w:type="dxa"/>
            <w:gridSpan w:val="6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Serious AE, and / or AE felt related to </w:t>
            </w:r>
            <w:proofErr w:type="spellStart"/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3762" w:type="dxa"/>
            <w:gridSpan w:val="4"/>
          </w:tcPr>
          <w:p w:rsidR="001426E0" w:rsidRPr="00991E2E" w:rsidRDefault="001426E0" w:rsidP="007F302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Complete Reportable Adverse Event</w:t>
            </w: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30" w:type="dxa"/>
            <w:gridSpan w:val="10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Adverse Event (other than renal toxicity or RAE), describe:</w:t>
            </w:r>
          </w:p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49193A" w:rsidP="0099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1" w:type="dxa"/>
          </w:tcPr>
          <w:p w:rsidR="001426E0" w:rsidRPr="001426E0" w:rsidRDefault="001426E0" w:rsidP="0099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Participant refused study medication</w:t>
            </w:r>
          </w:p>
          <w:p w:rsidR="001426E0" w:rsidRPr="001426E0" w:rsidRDefault="001426E0" w:rsidP="0099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(Specify reason in Comments.)</w:t>
            </w:r>
          </w:p>
        </w:tc>
        <w:tc>
          <w:tcPr>
            <w:tcW w:w="5659" w:type="dxa"/>
            <w:gridSpan w:val="9"/>
          </w:tcPr>
          <w:p w:rsidR="001426E0" w:rsidRPr="001426E0" w:rsidRDefault="001426E0" w:rsidP="00991E2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426E0" w:rsidRPr="001426E0" w:rsidRDefault="001426E0" w:rsidP="00991E2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426E0" w:rsidRPr="001426E0" w:rsidRDefault="001426E0" w:rsidP="00991E2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91E2E" w:rsidRPr="001426E0" w:rsidTr="00E01173">
        <w:tc>
          <w:tcPr>
            <w:tcW w:w="720" w:type="dxa"/>
          </w:tcPr>
          <w:p w:rsidR="00991E2E" w:rsidRPr="001426E0" w:rsidRDefault="0049193A" w:rsidP="0099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71" w:type="dxa"/>
          </w:tcPr>
          <w:p w:rsidR="00991E2E" w:rsidRPr="001426E0" w:rsidRDefault="00991E2E" w:rsidP="0099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Participant has had a positive pregnancy test </w:t>
            </w: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(women only)</w:t>
            </w:r>
          </w:p>
        </w:tc>
        <w:tc>
          <w:tcPr>
            <w:tcW w:w="961" w:type="dxa"/>
            <w:gridSpan w:val="2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874" w:type="dxa"/>
            <w:gridSpan w:val="2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 </w:t>
            </w:r>
          </w:p>
        </w:tc>
        <w:tc>
          <w:tcPr>
            <w:tcW w:w="3824" w:type="dxa"/>
            <w:gridSpan w:val="5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Complete Pregnancy Report</w:t>
            </w:r>
          </w:p>
        </w:tc>
      </w:tr>
      <w:tr w:rsidR="00991E2E" w:rsidRPr="001426E0" w:rsidTr="00E01173">
        <w:tc>
          <w:tcPr>
            <w:tcW w:w="720" w:type="dxa"/>
          </w:tcPr>
          <w:p w:rsidR="00991E2E" w:rsidRPr="001426E0" w:rsidRDefault="0049193A" w:rsidP="0099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71" w:type="dxa"/>
          </w:tcPr>
          <w:p w:rsidR="00991E2E" w:rsidRPr="001426E0" w:rsidRDefault="00991E2E" w:rsidP="0099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 xml:space="preserve">Participant is breastfeeding </w:t>
            </w: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(women only)</w:t>
            </w:r>
          </w:p>
        </w:tc>
        <w:tc>
          <w:tcPr>
            <w:tcW w:w="961" w:type="dxa"/>
            <w:gridSpan w:val="2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874" w:type="dxa"/>
            <w:gridSpan w:val="2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1E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 </w:t>
            </w:r>
          </w:p>
        </w:tc>
        <w:tc>
          <w:tcPr>
            <w:tcW w:w="3824" w:type="dxa"/>
            <w:gridSpan w:val="5"/>
            <w:shd w:val="clear" w:color="auto" w:fill="A6A6A6" w:themeFill="background1" w:themeFillShade="A6"/>
          </w:tcPr>
          <w:p w:rsidR="00991E2E" w:rsidRPr="00991E2E" w:rsidRDefault="00991E2E" w:rsidP="00991E2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49193A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971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Investigator decision, specify:</w:t>
            </w:r>
          </w:p>
        </w:tc>
        <w:tc>
          <w:tcPr>
            <w:tcW w:w="5659" w:type="dxa"/>
            <w:gridSpan w:val="9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Other reasons, specify:</w:t>
            </w:r>
          </w:p>
        </w:tc>
        <w:tc>
          <w:tcPr>
            <w:tcW w:w="5659" w:type="dxa"/>
            <w:gridSpan w:val="9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6E0" w:rsidRPr="001426E0" w:rsidTr="00E01173">
        <w:tc>
          <w:tcPr>
            <w:tcW w:w="10350" w:type="dxa"/>
            <w:gridSpan w:val="11"/>
          </w:tcPr>
          <w:p w:rsidR="001426E0" w:rsidRPr="001426E0" w:rsidRDefault="001426E0" w:rsidP="00142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Item 8</w:t>
            </w: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may be completed at a later time than items 1 &amp; 2. Fax this form again when study medication is re-established, when study medication is permanently discontinued, or when participant completes study follow-up without re-establishing study medication.</w:t>
            </w:r>
          </w:p>
        </w:tc>
      </w:tr>
      <w:tr w:rsidR="00640D8E" w:rsidRPr="001426E0" w:rsidTr="00E01173">
        <w:tc>
          <w:tcPr>
            <w:tcW w:w="720" w:type="dxa"/>
            <w:vMerge w:val="restart"/>
          </w:tcPr>
          <w:p w:rsidR="00640D8E" w:rsidRPr="001426E0" w:rsidRDefault="0049193A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1" w:type="dxa"/>
            <w:vMerge w:val="restart"/>
          </w:tcPr>
          <w:p w:rsidR="00640D8E" w:rsidRPr="001426E0" w:rsidRDefault="00640D8E" w:rsidP="00142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Date study medication re-established:</w:t>
            </w:r>
          </w:p>
        </w:tc>
        <w:tc>
          <w:tcPr>
            <w:tcW w:w="5659" w:type="dxa"/>
            <w:gridSpan w:val="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1173" w:rsidRPr="00AD63AF" w:rsidTr="00BD74EA">
              <w:tc>
                <w:tcPr>
                  <w:tcW w:w="323" w:type="dxa"/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E01173" w:rsidRPr="00AD63AF" w:rsidRDefault="00E01173" w:rsidP="00E01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40D8E" w:rsidRPr="001426E0" w:rsidRDefault="00E01173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63A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mm             </w:t>
            </w:r>
            <w:proofErr w:type="spellStart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>yy</w:t>
            </w:r>
            <w:proofErr w:type="spellEnd"/>
            <w:r w:rsidRPr="00AD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</w:tr>
      <w:tr w:rsidR="00640D8E" w:rsidRPr="001426E0" w:rsidTr="00E01173">
        <w:tc>
          <w:tcPr>
            <w:tcW w:w="720" w:type="dxa"/>
            <w:vMerge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640D8E" w:rsidRPr="001426E0" w:rsidRDefault="00640D8E" w:rsidP="00142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gridSpan w:val="8"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study</w:t>
            </w:r>
            <w:proofErr w:type="gramEnd"/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medication not re-established at end of study participation.</w:t>
            </w:r>
          </w:p>
        </w:tc>
        <w:tc>
          <w:tcPr>
            <w:tcW w:w="1164" w:type="dxa"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D8E" w:rsidRPr="001426E0" w:rsidTr="00E01173">
        <w:tc>
          <w:tcPr>
            <w:tcW w:w="720" w:type="dxa"/>
            <w:vMerge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640D8E" w:rsidRPr="001426E0" w:rsidRDefault="00640D8E" w:rsidP="00142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gridSpan w:val="8"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study medication permanently discontinued</w:t>
            </w:r>
          </w:p>
        </w:tc>
        <w:tc>
          <w:tcPr>
            <w:tcW w:w="1164" w:type="dxa"/>
          </w:tcPr>
          <w:p w:rsidR="00640D8E" w:rsidRPr="001426E0" w:rsidRDefault="00640D8E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6E0" w:rsidRPr="001426E0" w:rsidTr="00E01173">
        <w:tc>
          <w:tcPr>
            <w:tcW w:w="720" w:type="dxa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0" w:type="dxa"/>
            <w:gridSpan w:val="10"/>
          </w:tcPr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0">
              <w:rPr>
                <w:rFonts w:ascii="Times New Roman" w:hAnsi="Times New Roman" w:cs="Times New Roman"/>
                <w:sz w:val="20"/>
                <w:szCs w:val="20"/>
              </w:rPr>
              <w:t>Comments :</w:t>
            </w:r>
          </w:p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E0" w:rsidRPr="001426E0" w:rsidRDefault="001426E0" w:rsidP="007F302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426E0" w:rsidRPr="001426E0" w:rsidRDefault="001426E0" w:rsidP="007F30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6E0" w:rsidRPr="001426E0" w:rsidRDefault="001426E0" w:rsidP="007F30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5D4D" w:rsidRDefault="002959B2" w:rsidP="007F30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1BC">
        <w:rPr>
          <w:rFonts w:ascii="Times New Roman" w:hAnsi="Times New Roman" w:cs="Times New Roman"/>
          <w:b/>
          <w:bCs/>
          <w:sz w:val="24"/>
          <w:szCs w:val="24"/>
        </w:rPr>
        <w:t xml:space="preserve">Completed by: </w:t>
      </w:r>
      <w:r w:rsidRPr="007E21BC">
        <w:rPr>
          <w:rFonts w:ascii="Times New Roman" w:hAnsi="Times New Roman" w:cs="Times New Roman"/>
          <w:i/>
          <w:iCs/>
          <w:sz w:val="24"/>
          <w:szCs w:val="24"/>
        </w:rPr>
        <w:t>(initials/date) _________________________________________</w:t>
      </w:r>
      <w:r w:rsidRPr="007E21BC">
        <w:rPr>
          <w:rFonts w:ascii="Times New Roman" w:hAnsi="Times New Roman" w:cs="Times New Roman"/>
          <w:sz w:val="24"/>
          <w:szCs w:val="24"/>
        </w:rPr>
        <w:t xml:space="preserve"> </w:t>
      </w:r>
      <w:r w:rsidR="00AD5D4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9B2" w:rsidRPr="0049193A" w:rsidRDefault="002959B2" w:rsidP="002959B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9193A">
        <w:rPr>
          <w:rFonts w:ascii="Times New Roman" w:hAnsi="Times New Roman" w:cs="Times New Roman"/>
          <w:b/>
          <w:sz w:val="24"/>
          <w:szCs w:val="24"/>
        </w:rPr>
        <w:lastRenderedPageBreak/>
        <w:t>Forms Instruction</w:t>
      </w:r>
    </w:p>
    <w:p w:rsidR="00991E2E" w:rsidRPr="0049193A" w:rsidRDefault="00991E2E" w:rsidP="0099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3A">
        <w:rPr>
          <w:rFonts w:ascii="Times New Roman" w:hAnsi="Times New Roman" w:cs="Times New Roman"/>
          <w:sz w:val="24"/>
          <w:szCs w:val="24"/>
        </w:rPr>
        <w:t xml:space="preserve">The </w:t>
      </w:r>
      <w:r w:rsidRPr="0049193A">
        <w:rPr>
          <w:rFonts w:ascii="Times New Roman" w:hAnsi="Times New Roman" w:cs="Times New Roman"/>
          <w:b/>
          <w:bCs/>
          <w:sz w:val="24"/>
          <w:szCs w:val="24"/>
        </w:rPr>
        <w:t xml:space="preserve">Partner Study Drug Interruption (PSDI) </w:t>
      </w:r>
      <w:r w:rsidRPr="0049193A">
        <w:rPr>
          <w:rFonts w:ascii="Times New Roman" w:hAnsi="Times New Roman" w:cs="Times New Roman"/>
          <w:sz w:val="24"/>
          <w:szCs w:val="24"/>
        </w:rPr>
        <w:t xml:space="preserve">CRF is completed when study drug is interrupted, for reasons including pregnancy, HIV </w:t>
      </w:r>
      <w:proofErr w:type="spellStart"/>
      <w:r w:rsidRPr="0049193A">
        <w:rPr>
          <w:rFonts w:ascii="Times New Roman" w:hAnsi="Times New Roman" w:cs="Times New Roman"/>
          <w:sz w:val="24"/>
          <w:szCs w:val="24"/>
        </w:rPr>
        <w:t>seroconversion</w:t>
      </w:r>
      <w:proofErr w:type="spellEnd"/>
      <w:r w:rsidRPr="0049193A">
        <w:rPr>
          <w:rFonts w:ascii="Times New Roman" w:hAnsi="Times New Roman" w:cs="Times New Roman"/>
          <w:sz w:val="24"/>
          <w:szCs w:val="24"/>
        </w:rPr>
        <w:t xml:space="preserve"> (or possible </w:t>
      </w:r>
      <w:proofErr w:type="spellStart"/>
      <w:r w:rsidRPr="0049193A">
        <w:rPr>
          <w:rFonts w:ascii="Times New Roman" w:hAnsi="Times New Roman" w:cs="Times New Roman"/>
          <w:sz w:val="24"/>
          <w:szCs w:val="24"/>
        </w:rPr>
        <w:t>seroconversion</w:t>
      </w:r>
      <w:proofErr w:type="spellEnd"/>
      <w:r w:rsidRPr="0049193A">
        <w:rPr>
          <w:rFonts w:ascii="Times New Roman" w:hAnsi="Times New Roman" w:cs="Times New Roman"/>
          <w:sz w:val="24"/>
          <w:szCs w:val="24"/>
        </w:rPr>
        <w:t xml:space="preserve">), adverse events thought potentially related to study drug, or at the </w:t>
      </w:r>
      <w:proofErr w:type="spellStart"/>
      <w:r w:rsidRPr="0049193A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49193A">
        <w:rPr>
          <w:rFonts w:ascii="Times New Roman" w:hAnsi="Times New Roman" w:cs="Times New Roman"/>
          <w:sz w:val="24"/>
          <w:szCs w:val="24"/>
        </w:rPr>
        <w:t xml:space="preserve"> Stop visit.</w:t>
      </w:r>
    </w:p>
    <w:p w:rsidR="00991E2E" w:rsidRPr="0049193A" w:rsidRDefault="00991E2E" w:rsidP="0099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3A">
        <w:rPr>
          <w:rFonts w:ascii="Times New Roman" w:hAnsi="Times New Roman" w:cs="Times New Roman"/>
          <w:sz w:val="24"/>
          <w:szCs w:val="24"/>
        </w:rPr>
        <w:t>• This form should be completed for participants who refuse to take further study medication.</w:t>
      </w:r>
    </w:p>
    <w:p w:rsidR="00991E2E" w:rsidRPr="0049193A" w:rsidRDefault="00991E2E" w:rsidP="0099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3A">
        <w:rPr>
          <w:rFonts w:ascii="Times New Roman" w:hAnsi="Times New Roman" w:cs="Times New Roman"/>
          <w:sz w:val="24"/>
          <w:szCs w:val="24"/>
        </w:rPr>
        <w:t xml:space="preserve">• This form should </w:t>
      </w:r>
      <w:r w:rsidRPr="0049193A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49193A">
        <w:rPr>
          <w:rFonts w:ascii="Times New Roman" w:hAnsi="Times New Roman" w:cs="Times New Roman"/>
          <w:sz w:val="24"/>
          <w:szCs w:val="24"/>
        </w:rPr>
        <w:t>be completed for the following: missed visits, lost to follow-up, study stop, or death.</w:t>
      </w:r>
    </w:p>
    <w:p w:rsidR="00991E2E" w:rsidRPr="0049193A" w:rsidRDefault="00991E2E" w:rsidP="0099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If the participant is pregnant and is also a </w:t>
      </w:r>
      <w:proofErr w:type="spellStart"/>
      <w:r w:rsidRPr="0049193A">
        <w:rPr>
          <w:rFonts w:ascii="Times New Roman" w:hAnsi="Times New Roman" w:cs="Times New Roman"/>
          <w:b/>
          <w:bCs/>
          <w:iCs/>
          <w:sz w:val="24"/>
          <w:szCs w:val="24"/>
        </w:rPr>
        <w:t>seroconverter</w:t>
      </w:r>
      <w:proofErr w:type="spellEnd"/>
      <w:r w:rsidRPr="00491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notify the </w:t>
      </w:r>
      <w:r w:rsidR="001361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SDMC </w:t>
      </w:r>
      <w:r w:rsidRPr="0049193A">
        <w:rPr>
          <w:rFonts w:ascii="Times New Roman" w:hAnsi="Times New Roman" w:cs="Times New Roman"/>
          <w:b/>
          <w:bCs/>
          <w:iCs/>
          <w:sz w:val="24"/>
          <w:szCs w:val="24"/>
        </w:rPr>
        <w:t>within 48 hours.</w:t>
      </w:r>
    </w:p>
    <w:p w:rsidR="00F50152" w:rsidRPr="0049193A" w:rsidRDefault="00991E2E" w:rsidP="0099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3A">
        <w:rPr>
          <w:rFonts w:ascii="Times New Roman" w:hAnsi="Times New Roman" w:cs="Times New Roman"/>
          <w:sz w:val="24"/>
          <w:szCs w:val="24"/>
        </w:rPr>
        <w:t>Like other forms, some fields may be updated as the situation changes. If study drug is temporarily withheld, the form will be faxed twice: first to report study drug interruption and again to report that study drug was re-established.</w:t>
      </w:r>
    </w:p>
    <w:p w:rsidR="00FD538B" w:rsidRPr="0049193A" w:rsidRDefault="00FD538B" w:rsidP="00FD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268" w:rsidRPr="0049193A" w:rsidRDefault="0003121C" w:rsidP="0003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93A">
        <w:rPr>
          <w:rFonts w:ascii="Times New Roman" w:hAnsi="Times New Roman" w:cs="Times New Roman"/>
          <w:b/>
          <w:bCs/>
          <w:sz w:val="24"/>
          <w:szCs w:val="24"/>
        </w:rPr>
        <w:t>Item-specific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A7EFF" w:rsidRPr="0049193A" w:rsidTr="0013618E">
        <w:tc>
          <w:tcPr>
            <w:tcW w:w="1638" w:type="dxa"/>
          </w:tcPr>
          <w:p w:rsidR="005A7EFF" w:rsidRPr="0049193A" w:rsidRDefault="00991E2E" w:rsidP="005E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1</w:t>
            </w:r>
          </w:p>
        </w:tc>
        <w:tc>
          <w:tcPr>
            <w:tcW w:w="7938" w:type="dxa"/>
          </w:tcPr>
          <w:p w:rsidR="005A7EFF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Record the date the medication was discontinued by the study site. This does </w:t>
            </w: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include dates that the participant did not take study drug of his/her own accord.</w:t>
            </w:r>
          </w:p>
        </w:tc>
      </w:tr>
      <w:tr w:rsidR="00991E2E" w:rsidRPr="0049193A" w:rsidTr="0013618E">
        <w:tc>
          <w:tcPr>
            <w:tcW w:w="1638" w:type="dxa"/>
          </w:tcPr>
          <w:p w:rsidR="00991E2E" w:rsidRPr="0049193A" w:rsidRDefault="00991E2E" w:rsidP="005E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2</w:t>
            </w:r>
            <w:r w:rsidR="0049193A"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8</w:t>
            </w:r>
          </w:p>
        </w:tc>
        <w:tc>
          <w:tcPr>
            <w:tcW w:w="7938" w:type="dxa"/>
          </w:tcPr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The response selected in this item should be only for the </w:t>
            </w: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initial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reason(s) that a partner</w:t>
            </w:r>
            <w:r w:rsidR="000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participant’s study drug is interrupted. </w:t>
            </w:r>
          </w:p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E2E" w:rsidRPr="0049193A" w:rsidTr="0013618E">
        <w:tc>
          <w:tcPr>
            <w:tcW w:w="1638" w:type="dxa"/>
          </w:tcPr>
          <w:p w:rsidR="00991E2E" w:rsidRPr="0049193A" w:rsidRDefault="00640D8E" w:rsidP="005E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  <w:r w:rsidR="0049193A"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 and b</w:t>
            </w:r>
          </w:p>
        </w:tc>
        <w:tc>
          <w:tcPr>
            <w:tcW w:w="7938" w:type="dxa"/>
          </w:tcPr>
          <w:p w:rsidR="00991E2E" w:rsidRPr="0049193A" w:rsidRDefault="00640D8E" w:rsidP="000C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>f a participant is pregnant, then starts breastfeeding, and study drug is not re-established between those two events, then the only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that should be marked in item 7b</w:t>
            </w:r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is “participant has had a positive pregnancy test.”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>discontinue</w:t>
            </w:r>
            <w:r w:rsidR="000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  <w:proofErr w:type="spellEnd"/>
            <w:r w:rsidR="00991E2E"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during pregnancy.</w:t>
            </w:r>
          </w:p>
        </w:tc>
      </w:tr>
      <w:tr w:rsidR="00991E2E" w:rsidRPr="0049193A" w:rsidTr="0013618E">
        <w:tc>
          <w:tcPr>
            <w:tcW w:w="1638" w:type="dxa"/>
          </w:tcPr>
          <w:p w:rsidR="00991E2E" w:rsidRPr="0049193A" w:rsidRDefault="0049193A" w:rsidP="005E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8</w:t>
            </w:r>
          </w:p>
        </w:tc>
        <w:tc>
          <w:tcPr>
            <w:tcW w:w="7938" w:type="dxa"/>
          </w:tcPr>
          <w:p w:rsidR="00991E2E" w:rsidRPr="0049193A" w:rsidRDefault="00640D8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If the participant does not want to accept </w:t>
            </w:r>
            <w:proofErr w:type="spellStart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  <w:proofErr w:type="spellEnd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for any reason (e.g., partner is upcountry,</w:t>
            </w:r>
            <w:r w:rsidR="000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traveling, etc.), mark “participant refused study medication” and specify the reason in the</w:t>
            </w:r>
            <w:r w:rsidR="000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3A" w:rsidRPr="0049193A">
              <w:rPr>
                <w:rFonts w:ascii="Times New Roman" w:hAnsi="Times New Roman" w:cs="Times New Roman"/>
                <w:sz w:val="24"/>
                <w:szCs w:val="24"/>
              </w:rPr>
              <w:t>comments section.</w:t>
            </w:r>
          </w:p>
        </w:tc>
      </w:tr>
      <w:tr w:rsidR="00991E2E" w:rsidRPr="0049193A" w:rsidTr="0013618E">
        <w:tc>
          <w:tcPr>
            <w:tcW w:w="1638" w:type="dxa"/>
          </w:tcPr>
          <w:p w:rsidR="00991E2E" w:rsidRPr="0049193A" w:rsidRDefault="0049193A" w:rsidP="005E6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9</w:t>
            </w:r>
          </w:p>
        </w:tc>
        <w:tc>
          <w:tcPr>
            <w:tcW w:w="7938" w:type="dxa"/>
          </w:tcPr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Item 3 may be left blank the first time this form is completed. This item must be filled out when the study medication is re-established by the site and the form must then be refaxed. If the study drug is not re-established, then the date should be left blank and the appropriate box should be marked. If study medication is permanently discontinued, note the reason in the comments.</w:t>
            </w:r>
          </w:p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Special considerations for </w:t>
            </w:r>
            <w:proofErr w:type="spellStart"/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seroconverters</w:t>
            </w:r>
            <w:proofErr w:type="spellEnd"/>
            <w:r w:rsidRPr="004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1E2E" w:rsidRPr="0049193A" w:rsidRDefault="00991E2E" w:rsidP="00991E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spellStart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seroconversion</w:t>
            </w:r>
            <w:proofErr w:type="spellEnd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is confirmed, mark the box for “study medication permanently discontinued” and provide comments in item 4.</w:t>
            </w:r>
          </w:p>
          <w:p w:rsidR="00991E2E" w:rsidRPr="0049193A" w:rsidRDefault="00991E2E" w:rsidP="00991E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spellStart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>seroconversion</w:t>
            </w:r>
            <w:proofErr w:type="spellEnd"/>
            <w:r w:rsidRPr="0049193A">
              <w:rPr>
                <w:rFonts w:ascii="Times New Roman" w:hAnsi="Times New Roman" w:cs="Times New Roman"/>
                <w:sz w:val="24"/>
                <w:szCs w:val="24"/>
              </w:rPr>
              <w:t xml:space="preserve"> is not confirmed contact the study medical director. </w:t>
            </w:r>
            <w:r w:rsidRPr="0049193A">
              <w:rPr>
                <w:rFonts w:ascii="Times New Roman" w:eastAsia="SymbolMT" w:hAnsi="Times New Roman" w:cs="Times New Roman"/>
                <w:sz w:val="24"/>
                <w:szCs w:val="24"/>
              </w:rPr>
              <w:t></w:t>
            </w:r>
          </w:p>
          <w:p w:rsidR="00991E2E" w:rsidRPr="0049193A" w:rsidRDefault="00991E2E" w:rsidP="0099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not re-start study drug.</w:t>
            </w:r>
          </w:p>
        </w:tc>
      </w:tr>
    </w:tbl>
    <w:p w:rsidR="0003121C" w:rsidRPr="00F50152" w:rsidRDefault="0003121C" w:rsidP="0049193A">
      <w:pPr>
        <w:tabs>
          <w:tab w:val="left" w:pos="1239"/>
        </w:tabs>
        <w:rPr>
          <w:rFonts w:ascii="Times New Roman" w:hAnsi="Times New Roman" w:cs="Times New Roman"/>
          <w:sz w:val="20"/>
          <w:szCs w:val="20"/>
        </w:rPr>
      </w:pPr>
    </w:p>
    <w:sectPr w:rsidR="0003121C" w:rsidRPr="00F50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68" w:rsidRDefault="00BB3668" w:rsidP="00BA16F9">
      <w:pPr>
        <w:spacing w:after="0" w:line="240" w:lineRule="auto"/>
      </w:pPr>
      <w:r>
        <w:separator/>
      </w:r>
    </w:p>
  </w:endnote>
  <w:endnote w:type="continuationSeparator" w:id="0">
    <w:p w:rsidR="00BB3668" w:rsidRDefault="00BB3668" w:rsidP="00BA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68" w:rsidRDefault="00BB3668" w:rsidP="00BA16F9">
      <w:pPr>
        <w:spacing w:after="0" w:line="240" w:lineRule="auto"/>
      </w:pPr>
      <w:r>
        <w:separator/>
      </w:r>
    </w:p>
  </w:footnote>
  <w:footnote w:type="continuationSeparator" w:id="0">
    <w:p w:rsidR="00BB3668" w:rsidRDefault="00BB3668" w:rsidP="00BA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 w:rsidP="00BA16F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-344805</wp:posOffset>
          </wp:positionV>
          <wp:extent cx="1078230" cy="791845"/>
          <wp:effectExtent l="0" t="0" r="7620" b="8255"/>
          <wp:wrapTight wrapText="bothSides">
            <wp:wrapPolygon edited="0">
              <wp:start x="0" y="0"/>
              <wp:lineTo x="0" y="21306"/>
              <wp:lineTo x="21371" y="21306"/>
              <wp:lineTo x="21371" y="0"/>
              <wp:lineTo x="0" y="0"/>
            </wp:wrapPolygon>
          </wp:wrapTight>
          <wp:docPr id="2" name="Picture 2" descr="Description: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-372110</wp:posOffset>
          </wp:positionV>
          <wp:extent cx="855345" cy="733425"/>
          <wp:effectExtent l="0" t="0" r="1905" b="9525"/>
          <wp:wrapTight wrapText="bothSides">
            <wp:wrapPolygon edited="0">
              <wp:start x="0" y="0"/>
              <wp:lineTo x="0" y="21319"/>
              <wp:lineTo x="21167" y="21319"/>
              <wp:lineTo x="211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imes New Roman" w:hAnsi="Times New Roman" w:cs="Times New Roman"/>
        <w:b/>
        <w:sz w:val="28"/>
        <w:szCs w:val="28"/>
      </w:rPr>
      <w:t xml:space="preserve">NIGERIA </w:t>
    </w:r>
    <w:proofErr w:type="spellStart"/>
    <w:r>
      <w:rPr>
        <w:rFonts w:ascii="Times New Roman" w:hAnsi="Times New Roman" w:cs="Times New Roman"/>
        <w:b/>
        <w:sz w:val="28"/>
        <w:szCs w:val="28"/>
      </w:rPr>
      <w:t>PrEP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DEMONSTRATION STUDY</w:t>
    </w:r>
  </w:p>
  <w:p w:rsidR="00BA16F9" w:rsidRDefault="00BA16F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9" w:rsidRDefault="00BA1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DCA"/>
    <w:multiLevelType w:val="hybridMultilevel"/>
    <w:tmpl w:val="83D87E24"/>
    <w:lvl w:ilvl="0" w:tplc="75BACA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0E80"/>
    <w:multiLevelType w:val="hybridMultilevel"/>
    <w:tmpl w:val="D9F07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4"/>
    <w:rsid w:val="0003121C"/>
    <w:rsid w:val="000641DF"/>
    <w:rsid w:val="00065C25"/>
    <w:rsid w:val="00085100"/>
    <w:rsid w:val="000C2007"/>
    <w:rsid w:val="000E3188"/>
    <w:rsid w:val="000F61AE"/>
    <w:rsid w:val="0013618E"/>
    <w:rsid w:val="001361AA"/>
    <w:rsid w:val="001426E0"/>
    <w:rsid w:val="00191F7F"/>
    <w:rsid w:val="001A720D"/>
    <w:rsid w:val="001B2554"/>
    <w:rsid w:val="001C334B"/>
    <w:rsid w:val="00216268"/>
    <w:rsid w:val="002959B2"/>
    <w:rsid w:val="002A68A8"/>
    <w:rsid w:val="002B1497"/>
    <w:rsid w:val="002F4203"/>
    <w:rsid w:val="0041309D"/>
    <w:rsid w:val="0049193A"/>
    <w:rsid w:val="004C49AE"/>
    <w:rsid w:val="005A7EFF"/>
    <w:rsid w:val="005E412D"/>
    <w:rsid w:val="005F6F2F"/>
    <w:rsid w:val="00640D8E"/>
    <w:rsid w:val="00650E5A"/>
    <w:rsid w:val="0067532F"/>
    <w:rsid w:val="007F3022"/>
    <w:rsid w:val="007F73C1"/>
    <w:rsid w:val="008112E4"/>
    <w:rsid w:val="0083448A"/>
    <w:rsid w:val="00856C76"/>
    <w:rsid w:val="00877004"/>
    <w:rsid w:val="00887119"/>
    <w:rsid w:val="00892345"/>
    <w:rsid w:val="008D73D8"/>
    <w:rsid w:val="0093135E"/>
    <w:rsid w:val="0093786D"/>
    <w:rsid w:val="00943760"/>
    <w:rsid w:val="00991E2E"/>
    <w:rsid w:val="009A7470"/>
    <w:rsid w:val="009F1DC8"/>
    <w:rsid w:val="00A55631"/>
    <w:rsid w:val="00AB464D"/>
    <w:rsid w:val="00AD5D4D"/>
    <w:rsid w:val="00AF1042"/>
    <w:rsid w:val="00B468C0"/>
    <w:rsid w:val="00B8229E"/>
    <w:rsid w:val="00BA16F9"/>
    <w:rsid w:val="00BB3668"/>
    <w:rsid w:val="00BC4803"/>
    <w:rsid w:val="00C20204"/>
    <w:rsid w:val="00CD04AE"/>
    <w:rsid w:val="00D16B81"/>
    <w:rsid w:val="00D2019D"/>
    <w:rsid w:val="00D36521"/>
    <w:rsid w:val="00DA5275"/>
    <w:rsid w:val="00E01173"/>
    <w:rsid w:val="00E319D2"/>
    <w:rsid w:val="00E95319"/>
    <w:rsid w:val="00F50152"/>
    <w:rsid w:val="00FA1C7F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20B15-08B3-45D4-8ACF-A3D3A06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F9"/>
  </w:style>
  <w:style w:type="paragraph" w:styleId="Footer">
    <w:name w:val="footer"/>
    <w:basedOn w:val="Normal"/>
    <w:link w:val="FooterChar"/>
    <w:uiPriority w:val="99"/>
    <w:unhideWhenUsed/>
    <w:rsid w:val="00B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NHVMAS</dc:creator>
  <cp:lastModifiedBy>Matthias Alagi</cp:lastModifiedBy>
  <cp:revision>2</cp:revision>
  <dcterms:created xsi:type="dcterms:W3CDTF">2014-10-12T22:38:00Z</dcterms:created>
  <dcterms:modified xsi:type="dcterms:W3CDTF">2014-10-12T22:38:00Z</dcterms:modified>
</cp:coreProperties>
</file>