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9033B0" w:rsidTr="0086750D">
        <w:tc>
          <w:tcPr>
            <w:tcW w:w="9242" w:type="dxa"/>
            <w:gridSpan w:val="3"/>
          </w:tcPr>
          <w:p w:rsidR="009033B0" w:rsidRPr="00C60D37" w:rsidRDefault="009033B0" w:rsidP="0086750D">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Pr>
                <w:rFonts w:ascii="Times New Roman" w:hAnsi="Times New Roman" w:cs="Times New Roman"/>
                <w:b/>
                <w:sz w:val="24"/>
                <w:szCs w:val="24"/>
              </w:rPr>
              <w:t xml:space="preserve">                        Nigeria</w:t>
            </w:r>
            <w:r w:rsidRPr="00C60D37">
              <w:rPr>
                <w:rFonts w:ascii="Times New Roman" w:hAnsi="Times New Roman" w:cs="Times New Roman"/>
                <w:b/>
                <w:sz w:val="24"/>
                <w:szCs w:val="24"/>
              </w:rPr>
              <w:t xml:space="preserve"> PreP Study</w:t>
            </w:r>
          </w:p>
        </w:tc>
      </w:tr>
      <w:tr w:rsidR="009033B0" w:rsidTr="0086750D">
        <w:tc>
          <w:tcPr>
            <w:tcW w:w="6161" w:type="dxa"/>
            <w:gridSpan w:val="2"/>
          </w:tcPr>
          <w:p w:rsidR="009033B0" w:rsidRPr="00C60D37" w:rsidRDefault="009033B0" w:rsidP="0086750D">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9033B0" w:rsidRPr="00C60D37" w:rsidRDefault="009033B0" w:rsidP="0086750D">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CA-207</w:t>
            </w:r>
          </w:p>
        </w:tc>
      </w:tr>
      <w:tr w:rsidR="009033B0" w:rsidTr="0086750D">
        <w:tc>
          <w:tcPr>
            <w:tcW w:w="9242" w:type="dxa"/>
            <w:gridSpan w:val="3"/>
          </w:tcPr>
          <w:p w:rsidR="009033B0" w:rsidRPr="00C60D37" w:rsidRDefault="009033B0" w:rsidP="0086750D">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9033B0" w:rsidRPr="007F7B51" w:rsidRDefault="009033B0" w:rsidP="0086750D">
            <w:pPr>
              <w:pStyle w:val="Header"/>
              <w:spacing w:line="360" w:lineRule="auto"/>
              <w:jc w:val="center"/>
              <w:rPr>
                <w:rFonts w:ascii="Times New Roman" w:hAnsi="Times New Roman" w:cs="Times New Roman"/>
                <w:b/>
                <w:sz w:val="24"/>
                <w:szCs w:val="24"/>
              </w:rPr>
            </w:pPr>
            <w:r>
              <w:rPr>
                <w:noProof/>
              </w:rPr>
              <w:tab/>
            </w:r>
            <w:r w:rsidRPr="007F7B51">
              <w:rPr>
                <w:b/>
                <w:noProof/>
                <w:sz w:val="24"/>
                <w:szCs w:val="24"/>
              </w:rPr>
              <w:t>MONITORING, RECORDING AND REPORTING ADVERSE /SERIOUS ADVERSE EVENTS</w:t>
            </w:r>
            <w:r w:rsidRPr="007F7B51">
              <w:rPr>
                <w:b/>
                <w:noProof/>
                <w:sz w:val="24"/>
                <w:szCs w:val="24"/>
              </w:rPr>
              <w:tab/>
            </w:r>
          </w:p>
        </w:tc>
      </w:tr>
      <w:tr w:rsidR="009033B0" w:rsidTr="0086750D">
        <w:tc>
          <w:tcPr>
            <w:tcW w:w="3080" w:type="dxa"/>
          </w:tcPr>
          <w:p w:rsidR="009033B0" w:rsidRPr="00C60D37" w:rsidRDefault="009033B0" w:rsidP="0086750D">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9033B0" w:rsidRPr="00C60D37" w:rsidRDefault="009033B0" w:rsidP="0086750D">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9033B0" w:rsidRPr="00C60D37" w:rsidRDefault="009033B0" w:rsidP="0086750D">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9033B0" w:rsidTr="0086750D">
        <w:trPr>
          <w:trHeight w:val="786"/>
        </w:trPr>
        <w:tc>
          <w:tcPr>
            <w:tcW w:w="9242" w:type="dxa"/>
            <w:gridSpan w:val="3"/>
          </w:tcPr>
          <w:p w:rsidR="009033B0" w:rsidRPr="00C60D37" w:rsidRDefault="009033B0" w:rsidP="0086750D">
            <w:pPr>
              <w:pStyle w:val="Header"/>
              <w:spacing w:line="480" w:lineRule="auto"/>
              <w:rPr>
                <w:rFonts w:ascii="Times New Roman" w:hAnsi="Times New Roman" w:cs="Times New Roman"/>
                <w:b/>
                <w:sz w:val="24"/>
                <w:szCs w:val="24"/>
              </w:rPr>
            </w:pPr>
          </w:p>
          <w:p w:rsidR="009033B0" w:rsidRPr="00C60D37" w:rsidRDefault="009033B0" w:rsidP="0086750D">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9033B0" w:rsidRDefault="009033B0" w:rsidP="00E94025">
      <w:pPr>
        <w:spacing w:after="0"/>
        <w:rPr>
          <w:b/>
        </w:rPr>
      </w:pPr>
    </w:p>
    <w:p w:rsidR="002F10BB" w:rsidRPr="005D1B4C" w:rsidRDefault="005D1B4C" w:rsidP="00E94025">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5D1B4C" w:rsidTr="005D1B4C">
        <w:tc>
          <w:tcPr>
            <w:tcW w:w="3085"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bl>
    <w:p w:rsidR="005D1B4C" w:rsidRDefault="005D1B4C"/>
    <w:p w:rsidR="005D1B4C" w:rsidRPr="005D1B4C" w:rsidRDefault="0069067C" w:rsidP="00E94025">
      <w:pPr>
        <w:spacing w:after="0"/>
        <w:rPr>
          <w:b/>
        </w:rPr>
      </w:pPr>
      <w:r>
        <w:rPr>
          <w:b/>
        </w:rPr>
        <w:t xml:space="preserve">Document </w:t>
      </w:r>
      <w:r w:rsidR="005D1B4C"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5D1B4C" w:rsidTr="00683183">
        <w:tc>
          <w:tcPr>
            <w:tcW w:w="3085"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5D1B4C" w:rsidTr="00683183">
        <w:tc>
          <w:tcPr>
            <w:tcW w:w="3085"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5D1B4C" w:rsidRPr="005D1B4C" w:rsidRDefault="005D1B4C" w:rsidP="00683183">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bl>
    <w:p w:rsidR="005D1B4C" w:rsidRDefault="005D1B4C">
      <w:r>
        <w:t xml:space="preserve"> </w:t>
      </w:r>
    </w:p>
    <w:p w:rsidR="00952914" w:rsidRDefault="00952914" w:rsidP="00E94025">
      <w:pPr>
        <w:spacing w:after="0"/>
        <w:rPr>
          <w:b/>
        </w:rPr>
      </w:pPr>
      <w:r w:rsidRPr="00952914">
        <w:rPr>
          <w:b/>
        </w:rPr>
        <w:t>Distribution List</w:t>
      </w:r>
    </w:p>
    <w:tbl>
      <w:tblPr>
        <w:tblStyle w:val="TableGrid"/>
        <w:tblW w:w="0" w:type="auto"/>
        <w:tblLook w:val="04A0" w:firstRow="1" w:lastRow="0" w:firstColumn="1" w:lastColumn="0" w:noHBand="0" w:noVBand="1"/>
      </w:tblPr>
      <w:tblGrid>
        <w:gridCol w:w="3227"/>
        <w:gridCol w:w="1393"/>
        <w:gridCol w:w="3001"/>
        <w:gridCol w:w="1621"/>
      </w:tblGrid>
      <w:tr w:rsidR="00952914" w:rsidTr="00E94025">
        <w:tc>
          <w:tcPr>
            <w:tcW w:w="3227" w:type="dxa"/>
          </w:tcPr>
          <w:p w:rsidR="00952914" w:rsidRPr="00952914" w:rsidRDefault="00952914" w:rsidP="00952914">
            <w:pPr>
              <w:pStyle w:val="Default"/>
              <w:rPr>
                <w:b/>
                <w:sz w:val="23"/>
                <w:szCs w:val="23"/>
              </w:rPr>
            </w:pPr>
            <w:r w:rsidRPr="00952914">
              <w:rPr>
                <w:b/>
                <w:sz w:val="23"/>
                <w:szCs w:val="23"/>
              </w:rPr>
              <w:t xml:space="preserve">Name/Location </w:t>
            </w:r>
          </w:p>
        </w:tc>
        <w:tc>
          <w:tcPr>
            <w:tcW w:w="1393" w:type="dxa"/>
          </w:tcPr>
          <w:p w:rsidR="00952914" w:rsidRPr="00952914" w:rsidRDefault="00952914" w:rsidP="00952914">
            <w:pPr>
              <w:spacing w:line="360" w:lineRule="auto"/>
              <w:rPr>
                <w:b/>
              </w:rPr>
            </w:pPr>
            <w:r w:rsidRPr="00952914">
              <w:rPr>
                <w:b/>
              </w:rPr>
              <w:t>No of copies</w:t>
            </w:r>
          </w:p>
        </w:tc>
        <w:tc>
          <w:tcPr>
            <w:tcW w:w="3001" w:type="dxa"/>
          </w:tcPr>
          <w:p w:rsidR="00952914" w:rsidRPr="00952914" w:rsidRDefault="00952914" w:rsidP="00683183">
            <w:pPr>
              <w:pStyle w:val="Default"/>
              <w:rPr>
                <w:b/>
                <w:sz w:val="23"/>
                <w:szCs w:val="23"/>
              </w:rPr>
            </w:pPr>
            <w:r w:rsidRPr="00952914">
              <w:rPr>
                <w:b/>
                <w:sz w:val="23"/>
                <w:szCs w:val="23"/>
              </w:rPr>
              <w:t xml:space="preserve">Name/Location </w:t>
            </w:r>
          </w:p>
        </w:tc>
        <w:tc>
          <w:tcPr>
            <w:tcW w:w="1621" w:type="dxa"/>
          </w:tcPr>
          <w:p w:rsidR="00952914" w:rsidRPr="00952914" w:rsidRDefault="00952914" w:rsidP="00683183">
            <w:pPr>
              <w:spacing w:line="360" w:lineRule="auto"/>
              <w:rPr>
                <w:b/>
              </w:rPr>
            </w:pPr>
            <w:r w:rsidRPr="00952914">
              <w:rPr>
                <w:b/>
              </w:rPr>
              <w:t>No of copies</w:t>
            </w: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bl>
    <w:p w:rsidR="00952914" w:rsidRPr="00952914" w:rsidRDefault="00952914">
      <w:pPr>
        <w:rPr>
          <w:b/>
        </w:rPr>
      </w:pPr>
    </w:p>
    <w:p w:rsidR="005D1B4C" w:rsidRPr="009033B0" w:rsidRDefault="00952914" w:rsidP="009033B0">
      <w:pPr>
        <w:pStyle w:val="ListParagraph"/>
        <w:numPr>
          <w:ilvl w:val="0"/>
          <w:numId w:val="1"/>
        </w:numPr>
        <w:spacing w:after="0" w:line="360" w:lineRule="auto"/>
        <w:ind w:left="284" w:hanging="284"/>
        <w:jc w:val="both"/>
        <w:rPr>
          <w:rFonts w:ascii="Times New Roman" w:hAnsi="Times New Roman" w:cs="Times New Roman"/>
          <w:b/>
          <w:sz w:val="24"/>
          <w:szCs w:val="24"/>
        </w:rPr>
      </w:pPr>
      <w:r w:rsidRPr="009033B0">
        <w:rPr>
          <w:rFonts w:ascii="Times New Roman" w:hAnsi="Times New Roman" w:cs="Times New Roman"/>
          <w:b/>
          <w:sz w:val="24"/>
          <w:szCs w:val="24"/>
        </w:rPr>
        <w:t>Introduction</w:t>
      </w:r>
    </w:p>
    <w:p w:rsidR="0087014C" w:rsidRPr="009033B0" w:rsidRDefault="0087014C" w:rsidP="009033B0">
      <w:pPr>
        <w:pStyle w:val="ListParagraph"/>
        <w:tabs>
          <w:tab w:val="left" w:pos="284"/>
        </w:tabs>
        <w:spacing w:line="360" w:lineRule="auto"/>
        <w:ind w:left="284"/>
        <w:jc w:val="both"/>
        <w:rPr>
          <w:rFonts w:ascii="Times New Roman" w:hAnsi="Times New Roman" w:cs="Times New Roman"/>
          <w:sz w:val="24"/>
          <w:szCs w:val="24"/>
        </w:rPr>
      </w:pPr>
      <w:r w:rsidRPr="009033B0">
        <w:rPr>
          <w:rFonts w:ascii="Times New Roman" w:hAnsi="Times New Roman" w:cs="Times New Roman"/>
          <w:sz w:val="24"/>
          <w:szCs w:val="24"/>
        </w:rPr>
        <w:t xml:space="preserve">Participants’ safety is of the greatest importance for both the individual participant and the goals of the clinical study. Investigators are required to report to the sponsor all adverse events occurring during a study. If the event is serious and unexpected, prompt reporting to pharma (the manufacturer of the investigational product) and to the IRB is mandatory. This standard operating procedure (SOP) describes the steps Nigerian PreP study follows to fulfil the regulatory and clinical requirements for adverse event reporting. </w:t>
      </w:r>
    </w:p>
    <w:p w:rsidR="005962B6" w:rsidRPr="009033B0" w:rsidRDefault="005962B6" w:rsidP="009033B0">
      <w:pPr>
        <w:pStyle w:val="ListParagraph"/>
        <w:tabs>
          <w:tab w:val="left" w:pos="284"/>
        </w:tabs>
        <w:spacing w:line="360" w:lineRule="auto"/>
        <w:ind w:left="284"/>
        <w:jc w:val="both"/>
        <w:rPr>
          <w:rFonts w:ascii="Times New Roman" w:hAnsi="Times New Roman" w:cs="Times New Roman"/>
          <w:b/>
          <w:sz w:val="24"/>
          <w:szCs w:val="24"/>
        </w:rPr>
      </w:pPr>
    </w:p>
    <w:p w:rsidR="00E94025" w:rsidRPr="009033B0" w:rsidRDefault="00695C54" w:rsidP="009033B0">
      <w:pPr>
        <w:pStyle w:val="ListParagraph"/>
        <w:numPr>
          <w:ilvl w:val="0"/>
          <w:numId w:val="1"/>
        </w:numPr>
        <w:tabs>
          <w:tab w:val="left" w:pos="284"/>
        </w:tabs>
        <w:spacing w:line="360" w:lineRule="auto"/>
        <w:ind w:left="0" w:firstLine="0"/>
        <w:jc w:val="both"/>
        <w:rPr>
          <w:rFonts w:ascii="Times New Roman" w:hAnsi="Times New Roman" w:cs="Times New Roman"/>
          <w:b/>
          <w:sz w:val="24"/>
          <w:szCs w:val="24"/>
        </w:rPr>
      </w:pPr>
      <w:r w:rsidRPr="009033B0">
        <w:rPr>
          <w:rFonts w:ascii="Times New Roman" w:hAnsi="Times New Roman" w:cs="Times New Roman"/>
          <w:b/>
          <w:sz w:val="24"/>
          <w:szCs w:val="24"/>
        </w:rPr>
        <w:t xml:space="preserve"> </w:t>
      </w:r>
      <w:r w:rsidR="00E94025" w:rsidRPr="009033B0">
        <w:rPr>
          <w:rFonts w:ascii="Times New Roman" w:hAnsi="Times New Roman" w:cs="Times New Roman"/>
          <w:b/>
          <w:sz w:val="24"/>
          <w:szCs w:val="24"/>
        </w:rPr>
        <w:t>Objective</w:t>
      </w:r>
      <w:r w:rsidR="00260C2E" w:rsidRPr="009033B0">
        <w:rPr>
          <w:rFonts w:ascii="Times New Roman" w:hAnsi="Times New Roman" w:cs="Times New Roman"/>
          <w:b/>
          <w:sz w:val="24"/>
          <w:szCs w:val="24"/>
        </w:rPr>
        <w:t>s</w:t>
      </w:r>
      <w:r w:rsidR="00E94025" w:rsidRPr="009033B0">
        <w:rPr>
          <w:rFonts w:ascii="Times New Roman" w:hAnsi="Times New Roman" w:cs="Times New Roman"/>
          <w:b/>
          <w:sz w:val="24"/>
          <w:szCs w:val="24"/>
        </w:rPr>
        <w:t xml:space="preserve"> </w:t>
      </w:r>
    </w:p>
    <w:p w:rsidR="0087014C" w:rsidRPr="009033B0" w:rsidRDefault="0087014C" w:rsidP="009033B0">
      <w:pPr>
        <w:spacing w:line="360" w:lineRule="auto"/>
        <w:ind w:left="284"/>
        <w:jc w:val="both"/>
        <w:rPr>
          <w:rFonts w:ascii="Times New Roman" w:hAnsi="Times New Roman" w:cs="Times New Roman"/>
          <w:sz w:val="24"/>
          <w:szCs w:val="24"/>
        </w:rPr>
      </w:pPr>
      <w:r w:rsidRPr="009033B0">
        <w:rPr>
          <w:rFonts w:ascii="Times New Roman" w:hAnsi="Times New Roman" w:cs="Times New Roman"/>
          <w:sz w:val="24"/>
          <w:szCs w:val="24"/>
        </w:rPr>
        <w:t xml:space="preserve">To describe the procedures involved in the monitoring, recording and reporting of adverse events (AEs) and SAEs that occur during the Nigerian Prep Study. </w:t>
      </w:r>
    </w:p>
    <w:p w:rsidR="003D1ECC" w:rsidRPr="009033B0" w:rsidRDefault="003D1ECC" w:rsidP="009033B0">
      <w:pPr>
        <w:pStyle w:val="ListParagraph"/>
        <w:numPr>
          <w:ilvl w:val="0"/>
          <w:numId w:val="1"/>
        </w:numPr>
        <w:spacing w:line="360" w:lineRule="auto"/>
        <w:ind w:left="284" w:hanging="284"/>
        <w:jc w:val="both"/>
        <w:rPr>
          <w:rFonts w:ascii="Times New Roman" w:hAnsi="Times New Roman" w:cs="Times New Roman"/>
          <w:b/>
          <w:bCs/>
          <w:sz w:val="24"/>
          <w:szCs w:val="24"/>
        </w:rPr>
      </w:pPr>
      <w:r w:rsidRPr="009033B0">
        <w:rPr>
          <w:rFonts w:ascii="Times New Roman" w:hAnsi="Times New Roman" w:cs="Times New Roman"/>
          <w:b/>
          <w:bCs/>
          <w:sz w:val="24"/>
          <w:szCs w:val="24"/>
        </w:rPr>
        <w:t>Responsibility</w:t>
      </w:r>
    </w:p>
    <w:p w:rsidR="00E51E9B" w:rsidRPr="009033B0" w:rsidRDefault="00B80953" w:rsidP="009033B0">
      <w:pPr>
        <w:autoSpaceDE w:val="0"/>
        <w:autoSpaceDN w:val="0"/>
        <w:adjustRightInd w:val="0"/>
        <w:spacing w:after="0" w:line="360" w:lineRule="auto"/>
        <w:ind w:left="284"/>
        <w:jc w:val="both"/>
        <w:rPr>
          <w:rFonts w:ascii="Times New Roman" w:hAnsi="Times New Roman" w:cs="Times New Roman"/>
          <w:color w:val="000000"/>
          <w:sz w:val="24"/>
          <w:szCs w:val="24"/>
        </w:rPr>
      </w:pPr>
      <w:r w:rsidRPr="009033B0">
        <w:rPr>
          <w:rFonts w:ascii="Times New Roman" w:hAnsi="Times New Roman" w:cs="Times New Roman"/>
          <w:color w:val="000000"/>
          <w:sz w:val="24"/>
          <w:szCs w:val="24"/>
        </w:rPr>
        <w:t xml:space="preserve">The Principal Investigator, Site Coordinator, Study Nurse and Study Laboratory are responsible for continued surveillance and grading of toxicities, AE, and SAE. The Site Coordinator, Study Nurse and study Laboratory will report any such </w:t>
      </w:r>
      <w:proofErr w:type="gramStart"/>
      <w:r w:rsidRPr="009033B0">
        <w:rPr>
          <w:rFonts w:ascii="Times New Roman" w:hAnsi="Times New Roman" w:cs="Times New Roman"/>
          <w:color w:val="000000"/>
          <w:sz w:val="24"/>
          <w:szCs w:val="24"/>
        </w:rPr>
        <w:t>toxicities</w:t>
      </w:r>
      <w:proofErr w:type="gramEnd"/>
      <w:r w:rsidRPr="009033B0">
        <w:rPr>
          <w:rFonts w:ascii="Times New Roman" w:hAnsi="Times New Roman" w:cs="Times New Roman"/>
          <w:color w:val="000000"/>
          <w:sz w:val="24"/>
          <w:szCs w:val="24"/>
        </w:rPr>
        <w:t xml:space="preserve"> promptly to the Principal Investigator so that action may be taken to remove additional harm the study participants. The Principal Investigator assures that protocol specifics for toxicity management and reporting are followed and reported to the regulatory authorities.</w:t>
      </w:r>
    </w:p>
    <w:p w:rsidR="00B80953" w:rsidRPr="009033B0" w:rsidRDefault="00B80953" w:rsidP="009033B0">
      <w:pPr>
        <w:autoSpaceDE w:val="0"/>
        <w:autoSpaceDN w:val="0"/>
        <w:adjustRightInd w:val="0"/>
        <w:spacing w:after="0" w:line="360" w:lineRule="auto"/>
        <w:ind w:left="284"/>
        <w:jc w:val="both"/>
        <w:rPr>
          <w:rFonts w:ascii="Times New Roman" w:hAnsi="Times New Roman" w:cs="Times New Roman"/>
          <w:color w:val="000000"/>
          <w:sz w:val="24"/>
          <w:szCs w:val="24"/>
        </w:rPr>
      </w:pPr>
    </w:p>
    <w:p w:rsidR="002C4B0E" w:rsidRPr="009033B0" w:rsidRDefault="00E10F62" w:rsidP="009033B0">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Definitions</w:t>
      </w:r>
      <w:r w:rsidR="002C4B0E" w:rsidRPr="009033B0">
        <w:rPr>
          <w:rFonts w:ascii="Times New Roman" w:hAnsi="Times New Roman" w:cs="Times New Roman"/>
          <w:b/>
          <w:bCs/>
          <w:color w:val="000000"/>
          <w:sz w:val="24"/>
          <w:szCs w:val="24"/>
        </w:rPr>
        <w:t xml:space="preserve"> </w:t>
      </w:r>
    </w:p>
    <w:p w:rsidR="00550582" w:rsidRPr="009033B0" w:rsidRDefault="00013972" w:rsidP="009033B0">
      <w:pPr>
        <w:autoSpaceDE w:val="0"/>
        <w:autoSpaceDN w:val="0"/>
        <w:adjustRightInd w:val="0"/>
        <w:spacing w:after="0" w:line="360" w:lineRule="auto"/>
        <w:ind w:left="284"/>
        <w:jc w:val="both"/>
        <w:rPr>
          <w:rFonts w:ascii="Times New Roman" w:hAnsi="Times New Roman" w:cs="Times New Roman"/>
          <w:color w:val="000000"/>
          <w:sz w:val="24"/>
          <w:szCs w:val="24"/>
        </w:rPr>
      </w:pPr>
      <w:r w:rsidRPr="009033B0">
        <w:rPr>
          <w:rFonts w:ascii="Times New Roman" w:hAnsi="Times New Roman" w:cs="Times New Roman"/>
          <w:color w:val="000000"/>
          <w:sz w:val="24"/>
          <w:szCs w:val="24"/>
        </w:rPr>
        <w:t xml:space="preserve">The following definitions from the International Conference on Harmonisation, Good Clinical Practice: Consolidated Guideline </w:t>
      </w:r>
      <w:proofErr w:type="gramStart"/>
      <w:r w:rsidRPr="009033B0">
        <w:rPr>
          <w:rFonts w:ascii="Times New Roman" w:hAnsi="Times New Roman" w:cs="Times New Roman"/>
          <w:color w:val="000000"/>
          <w:sz w:val="24"/>
          <w:szCs w:val="24"/>
        </w:rPr>
        <w:t>apply</w:t>
      </w:r>
      <w:proofErr w:type="gramEnd"/>
      <w:r w:rsidRPr="009033B0">
        <w:rPr>
          <w:rFonts w:ascii="Times New Roman" w:hAnsi="Times New Roman" w:cs="Times New Roman"/>
          <w:color w:val="000000"/>
          <w:sz w:val="24"/>
          <w:szCs w:val="24"/>
        </w:rPr>
        <w:t xml:space="preserve"> to this SOP. </w:t>
      </w:r>
    </w:p>
    <w:p w:rsidR="00B80953" w:rsidRPr="009033B0" w:rsidRDefault="00013972" w:rsidP="009033B0">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 xml:space="preserve">Adverse event: </w:t>
      </w:r>
      <w:r w:rsidR="00B80953" w:rsidRPr="009033B0">
        <w:rPr>
          <w:rFonts w:ascii="Times New Roman" w:hAnsi="Times New Roman" w:cs="Times New Roman"/>
          <w:color w:val="000000"/>
          <w:sz w:val="24"/>
          <w:szCs w:val="24"/>
        </w:rPr>
        <w:t xml:space="preserve">AE is any </w:t>
      </w:r>
      <w:proofErr w:type="spellStart"/>
      <w:r w:rsidR="00B80953" w:rsidRPr="009033B0">
        <w:rPr>
          <w:rFonts w:ascii="Times New Roman" w:hAnsi="Times New Roman" w:cs="Times New Roman"/>
          <w:color w:val="000000"/>
          <w:sz w:val="24"/>
          <w:szCs w:val="24"/>
        </w:rPr>
        <w:t>unfavorable</w:t>
      </w:r>
      <w:proofErr w:type="spellEnd"/>
      <w:r w:rsidR="00B80953" w:rsidRPr="009033B0">
        <w:rPr>
          <w:rFonts w:ascii="Times New Roman" w:hAnsi="Times New Roman" w:cs="Times New Roman"/>
          <w:color w:val="000000"/>
          <w:sz w:val="24"/>
          <w:szCs w:val="24"/>
        </w:rPr>
        <w:t xml:space="preserve"> or unintended sign, symptom, or disease occurring during the course of participation in a research study. An AE may also be a worsening of a pre-existing illness or laboratory abnormality, regardless of whether or not associated with study medication or procedures. Some research protocols, such as longitudinal trials may not require reporting of AE to the study sponsor or Institution, though referral for health management must still occur in</w:t>
      </w:r>
    </w:p>
    <w:p w:rsidR="00B80953" w:rsidRPr="009033B0" w:rsidRDefault="00013972" w:rsidP="009033B0">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 xml:space="preserve">Serious adverse </w:t>
      </w:r>
      <w:r w:rsidR="005962B6" w:rsidRPr="009033B0">
        <w:rPr>
          <w:rFonts w:ascii="Times New Roman" w:hAnsi="Times New Roman" w:cs="Times New Roman"/>
          <w:b/>
          <w:bCs/>
          <w:color w:val="000000"/>
          <w:sz w:val="24"/>
          <w:szCs w:val="24"/>
        </w:rPr>
        <w:t>event  (SAE</w:t>
      </w:r>
      <w:r w:rsidRPr="009033B0">
        <w:rPr>
          <w:rFonts w:ascii="Times New Roman" w:hAnsi="Times New Roman" w:cs="Times New Roman"/>
          <w:b/>
          <w:bCs/>
          <w:color w:val="000000"/>
          <w:sz w:val="24"/>
          <w:szCs w:val="24"/>
        </w:rPr>
        <w:t xml:space="preserve">): </w:t>
      </w:r>
      <w:r w:rsidR="00B80953" w:rsidRPr="009033B0">
        <w:rPr>
          <w:rFonts w:ascii="Times New Roman" w:hAnsi="Times New Roman" w:cs="Times New Roman"/>
          <w:sz w:val="24"/>
          <w:szCs w:val="24"/>
        </w:rPr>
        <w:t>Any untoward medical occurrence that is immediately life-threatening, requires or prolongs hospitalization, results in permanent or significant disability or congenital anomaly (birth defect) or results in death whether associated or not with study medication or procedures. An initial report of the SAE must be transmitted via facsimile or web-based electronic mail to the Sponsor and Institutional Ethics Committee within 24 hours of the site becoming aware of the SAE. As additional information is known or as the SAE evolves follow-up reports will be submitted, through to resolution or final death report.</w:t>
      </w:r>
    </w:p>
    <w:p w:rsidR="00B80953" w:rsidRPr="009033B0" w:rsidRDefault="00B80953" w:rsidP="009033B0">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 xml:space="preserve">Toxicity grading: </w:t>
      </w:r>
      <w:r w:rsidRPr="009033B0">
        <w:rPr>
          <w:rFonts w:ascii="Times New Roman" w:hAnsi="Times New Roman" w:cs="Times New Roman"/>
          <w:color w:val="000000"/>
          <w:sz w:val="24"/>
          <w:szCs w:val="24"/>
        </w:rPr>
        <w:t xml:space="preserve">Clinical trials use a grading system for documenting the severity of abnormal events, whether symptoms or laboratory abnormalities. This same scale is often used for other trials, including academic and pharmaceutical trials. Toxicity grades go from one to four. One refers to an event with minor impact on the </w:t>
      </w:r>
      <w:r w:rsidRPr="009033B0">
        <w:rPr>
          <w:rFonts w:ascii="Times New Roman" w:hAnsi="Times New Roman" w:cs="Times New Roman"/>
          <w:color w:val="000000"/>
          <w:sz w:val="24"/>
          <w:szCs w:val="24"/>
        </w:rPr>
        <w:lastRenderedPageBreak/>
        <w:t xml:space="preserve">participant’s life, whereas four is considered serious and often life threatening. (See </w:t>
      </w:r>
      <w:r w:rsidR="00416CA4" w:rsidRPr="009033B0">
        <w:rPr>
          <w:rFonts w:ascii="Times New Roman" w:hAnsi="Times New Roman" w:cs="Times New Roman"/>
          <w:color w:val="000000"/>
          <w:sz w:val="24"/>
          <w:szCs w:val="24"/>
        </w:rPr>
        <w:t xml:space="preserve">Appendix - </w:t>
      </w:r>
      <w:r w:rsidRPr="009033B0">
        <w:rPr>
          <w:rFonts w:ascii="Times New Roman" w:hAnsi="Times New Roman" w:cs="Times New Roman"/>
          <w:color w:val="000000"/>
          <w:sz w:val="24"/>
          <w:szCs w:val="24"/>
        </w:rPr>
        <w:t xml:space="preserve">DAIDS Toxicity Table.) </w:t>
      </w:r>
    </w:p>
    <w:p w:rsidR="003D1ECC" w:rsidRPr="009033B0" w:rsidRDefault="00B80953" w:rsidP="009033B0">
      <w:pPr>
        <w:pStyle w:val="ListParagraph"/>
        <w:numPr>
          <w:ilvl w:val="0"/>
          <w:numId w:val="13"/>
        </w:numPr>
        <w:autoSpaceDE w:val="0"/>
        <w:autoSpaceDN w:val="0"/>
        <w:adjustRightInd w:val="0"/>
        <w:spacing w:after="0" w:line="360" w:lineRule="auto"/>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 xml:space="preserve">Unexpected adverse drug reaction: </w:t>
      </w:r>
      <w:r w:rsidRPr="009033B0">
        <w:rPr>
          <w:rFonts w:ascii="Times New Roman" w:hAnsi="Times New Roman" w:cs="Times New Roman"/>
          <w:color w:val="000000"/>
          <w:sz w:val="24"/>
          <w:szCs w:val="24"/>
        </w:rPr>
        <w:t>An adverse reaction, related to study product that has not previously been described or is more severe than previously described in the product’s package insert or investigational drug brochure. Unexpected adverse drug reactions require expedited reporting similar to SAE reporting.</w:t>
      </w:r>
    </w:p>
    <w:p w:rsidR="00E10F62" w:rsidRPr="009033B0" w:rsidRDefault="00013972" w:rsidP="009033B0">
      <w:pPr>
        <w:autoSpaceDE w:val="0"/>
        <w:autoSpaceDN w:val="0"/>
        <w:adjustRightInd w:val="0"/>
        <w:spacing w:after="0" w:line="360" w:lineRule="auto"/>
        <w:jc w:val="both"/>
        <w:rPr>
          <w:rFonts w:ascii="Times New Roman" w:hAnsi="Times New Roman" w:cs="Times New Roman"/>
          <w:b/>
          <w:bCs/>
          <w:color w:val="000000"/>
          <w:sz w:val="24"/>
          <w:szCs w:val="24"/>
        </w:rPr>
      </w:pPr>
      <w:r w:rsidRPr="009033B0">
        <w:rPr>
          <w:rFonts w:ascii="Times New Roman" w:hAnsi="Times New Roman" w:cs="Times New Roman"/>
          <w:b/>
          <w:bCs/>
          <w:color w:val="000000"/>
          <w:sz w:val="24"/>
          <w:szCs w:val="24"/>
        </w:rPr>
        <w:t xml:space="preserve">4. </w:t>
      </w:r>
      <w:r w:rsidR="00E10F62" w:rsidRPr="009033B0">
        <w:rPr>
          <w:rFonts w:ascii="Times New Roman" w:hAnsi="Times New Roman" w:cs="Times New Roman"/>
          <w:b/>
          <w:bCs/>
          <w:color w:val="000000"/>
          <w:sz w:val="24"/>
          <w:szCs w:val="24"/>
        </w:rPr>
        <w:t xml:space="preserve">Procedures </w:t>
      </w:r>
    </w:p>
    <w:p w:rsidR="00B80953" w:rsidRPr="009033B0" w:rsidRDefault="00013972" w:rsidP="009033B0">
      <w:pPr>
        <w:spacing w:line="360" w:lineRule="auto"/>
        <w:ind w:left="840" w:hanging="556"/>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 xml:space="preserve">A. </w:t>
      </w:r>
      <w:r w:rsidR="00B80953" w:rsidRPr="009033B0">
        <w:rPr>
          <w:rFonts w:ascii="Times New Roman" w:hAnsi="Times New Roman" w:cs="Times New Roman"/>
          <w:b/>
          <w:bCs/>
          <w:color w:val="000000"/>
          <w:sz w:val="24"/>
          <w:szCs w:val="24"/>
        </w:rPr>
        <w:t>A</w:t>
      </w:r>
      <w:r w:rsidR="00416CA4" w:rsidRPr="009033B0">
        <w:rPr>
          <w:rFonts w:ascii="Times New Roman" w:hAnsi="Times New Roman" w:cs="Times New Roman"/>
          <w:b/>
          <w:bCs/>
          <w:color w:val="000000"/>
          <w:sz w:val="24"/>
          <w:szCs w:val="24"/>
        </w:rPr>
        <w:t xml:space="preserve">dverse </w:t>
      </w:r>
      <w:proofErr w:type="gramStart"/>
      <w:r w:rsidR="00B80953" w:rsidRPr="009033B0">
        <w:rPr>
          <w:rFonts w:ascii="Times New Roman" w:hAnsi="Times New Roman" w:cs="Times New Roman"/>
          <w:b/>
          <w:bCs/>
          <w:color w:val="000000"/>
          <w:sz w:val="24"/>
          <w:szCs w:val="24"/>
        </w:rPr>
        <w:t>E</w:t>
      </w:r>
      <w:r w:rsidR="00416CA4" w:rsidRPr="009033B0">
        <w:rPr>
          <w:rFonts w:ascii="Times New Roman" w:hAnsi="Times New Roman" w:cs="Times New Roman"/>
          <w:b/>
          <w:bCs/>
          <w:color w:val="000000"/>
          <w:sz w:val="24"/>
          <w:szCs w:val="24"/>
        </w:rPr>
        <w:t xml:space="preserve">vent </w:t>
      </w:r>
      <w:r w:rsidR="00B80953" w:rsidRPr="009033B0">
        <w:rPr>
          <w:rFonts w:ascii="Times New Roman" w:hAnsi="Times New Roman" w:cs="Times New Roman"/>
          <w:b/>
          <w:bCs/>
          <w:color w:val="000000"/>
          <w:sz w:val="24"/>
          <w:szCs w:val="24"/>
        </w:rPr>
        <w:t xml:space="preserve"> Reporting</w:t>
      </w:r>
      <w:proofErr w:type="gramEnd"/>
      <w:r w:rsidR="00B80953" w:rsidRPr="009033B0">
        <w:rPr>
          <w:rFonts w:ascii="Times New Roman" w:hAnsi="Times New Roman" w:cs="Times New Roman"/>
          <w:b/>
          <w:bCs/>
          <w:color w:val="000000"/>
          <w:sz w:val="24"/>
          <w:szCs w:val="24"/>
        </w:rPr>
        <w:t xml:space="preserve"> </w:t>
      </w:r>
    </w:p>
    <w:p w:rsidR="00416CA4" w:rsidRPr="009033B0" w:rsidRDefault="00B80953" w:rsidP="009033B0">
      <w:pPr>
        <w:autoSpaceDE w:val="0"/>
        <w:autoSpaceDN w:val="0"/>
        <w:adjustRightInd w:val="0"/>
        <w:spacing w:after="0" w:line="360" w:lineRule="auto"/>
        <w:ind w:left="840" w:hanging="556"/>
        <w:jc w:val="both"/>
        <w:rPr>
          <w:rFonts w:ascii="Times New Roman" w:hAnsi="Times New Roman" w:cs="Times New Roman"/>
          <w:b/>
          <w:bCs/>
          <w:color w:val="000000"/>
          <w:sz w:val="24"/>
          <w:szCs w:val="24"/>
        </w:rPr>
      </w:pPr>
      <w:r w:rsidRPr="009033B0">
        <w:rPr>
          <w:rFonts w:ascii="Times New Roman" w:hAnsi="Times New Roman" w:cs="Times New Roman"/>
          <w:b/>
          <w:bCs/>
          <w:color w:val="000000"/>
          <w:sz w:val="24"/>
          <w:szCs w:val="24"/>
        </w:rPr>
        <w:t xml:space="preserve">a. Assessment: </w:t>
      </w:r>
    </w:p>
    <w:p w:rsidR="00B80953" w:rsidRPr="009033B0" w:rsidRDefault="00416CA4" w:rsidP="009033B0">
      <w:pPr>
        <w:autoSpaceDE w:val="0"/>
        <w:autoSpaceDN w:val="0"/>
        <w:adjustRightInd w:val="0"/>
        <w:spacing w:after="0" w:line="360" w:lineRule="auto"/>
        <w:ind w:left="284"/>
        <w:jc w:val="both"/>
        <w:rPr>
          <w:rFonts w:ascii="Times New Roman" w:hAnsi="Times New Roman" w:cs="Times New Roman"/>
          <w:color w:val="000000"/>
          <w:sz w:val="24"/>
          <w:szCs w:val="24"/>
        </w:rPr>
      </w:pPr>
      <w:r w:rsidRPr="009033B0">
        <w:rPr>
          <w:rFonts w:ascii="Times New Roman" w:hAnsi="Times New Roman" w:cs="Times New Roman"/>
          <w:color w:val="000000"/>
          <w:sz w:val="24"/>
          <w:szCs w:val="24"/>
        </w:rPr>
        <w:t>The site</w:t>
      </w:r>
      <w:r w:rsidR="00B80953" w:rsidRPr="009033B0">
        <w:rPr>
          <w:rFonts w:ascii="Times New Roman" w:hAnsi="Times New Roman" w:cs="Times New Roman"/>
          <w:color w:val="000000"/>
          <w:sz w:val="24"/>
          <w:szCs w:val="24"/>
        </w:rPr>
        <w:t xml:space="preserve"> coordinator (or designee) will continuously scr</w:t>
      </w:r>
      <w:r w:rsidRPr="009033B0">
        <w:rPr>
          <w:rFonts w:ascii="Times New Roman" w:hAnsi="Times New Roman" w:cs="Times New Roman"/>
          <w:color w:val="000000"/>
          <w:sz w:val="24"/>
          <w:szCs w:val="24"/>
        </w:rPr>
        <w:t xml:space="preserve">een for AE events on an ongoing </w:t>
      </w:r>
      <w:r w:rsidR="00B80953" w:rsidRPr="009033B0">
        <w:rPr>
          <w:rFonts w:ascii="Times New Roman" w:hAnsi="Times New Roman" w:cs="Times New Roman"/>
          <w:color w:val="000000"/>
          <w:sz w:val="24"/>
          <w:szCs w:val="24"/>
        </w:rPr>
        <w:t xml:space="preserve">basis using patient-reported histories, physical assessment/exam, laboratory reports, chart review, and any other available data and communicate this with the Principal Investigator. An AE may be a symptom (e.g., </w:t>
      </w:r>
      <w:proofErr w:type="spellStart"/>
      <w:r w:rsidR="00B80953" w:rsidRPr="009033B0">
        <w:rPr>
          <w:rFonts w:ascii="Times New Roman" w:hAnsi="Times New Roman" w:cs="Times New Roman"/>
          <w:color w:val="000000"/>
          <w:sz w:val="24"/>
          <w:szCs w:val="24"/>
        </w:rPr>
        <w:t>pruritis</w:t>
      </w:r>
      <w:proofErr w:type="spellEnd"/>
      <w:r w:rsidR="00B80953" w:rsidRPr="009033B0">
        <w:rPr>
          <w:rFonts w:ascii="Times New Roman" w:hAnsi="Times New Roman" w:cs="Times New Roman"/>
          <w:color w:val="000000"/>
          <w:sz w:val="24"/>
          <w:szCs w:val="24"/>
        </w:rPr>
        <w:t xml:space="preserve">), a sign (e.g., rash), a lab result (e.g., </w:t>
      </w:r>
      <w:r w:rsidRPr="009033B0">
        <w:rPr>
          <w:rFonts w:ascii="Times New Roman" w:hAnsi="Times New Roman" w:cs="Times New Roman"/>
          <w:color w:val="000000"/>
          <w:sz w:val="24"/>
          <w:szCs w:val="24"/>
        </w:rPr>
        <w:t xml:space="preserve">HB </w:t>
      </w:r>
      <w:proofErr w:type="gramStart"/>
      <w:r w:rsidRPr="009033B0">
        <w:rPr>
          <w:rFonts w:ascii="Times New Roman" w:hAnsi="Times New Roman" w:cs="Times New Roman"/>
          <w:color w:val="000000"/>
          <w:sz w:val="24"/>
          <w:szCs w:val="24"/>
        </w:rPr>
        <w:t>of  8.5g</w:t>
      </w:r>
      <w:proofErr w:type="gramEnd"/>
      <w:r w:rsidRPr="009033B0">
        <w:rPr>
          <w:rFonts w:ascii="Times New Roman" w:hAnsi="Times New Roman" w:cs="Times New Roman"/>
          <w:color w:val="000000"/>
          <w:sz w:val="24"/>
          <w:szCs w:val="24"/>
        </w:rPr>
        <w:t>/dl</w:t>
      </w:r>
      <w:r w:rsidR="00B80953" w:rsidRPr="009033B0">
        <w:rPr>
          <w:rFonts w:ascii="Times New Roman" w:hAnsi="Times New Roman" w:cs="Times New Roman"/>
          <w:color w:val="000000"/>
          <w:sz w:val="24"/>
          <w:szCs w:val="24"/>
        </w:rPr>
        <w:t xml:space="preserve">) or a diagnosis (e.g., PCP). </w:t>
      </w:r>
    </w:p>
    <w:p w:rsidR="00550582" w:rsidRPr="009033B0" w:rsidRDefault="00B80953" w:rsidP="009033B0">
      <w:pPr>
        <w:autoSpaceDE w:val="0"/>
        <w:autoSpaceDN w:val="0"/>
        <w:adjustRightInd w:val="0"/>
        <w:spacing w:after="0" w:line="360" w:lineRule="auto"/>
        <w:ind w:firstLine="284"/>
        <w:jc w:val="both"/>
        <w:rPr>
          <w:rFonts w:ascii="Times New Roman" w:hAnsi="Times New Roman" w:cs="Times New Roman"/>
          <w:b/>
          <w:bCs/>
          <w:color w:val="000000"/>
          <w:sz w:val="24"/>
          <w:szCs w:val="24"/>
        </w:rPr>
      </w:pPr>
      <w:r w:rsidRPr="009033B0">
        <w:rPr>
          <w:rFonts w:ascii="Times New Roman" w:hAnsi="Times New Roman" w:cs="Times New Roman"/>
          <w:b/>
          <w:bCs/>
          <w:color w:val="000000"/>
          <w:sz w:val="24"/>
          <w:szCs w:val="24"/>
        </w:rPr>
        <w:t>b. Documentation</w:t>
      </w:r>
    </w:p>
    <w:p w:rsidR="00B80953" w:rsidRPr="009033B0" w:rsidRDefault="00B80953" w:rsidP="009033B0">
      <w:pPr>
        <w:autoSpaceDE w:val="0"/>
        <w:autoSpaceDN w:val="0"/>
        <w:adjustRightInd w:val="0"/>
        <w:spacing w:after="0" w:line="360" w:lineRule="auto"/>
        <w:ind w:left="284"/>
        <w:jc w:val="both"/>
        <w:rPr>
          <w:rFonts w:ascii="Times New Roman" w:hAnsi="Times New Roman" w:cs="Times New Roman"/>
          <w:color w:val="000000"/>
          <w:sz w:val="24"/>
          <w:szCs w:val="24"/>
        </w:rPr>
      </w:pPr>
      <w:proofErr w:type="spellStart"/>
      <w:r w:rsidRPr="009033B0">
        <w:rPr>
          <w:rFonts w:ascii="Times New Roman" w:hAnsi="Times New Roman" w:cs="Times New Roman"/>
          <w:b/>
          <w:bCs/>
          <w:color w:val="000000"/>
          <w:sz w:val="24"/>
          <w:szCs w:val="24"/>
        </w:rPr>
        <w:t>i</w:t>
      </w:r>
      <w:proofErr w:type="spellEnd"/>
      <w:r w:rsidRPr="009033B0">
        <w:rPr>
          <w:rFonts w:ascii="Times New Roman" w:hAnsi="Times New Roman" w:cs="Times New Roman"/>
          <w:b/>
          <w:bCs/>
          <w:color w:val="000000"/>
          <w:sz w:val="24"/>
          <w:szCs w:val="24"/>
        </w:rPr>
        <w:t xml:space="preserve">. </w:t>
      </w:r>
      <w:r w:rsidRPr="009033B0">
        <w:rPr>
          <w:rFonts w:ascii="Times New Roman" w:hAnsi="Times New Roman" w:cs="Times New Roman"/>
          <w:color w:val="000000"/>
          <w:sz w:val="24"/>
          <w:szCs w:val="24"/>
        </w:rPr>
        <w:t xml:space="preserve">When an AE is identified, the </w:t>
      </w:r>
      <w:r w:rsidR="00416CA4" w:rsidRPr="009033B0">
        <w:rPr>
          <w:rFonts w:ascii="Times New Roman" w:hAnsi="Times New Roman" w:cs="Times New Roman"/>
          <w:color w:val="000000"/>
          <w:sz w:val="24"/>
          <w:szCs w:val="24"/>
        </w:rPr>
        <w:t>site</w:t>
      </w:r>
      <w:r w:rsidRPr="009033B0">
        <w:rPr>
          <w:rFonts w:ascii="Times New Roman" w:hAnsi="Times New Roman" w:cs="Times New Roman"/>
          <w:color w:val="000000"/>
          <w:sz w:val="24"/>
          <w:szCs w:val="24"/>
        </w:rPr>
        <w:t xml:space="preserve"> coordinator (or designee) will document the AE and the appropriate toxicity grade from the study assigned toxicity grading scale. Documentation of the AE may be done on the study visit flow sheet or an AE log specific to that study participant</w:t>
      </w:r>
      <w:r w:rsidR="00B2799C" w:rsidRPr="009033B0">
        <w:rPr>
          <w:rFonts w:ascii="Times New Roman" w:hAnsi="Times New Roman" w:cs="Times New Roman"/>
          <w:color w:val="000000"/>
          <w:sz w:val="24"/>
          <w:szCs w:val="24"/>
        </w:rPr>
        <w:t xml:space="preserve"> (appendix A)</w:t>
      </w:r>
      <w:r w:rsidRPr="009033B0">
        <w:rPr>
          <w:rFonts w:ascii="Times New Roman" w:hAnsi="Times New Roman" w:cs="Times New Roman"/>
          <w:color w:val="000000"/>
          <w:sz w:val="24"/>
          <w:szCs w:val="24"/>
        </w:rPr>
        <w:t xml:space="preserve">. If the </w:t>
      </w:r>
      <w:r w:rsidR="00416CA4" w:rsidRPr="009033B0">
        <w:rPr>
          <w:rFonts w:ascii="Times New Roman" w:hAnsi="Times New Roman" w:cs="Times New Roman"/>
          <w:color w:val="000000"/>
          <w:sz w:val="24"/>
          <w:szCs w:val="24"/>
        </w:rPr>
        <w:t>site</w:t>
      </w:r>
      <w:r w:rsidRPr="009033B0">
        <w:rPr>
          <w:rFonts w:ascii="Times New Roman" w:hAnsi="Times New Roman" w:cs="Times New Roman"/>
          <w:color w:val="000000"/>
          <w:sz w:val="24"/>
          <w:szCs w:val="24"/>
        </w:rPr>
        <w:t xml:space="preserve"> coordinator (or designee) chooses to use an AE log, the source clinic note or flow sheet should note that a new AE was noted and the AE log was updated. If the particular toxicity is not included in the toxicity table, grades 1,2,3,4 for mild, moderate, severe, and life threatening should be used. </w:t>
      </w:r>
    </w:p>
    <w:p w:rsidR="00B80953" w:rsidRPr="009033B0" w:rsidRDefault="00B80953" w:rsidP="009033B0">
      <w:pPr>
        <w:autoSpaceDE w:val="0"/>
        <w:autoSpaceDN w:val="0"/>
        <w:adjustRightInd w:val="0"/>
        <w:spacing w:after="0" w:line="360" w:lineRule="auto"/>
        <w:ind w:left="284"/>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 xml:space="preserve">ii. </w:t>
      </w:r>
      <w:r w:rsidRPr="009033B0">
        <w:rPr>
          <w:rFonts w:ascii="Times New Roman" w:hAnsi="Times New Roman" w:cs="Times New Roman"/>
          <w:color w:val="000000"/>
          <w:sz w:val="24"/>
          <w:szCs w:val="24"/>
        </w:rPr>
        <w:t xml:space="preserve">The Principal Investigator will review all </w:t>
      </w:r>
      <w:proofErr w:type="gramStart"/>
      <w:r w:rsidRPr="009033B0">
        <w:rPr>
          <w:rFonts w:ascii="Times New Roman" w:hAnsi="Times New Roman" w:cs="Times New Roman"/>
          <w:color w:val="000000"/>
          <w:sz w:val="24"/>
          <w:szCs w:val="24"/>
        </w:rPr>
        <w:t>AE,</w:t>
      </w:r>
      <w:proofErr w:type="gramEnd"/>
      <w:r w:rsidRPr="009033B0">
        <w:rPr>
          <w:rFonts w:ascii="Times New Roman" w:hAnsi="Times New Roman" w:cs="Times New Roman"/>
          <w:color w:val="000000"/>
          <w:sz w:val="24"/>
          <w:szCs w:val="24"/>
        </w:rPr>
        <w:t xml:space="preserve"> assess causality, and required course of action in accordance with the protocol and regulations. </w:t>
      </w:r>
    </w:p>
    <w:p w:rsidR="00B80953" w:rsidRPr="009033B0" w:rsidRDefault="00B80953" w:rsidP="009033B0">
      <w:pPr>
        <w:autoSpaceDE w:val="0"/>
        <w:autoSpaceDN w:val="0"/>
        <w:adjustRightInd w:val="0"/>
        <w:spacing w:after="0" w:line="360" w:lineRule="auto"/>
        <w:ind w:left="284"/>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iii</w:t>
      </w:r>
      <w:r w:rsidRPr="009033B0">
        <w:rPr>
          <w:rFonts w:ascii="Times New Roman" w:hAnsi="Times New Roman" w:cs="Times New Roman"/>
          <w:color w:val="000000"/>
          <w:sz w:val="24"/>
          <w:szCs w:val="24"/>
        </w:rPr>
        <w:t xml:space="preserve">. All AE should be followed to resolution. </w:t>
      </w:r>
    </w:p>
    <w:p w:rsidR="00B80953" w:rsidRPr="009033B0" w:rsidRDefault="00B80953" w:rsidP="009033B0">
      <w:pPr>
        <w:autoSpaceDE w:val="0"/>
        <w:autoSpaceDN w:val="0"/>
        <w:adjustRightInd w:val="0"/>
        <w:spacing w:after="0" w:line="360" w:lineRule="auto"/>
        <w:ind w:left="284"/>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 xml:space="preserve">iv. </w:t>
      </w:r>
      <w:r w:rsidRPr="009033B0">
        <w:rPr>
          <w:rFonts w:ascii="Times New Roman" w:hAnsi="Times New Roman" w:cs="Times New Roman"/>
          <w:color w:val="000000"/>
          <w:sz w:val="24"/>
          <w:szCs w:val="24"/>
        </w:rPr>
        <w:t xml:space="preserve">All grade 3 or 4 AE should be reported to the Principal Investigator (or </w:t>
      </w:r>
      <w:r w:rsidR="00416CA4" w:rsidRPr="009033B0">
        <w:rPr>
          <w:rFonts w:ascii="Times New Roman" w:hAnsi="Times New Roman" w:cs="Times New Roman"/>
          <w:color w:val="000000"/>
          <w:sz w:val="24"/>
          <w:szCs w:val="24"/>
        </w:rPr>
        <w:t>site coordinator</w:t>
      </w:r>
      <w:r w:rsidRPr="009033B0">
        <w:rPr>
          <w:rFonts w:ascii="Times New Roman" w:hAnsi="Times New Roman" w:cs="Times New Roman"/>
          <w:color w:val="000000"/>
          <w:sz w:val="24"/>
          <w:szCs w:val="24"/>
        </w:rPr>
        <w:t xml:space="preserve"> if unavailable) within 24 hours of awareness. A plan for follow-up of clinically significant AE should be documented in the patient’s source documents. </w:t>
      </w:r>
    </w:p>
    <w:p w:rsidR="00B80953" w:rsidRPr="009033B0" w:rsidRDefault="00B80953" w:rsidP="009033B0">
      <w:pPr>
        <w:autoSpaceDE w:val="0"/>
        <w:autoSpaceDN w:val="0"/>
        <w:adjustRightInd w:val="0"/>
        <w:spacing w:after="0" w:line="360" w:lineRule="auto"/>
        <w:ind w:left="284"/>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v</w:t>
      </w:r>
      <w:r w:rsidRPr="009033B0">
        <w:rPr>
          <w:rFonts w:ascii="Times New Roman" w:hAnsi="Times New Roman" w:cs="Times New Roman"/>
          <w:color w:val="000000"/>
          <w:sz w:val="24"/>
          <w:szCs w:val="24"/>
        </w:rPr>
        <w:t xml:space="preserve">. All new or unexplained clinically significant grade 3 and 4 lab results should be repeated as dictated by the protocol, the site investigator or within 72 hours to rule out laboratory error. </w:t>
      </w:r>
    </w:p>
    <w:p w:rsidR="00B80953" w:rsidRPr="009033B0" w:rsidRDefault="00B80953" w:rsidP="009033B0">
      <w:pPr>
        <w:autoSpaceDE w:val="0"/>
        <w:autoSpaceDN w:val="0"/>
        <w:adjustRightInd w:val="0"/>
        <w:spacing w:after="0" w:line="360" w:lineRule="auto"/>
        <w:ind w:left="284"/>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 xml:space="preserve">vi. </w:t>
      </w:r>
      <w:r w:rsidRPr="009033B0">
        <w:rPr>
          <w:rFonts w:ascii="Times New Roman" w:hAnsi="Times New Roman" w:cs="Times New Roman"/>
          <w:color w:val="000000"/>
          <w:sz w:val="24"/>
          <w:szCs w:val="24"/>
        </w:rPr>
        <w:t xml:space="preserve">Clinical management of AE should follow the toxicity guidelines outlined in the protocol unless contraindicated. If the study participant has a grade 3-4 laboratory abnormality and is non-symptomatic, the laboratory result(s) should be repeated prior to </w:t>
      </w:r>
      <w:r w:rsidRPr="009033B0">
        <w:rPr>
          <w:rFonts w:ascii="Times New Roman" w:hAnsi="Times New Roman" w:cs="Times New Roman"/>
          <w:color w:val="000000"/>
          <w:sz w:val="24"/>
          <w:szCs w:val="24"/>
        </w:rPr>
        <w:lastRenderedPageBreak/>
        <w:t xml:space="preserve">additional action being taken. For symptomatic laboratory abnormalities of grade 3-4, immediate action is warranted. It is the responsibility of the study coordinator to access the protocol toxicity management and to communicate this information to the Principal Investigator. The </w:t>
      </w:r>
      <w:r w:rsidR="00472B62" w:rsidRPr="009033B0">
        <w:rPr>
          <w:rFonts w:ascii="Times New Roman" w:hAnsi="Times New Roman" w:cs="Times New Roman"/>
          <w:color w:val="000000"/>
          <w:sz w:val="24"/>
          <w:szCs w:val="24"/>
        </w:rPr>
        <w:t>Site</w:t>
      </w:r>
      <w:r w:rsidRPr="009033B0">
        <w:rPr>
          <w:rFonts w:ascii="Times New Roman" w:hAnsi="Times New Roman" w:cs="Times New Roman"/>
          <w:color w:val="000000"/>
          <w:sz w:val="24"/>
          <w:szCs w:val="24"/>
        </w:rPr>
        <w:t xml:space="preserve"> coordinator should attempt to access the relationship of the AE to study treatment and include this in the communication. However, it is the responsibility of the Principal Investigator to make the final decision regarding causality of AE to study treatment or procedures, and patient management of this event. </w:t>
      </w:r>
    </w:p>
    <w:p w:rsidR="00472B62" w:rsidRPr="009033B0" w:rsidRDefault="00472B62" w:rsidP="009033B0">
      <w:pPr>
        <w:autoSpaceDE w:val="0"/>
        <w:autoSpaceDN w:val="0"/>
        <w:adjustRightInd w:val="0"/>
        <w:spacing w:after="0" w:line="360" w:lineRule="auto"/>
        <w:ind w:left="284"/>
        <w:jc w:val="both"/>
        <w:rPr>
          <w:rFonts w:ascii="Times New Roman" w:hAnsi="Times New Roman" w:cs="Times New Roman"/>
          <w:color w:val="000000"/>
          <w:sz w:val="24"/>
          <w:szCs w:val="24"/>
        </w:rPr>
      </w:pPr>
    </w:p>
    <w:p w:rsidR="00B80953" w:rsidRPr="009033B0" w:rsidRDefault="00472B62" w:rsidP="009033B0">
      <w:pPr>
        <w:autoSpaceDE w:val="0"/>
        <w:autoSpaceDN w:val="0"/>
        <w:adjustRightInd w:val="0"/>
        <w:spacing w:after="0" w:line="360" w:lineRule="auto"/>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 xml:space="preserve"> B. </w:t>
      </w:r>
      <w:r w:rsidR="00B80953" w:rsidRPr="009033B0">
        <w:rPr>
          <w:rFonts w:ascii="Times New Roman" w:hAnsi="Times New Roman" w:cs="Times New Roman"/>
          <w:b/>
          <w:bCs/>
          <w:color w:val="000000"/>
          <w:sz w:val="24"/>
          <w:szCs w:val="24"/>
        </w:rPr>
        <w:t>S</w:t>
      </w:r>
      <w:r w:rsidRPr="009033B0">
        <w:rPr>
          <w:rFonts w:ascii="Times New Roman" w:hAnsi="Times New Roman" w:cs="Times New Roman"/>
          <w:b/>
          <w:bCs/>
          <w:color w:val="000000"/>
          <w:sz w:val="24"/>
          <w:szCs w:val="24"/>
        </w:rPr>
        <w:t>erious Adverse Event Reporting</w:t>
      </w:r>
      <w:r w:rsidR="00B80953" w:rsidRPr="009033B0">
        <w:rPr>
          <w:rFonts w:ascii="Times New Roman" w:hAnsi="Times New Roman" w:cs="Times New Roman"/>
          <w:b/>
          <w:bCs/>
          <w:color w:val="000000"/>
          <w:sz w:val="24"/>
          <w:szCs w:val="24"/>
        </w:rPr>
        <w:t xml:space="preserve">: </w:t>
      </w:r>
    </w:p>
    <w:p w:rsidR="00B80953" w:rsidRPr="009033B0" w:rsidRDefault="00B80953" w:rsidP="009033B0">
      <w:pPr>
        <w:autoSpaceDE w:val="0"/>
        <w:autoSpaceDN w:val="0"/>
        <w:adjustRightInd w:val="0"/>
        <w:spacing w:after="0" w:line="360" w:lineRule="auto"/>
        <w:ind w:left="284"/>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 xml:space="preserve">a. Assessment: </w:t>
      </w:r>
      <w:r w:rsidRPr="009033B0">
        <w:rPr>
          <w:rFonts w:ascii="Times New Roman" w:hAnsi="Times New Roman" w:cs="Times New Roman"/>
          <w:color w:val="000000"/>
          <w:sz w:val="24"/>
          <w:szCs w:val="24"/>
        </w:rPr>
        <w:t xml:space="preserve">The study coordinator (or designee) will continuously screen for SAE events on an ongoing basis using patient or family-reported events, home-base care reports, in-patient census, obituaries, or any other available data. The study coordinator (or designee) will immediately communicate SAE reports with the Principal Investigator. As soon as the site receives information of a SAE, an initial report must be made to the Sponsor and Institutional Ethics Committee within 24 hours of notification. </w:t>
      </w:r>
    </w:p>
    <w:p w:rsidR="00B80953" w:rsidRPr="009033B0" w:rsidRDefault="00B80953" w:rsidP="009033B0">
      <w:pPr>
        <w:autoSpaceDE w:val="0"/>
        <w:autoSpaceDN w:val="0"/>
        <w:adjustRightInd w:val="0"/>
        <w:spacing w:after="0" w:line="360" w:lineRule="auto"/>
        <w:ind w:left="284"/>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 xml:space="preserve">b. Documentation: </w:t>
      </w:r>
    </w:p>
    <w:p w:rsidR="00B80953" w:rsidRPr="009033B0" w:rsidRDefault="00B80953" w:rsidP="009033B0">
      <w:pPr>
        <w:autoSpaceDE w:val="0"/>
        <w:autoSpaceDN w:val="0"/>
        <w:adjustRightInd w:val="0"/>
        <w:spacing w:after="0" w:line="360" w:lineRule="auto"/>
        <w:ind w:left="284"/>
        <w:jc w:val="both"/>
        <w:rPr>
          <w:rFonts w:ascii="Times New Roman" w:hAnsi="Times New Roman" w:cs="Times New Roman"/>
          <w:color w:val="000000"/>
          <w:sz w:val="24"/>
          <w:szCs w:val="24"/>
        </w:rPr>
      </w:pPr>
      <w:proofErr w:type="spellStart"/>
      <w:r w:rsidRPr="009033B0">
        <w:rPr>
          <w:rFonts w:ascii="Times New Roman" w:hAnsi="Times New Roman" w:cs="Times New Roman"/>
          <w:b/>
          <w:bCs/>
          <w:color w:val="000000"/>
          <w:sz w:val="24"/>
          <w:szCs w:val="24"/>
        </w:rPr>
        <w:t>i</w:t>
      </w:r>
      <w:proofErr w:type="spellEnd"/>
      <w:r w:rsidRPr="009033B0">
        <w:rPr>
          <w:rFonts w:ascii="Times New Roman" w:hAnsi="Times New Roman" w:cs="Times New Roman"/>
          <w:b/>
          <w:bCs/>
          <w:color w:val="000000"/>
          <w:sz w:val="24"/>
          <w:szCs w:val="24"/>
        </w:rPr>
        <w:t xml:space="preserve">. </w:t>
      </w:r>
      <w:r w:rsidRPr="009033B0">
        <w:rPr>
          <w:rFonts w:ascii="Times New Roman" w:hAnsi="Times New Roman" w:cs="Times New Roman"/>
          <w:color w:val="000000"/>
          <w:sz w:val="24"/>
          <w:szCs w:val="24"/>
        </w:rPr>
        <w:t xml:space="preserve">When an SAE is identified, the </w:t>
      </w:r>
      <w:r w:rsidR="00472B62" w:rsidRPr="009033B0">
        <w:rPr>
          <w:rFonts w:ascii="Times New Roman" w:hAnsi="Times New Roman" w:cs="Times New Roman"/>
          <w:color w:val="000000"/>
          <w:sz w:val="24"/>
          <w:szCs w:val="24"/>
        </w:rPr>
        <w:t xml:space="preserve">site </w:t>
      </w:r>
      <w:r w:rsidRPr="009033B0">
        <w:rPr>
          <w:rFonts w:ascii="Times New Roman" w:hAnsi="Times New Roman" w:cs="Times New Roman"/>
          <w:color w:val="000000"/>
          <w:sz w:val="24"/>
          <w:szCs w:val="24"/>
        </w:rPr>
        <w:t xml:space="preserve">coordinator (or designee) will document the SAE event, what makes this an SAE, study medication(s) and if ongoing, interrupted, or permanently discontinued, concomitant medication(s), and results of any procedures obtained. If the SAE is due to an unplanned hospitalization, the toxicity grading scale will be applied to any AE that may have prompted the unplanned hospitalization. </w:t>
      </w:r>
    </w:p>
    <w:p w:rsidR="00B80953" w:rsidRPr="009033B0" w:rsidRDefault="00B80953" w:rsidP="009033B0">
      <w:pPr>
        <w:autoSpaceDE w:val="0"/>
        <w:autoSpaceDN w:val="0"/>
        <w:adjustRightInd w:val="0"/>
        <w:spacing w:after="0" w:line="360" w:lineRule="auto"/>
        <w:ind w:left="284"/>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 xml:space="preserve">ii. </w:t>
      </w:r>
      <w:r w:rsidRPr="009033B0">
        <w:rPr>
          <w:rFonts w:ascii="Times New Roman" w:hAnsi="Times New Roman" w:cs="Times New Roman"/>
          <w:color w:val="000000"/>
          <w:sz w:val="24"/>
          <w:szCs w:val="24"/>
        </w:rPr>
        <w:t xml:space="preserve">The Principal Investigator will review all </w:t>
      </w:r>
      <w:proofErr w:type="gramStart"/>
      <w:r w:rsidRPr="009033B0">
        <w:rPr>
          <w:rFonts w:ascii="Times New Roman" w:hAnsi="Times New Roman" w:cs="Times New Roman"/>
          <w:color w:val="000000"/>
          <w:sz w:val="24"/>
          <w:szCs w:val="24"/>
        </w:rPr>
        <w:t>SAE,</w:t>
      </w:r>
      <w:proofErr w:type="gramEnd"/>
      <w:r w:rsidRPr="009033B0">
        <w:rPr>
          <w:rFonts w:ascii="Times New Roman" w:hAnsi="Times New Roman" w:cs="Times New Roman"/>
          <w:color w:val="000000"/>
          <w:sz w:val="24"/>
          <w:szCs w:val="24"/>
        </w:rPr>
        <w:t xml:space="preserve"> assess causality, and required course of action </w:t>
      </w:r>
      <w:r w:rsidR="00472B62" w:rsidRPr="009033B0">
        <w:rPr>
          <w:rFonts w:ascii="Times New Roman" w:hAnsi="Times New Roman" w:cs="Times New Roman"/>
          <w:color w:val="000000"/>
          <w:sz w:val="24"/>
          <w:szCs w:val="24"/>
        </w:rPr>
        <w:t>in accordance with the protocol</w:t>
      </w:r>
      <w:r w:rsidRPr="009033B0">
        <w:rPr>
          <w:rFonts w:ascii="Times New Roman" w:hAnsi="Times New Roman" w:cs="Times New Roman"/>
          <w:color w:val="000000"/>
          <w:sz w:val="24"/>
          <w:szCs w:val="24"/>
        </w:rPr>
        <w:t xml:space="preserve">. </w:t>
      </w:r>
    </w:p>
    <w:p w:rsidR="00B80953" w:rsidRPr="009033B0" w:rsidRDefault="00B80953" w:rsidP="009033B0">
      <w:pPr>
        <w:autoSpaceDE w:val="0"/>
        <w:autoSpaceDN w:val="0"/>
        <w:adjustRightInd w:val="0"/>
        <w:spacing w:after="0" w:line="360" w:lineRule="auto"/>
        <w:jc w:val="both"/>
        <w:rPr>
          <w:rFonts w:ascii="Times New Roman" w:hAnsi="Times New Roman" w:cs="Times New Roman"/>
          <w:color w:val="000000"/>
          <w:sz w:val="24"/>
          <w:szCs w:val="24"/>
        </w:rPr>
      </w:pPr>
    </w:p>
    <w:p w:rsidR="00B80953" w:rsidRPr="009033B0" w:rsidRDefault="00B80953" w:rsidP="009033B0">
      <w:pPr>
        <w:autoSpaceDE w:val="0"/>
        <w:autoSpaceDN w:val="0"/>
        <w:adjustRightInd w:val="0"/>
        <w:spacing w:after="0" w:line="360" w:lineRule="auto"/>
        <w:ind w:left="284"/>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iii</w:t>
      </w:r>
      <w:r w:rsidRPr="009033B0">
        <w:rPr>
          <w:rFonts w:ascii="Times New Roman" w:hAnsi="Times New Roman" w:cs="Times New Roman"/>
          <w:color w:val="000000"/>
          <w:sz w:val="24"/>
          <w:szCs w:val="24"/>
        </w:rPr>
        <w:t xml:space="preserve">. All SAE should be followed to resolution and interim SAE reports sent to the Sponsor and Institutional Ethics Committee as events unfold.  </w:t>
      </w:r>
    </w:p>
    <w:p w:rsidR="00B80953" w:rsidRPr="009033B0" w:rsidRDefault="00660D15" w:rsidP="009033B0">
      <w:pPr>
        <w:autoSpaceDE w:val="0"/>
        <w:autoSpaceDN w:val="0"/>
        <w:adjustRightInd w:val="0"/>
        <w:spacing w:after="0" w:line="360" w:lineRule="auto"/>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 xml:space="preserve">C. </w:t>
      </w:r>
      <w:r w:rsidR="00B80953" w:rsidRPr="009033B0">
        <w:rPr>
          <w:rFonts w:ascii="Times New Roman" w:hAnsi="Times New Roman" w:cs="Times New Roman"/>
          <w:b/>
          <w:bCs/>
          <w:color w:val="000000"/>
          <w:sz w:val="24"/>
          <w:szCs w:val="24"/>
        </w:rPr>
        <w:t xml:space="preserve">Unexpected Adverse Drug Event </w:t>
      </w:r>
      <w:r w:rsidRPr="009033B0">
        <w:rPr>
          <w:rFonts w:ascii="Times New Roman" w:hAnsi="Times New Roman" w:cs="Times New Roman"/>
          <w:b/>
          <w:bCs/>
          <w:color w:val="000000"/>
          <w:sz w:val="24"/>
          <w:szCs w:val="24"/>
        </w:rPr>
        <w:t>(UADE)</w:t>
      </w:r>
      <w:r w:rsidR="00B80953" w:rsidRPr="009033B0">
        <w:rPr>
          <w:rFonts w:ascii="Times New Roman" w:hAnsi="Times New Roman" w:cs="Times New Roman"/>
          <w:b/>
          <w:bCs/>
          <w:color w:val="000000"/>
          <w:sz w:val="24"/>
          <w:szCs w:val="24"/>
        </w:rPr>
        <w:t xml:space="preserve"> </w:t>
      </w:r>
    </w:p>
    <w:p w:rsidR="00421E23" w:rsidRPr="009033B0" w:rsidRDefault="00B80953" w:rsidP="009033B0">
      <w:pPr>
        <w:pStyle w:val="Default"/>
        <w:spacing w:line="360" w:lineRule="auto"/>
        <w:ind w:left="300"/>
        <w:jc w:val="both"/>
      </w:pPr>
      <w:r w:rsidRPr="009033B0">
        <w:rPr>
          <w:b/>
          <w:bCs/>
        </w:rPr>
        <w:t xml:space="preserve">a. Assessment: </w:t>
      </w:r>
      <w:r w:rsidRPr="009033B0">
        <w:t>The study coordinator (or designee) will continuously screen for UADE o</w:t>
      </w:r>
      <w:r w:rsidR="00660D15" w:rsidRPr="009033B0">
        <w:t>n an ongoing basis using participant</w:t>
      </w:r>
      <w:r w:rsidRPr="009033B0">
        <w:t>-reported histories, physical assessment/exam, laboratory reports, chart review, and any other available data compared to the package insert or investigational brochure. The study coordinator (or designee) will communicate this with the Principal Investigator.</w:t>
      </w:r>
    </w:p>
    <w:p w:rsidR="00B80953" w:rsidRPr="009033B0" w:rsidRDefault="00660D15" w:rsidP="009033B0">
      <w:pPr>
        <w:autoSpaceDE w:val="0"/>
        <w:autoSpaceDN w:val="0"/>
        <w:adjustRightInd w:val="0"/>
        <w:spacing w:after="0" w:line="360" w:lineRule="auto"/>
        <w:ind w:left="300"/>
        <w:jc w:val="both"/>
        <w:rPr>
          <w:rFonts w:ascii="Times New Roman" w:hAnsi="Times New Roman" w:cs="Times New Roman"/>
          <w:color w:val="000000"/>
          <w:sz w:val="24"/>
          <w:szCs w:val="24"/>
        </w:rPr>
      </w:pPr>
      <w:proofErr w:type="spellStart"/>
      <w:r w:rsidRPr="009033B0">
        <w:rPr>
          <w:rFonts w:ascii="Times New Roman" w:hAnsi="Times New Roman" w:cs="Times New Roman"/>
          <w:b/>
          <w:bCs/>
          <w:sz w:val="24"/>
          <w:szCs w:val="24"/>
        </w:rPr>
        <w:t>i</w:t>
      </w:r>
      <w:proofErr w:type="spellEnd"/>
      <w:r w:rsidRPr="009033B0">
        <w:rPr>
          <w:rFonts w:ascii="Times New Roman" w:hAnsi="Times New Roman" w:cs="Times New Roman"/>
          <w:b/>
          <w:bCs/>
          <w:sz w:val="24"/>
          <w:szCs w:val="24"/>
        </w:rPr>
        <w:t xml:space="preserve">. </w:t>
      </w:r>
      <w:r w:rsidR="00B80953" w:rsidRPr="009033B0">
        <w:rPr>
          <w:rFonts w:ascii="Times New Roman" w:hAnsi="Times New Roman" w:cs="Times New Roman"/>
          <w:color w:val="000000"/>
          <w:sz w:val="24"/>
          <w:szCs w:val="24"/>
        </w:rPr>
        <w:t xml:space="preserve">When an UADE is suspected, the clinical coordinator (or designee) will work together with the research pharmacist in verifying that the event caused by the study product is </w:t>
      </w:r>
      <w:r w:rsidR="00B80953" w:rsidRPr="009033B0">
        <w:rPr>
          <w:rFonts w:ascii="Times New Roman" w:hAnsi="Times New Roman" w:cs="Times New Roman"/>
          <w:color w:val="000000"/>
          <w:sz w:val="24"/>
          <w:szCs w:val="24"/>
        </w:rPr>
        <w:lastRenderedPageBreak/>
        <w:t xml:space="preserve">unexpected or of greater severity than previously reported. The clinical research coordinator (or designee) will document the UADE and the appropriate toxicity grade from the study assigned toxicity grading scale specified in the protocol or by the sponsor. Documentation of the UADE may be done on the study visit flow sheet or an AE log specific to that study participant along as causality to the study product is clearly noted. However, if the </w:t>
      </w:r>
      <w:r w:rsidRPr="009033B0">
        <w:rPr>
          <w:rFonts w:ascii="Times New Roman" w:hAnsi="Times New Roman" w:cs="Times New Roman"/>
          <w:color w:val="000000"/>
          <w:sz w:val="24"/>
          <w:szCs w:val="24"/>
        </w:rPr>
        <w:t>site</w:t>
      </w:r>
      <w:r w:rsidR="00B80953" w:rsidRPr="009033B0">
        <w:rPr>
          <w:rFonts w:ascii="Times New Roman" w:hAnsi="Times New Roman" w:cs="Times New Roman"/>
          <w:color w:val="000000"/>
          <w:sz w:val="24"/>
          <w:szCs w:val="24"/>
        </w:rPr>
        <w:t xml:space="preserve"> coordinator (or designee) chooses to use the AE log to document this event, a clinic note of this event should be added for reporting to the Sponsor and Institutional Ethics Committee. If the particular toxicity is not included in the toxicity table, grades 1,2,3,4 for mild, moderate, severe, and life threatening should be used. </w:t>
      </w:r>
    </w:p>
    <w:p w:rsidR="00B80953" w:rsidRPr="009033B0" w:rsidRDefault="00B80953" w:rsidP="009033B0">
      <w:pPr>
        <w:autoSpaceDE w:val="0"/>
        <w:autoSpaceDN w:val="0"/>
        <w:adjustRightInd w:val="0"/>
        <w:spacing w:after="0" w:line="360" w:lineRule="auto"/>
        <w:ind w:left="300"/>
        <w:jc w:val="both"/>
        <w:rPr>
          <w:rFonts w:ascii="Times New Roman" w:hAnsi="Times New Roman" w:cs="Times New Roman"/>
          <w:color w:val="000000"/>
          <w:sz w:val="24"/>
          <w:szCs w:val="24"/>
        </w:rPr>
      </w:pPr>
      <w:proofErr w:type="gramStart"/>
      <w:r w:rsidRPr="009033B0">
        <w:rPr>
          <w:rFonts w:ascii="Times New Roman" w:hAnsi="Times New Roman" w:cs="Times New Roman"/>
          <w:b/>
          <w:bCs/>
          <w:color w:val="000000"/>
          <w:sz w:val="24"/>
          <w:szCs w:val="24"/>
        </w:rPr>
        <w:t>ii</w:t>
      </w:r>
      <w:proofErr w:type="gramEnd"/>
      <w:r w:rsidRPr="009033B0">
        <w:rPr>
          <w:rFonts w:ascii="Times New Roman" w:hAnsi="Times New Roman" w:cs="Times New Roman"/>
          <w:b/>
          <w:bCs/>
          <w:color w:val="000000"/>
          <w:sz w:val="24"/>
          <w:szCs w:val="24"/>
        </w:rPr>
        <w:t>.</w:t>
      </w:r>
      <w:r w:rsidRPr="009033B0">
        <w:rPr>
          <w:rFonts w:ascii="Times New Roman" w:hAnsi="Times New Roman" w:cs="Times New Roman"/>
          <w:color w:val="000000"/>
          <w:sz w:val="24"/>
          <w:szCs w:val="24"/>
        </w:rPr>
        <w:t>. The Principal Investigator will review all UADE, confirm causality and unexpectedness of this event by the study product, and course of action in accordance with t</w:t>
      </w:r>
      <w:r w:rsidR="00660D15" w:rsidRPr="009033B0">
        <w:rPr>
          <w:rFonts w:ascii="Times New Roman" w:hAnsi="Times New Roman" w:cs="Times New Roman"/>
          <w:color w:val="000000"/>
          <w:sz w:val="24"/>
          <w:szCs w:val="24"/>
        </w:rPr>
        <w:t xml:space="preserve">he protocol and </w:t>
      </w:r>
      <w:r w:rsidRPr="009033B0">
        <w:rPr>
          <w:rFonts w:ascii="Times New Roman" w:hAnsi="Times New Roman" w:cs="Times New Roman"/>
          <w:color w:val="000000"/>
          <w:sz w:val="24"/>
          <w:szCs w:val="24"/>
        </w:rPr>
        <w:t xml:space="preserve"> regulations. </w:t>
      </w:r>
    </w:p>
    <w:p w:rsidR="00B80953" w:rsidRPr="009033B0" w:rsidRDefault="00B80953" w:rsidP="009033B0">
      <w:pPr>
        <w:autoSpaceDE w:val="0"/>
        <w:autoSpaceDN w:val="0"/>
        <w:adjustRightInd w:val="0"/>
        <w:spacing w:after="0" w:line="360" w:lineRule="auto"/>
        <w:ind w:left="300"/>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iii</w:t>
      </w:r>
      <w:r w:rsidRPr="009033B0">
        <w:rPr>
          <w:rFonts w:ascii="Times New Roman" w:hAnsi="Times New Roman" w:cs="Times New Roman"/>
          <w:color w:val="000000"/>
          <w:sz w:val="24"/>
          <w:szCs w:val="24"/>
        </w:rPr>
        <w:t xml:space="preserve">. All UADE must be reported to the study Sponsor and Institutional Ethics Committee and be followed to resolution. </w:t>
      </w:r>
    </w:p>
    <w:p w:rsidR="00B80953" w:rsidRPr="009033B0" w:rsidRDefault="00B80953" w:rsidP="009033B0">
      <w:pPr>
        <w:autoSpaceDE w:val="0"/>
        <w:autoSpaceDN w:val="0"/>
        <w:adjustRightInd w:val="0"/>
        <w:spacing w:after="0" w:line="360" w:lineRule="auto"/>
        <w:ind w:left="300"/>
        <w:jc w:val="both"/>
        <w:rPr>
          <w:rFonts w:ascii="Times New Roman" w:hAnsi="Times New Roman" w:cs="Times New Roman"/>
          <w:color w:val="000000"/>
          <w:sz w:val="24"/>
          <w:szCs w:val="24"/>
        </w:rPr>
      </w:pPr>
      <w:r w:rsidRPr="009033B0">
        <w:rPr>
          <w:rFonts w:ascii="Times New Roman" w:hAnsi="Times New Roman" w:cs="Times New Roman"/>
          <w:b/>
          <w:bCs/>
          <w:color w:val="000000"/>
          <w:sz w:val="24"/>
          <w:szCs w:val="24"/>
        </w:rPr>
        <w:t xml:space="preserve">iv. </w:t>
      </w:r>
      <w:r w:rsidRPr="009033B0">
        <w:rPr>
          <w:rFonts w:ascii="Times New Roman" w:hAnsi="Times New Roman" w:cs="Times New Roman"/>
          <w:color w:val="000000"/>
          <w:sz w:val="24"/>
          <w:szCs w:val="24"/>
        </w:rPr>
        <w:t xml:space="preserve">Clinical management of UADE should follow the toxicity guidelines outlined in the protocol unless contraindicated. If the UADE is a grade 3-4 laboratory abnormality in which the subject remains non-symptomatic, the laboratory result(s) should be repeated prior to additional action being taken. If the laboratory toxicity is verified, and the subject remains asymptomatic, the Sponsor should be notified before further action is taken. For symptomatic laboratory abnormalities of grade 3-4, immediate action is warranted. It is the responsibility of the </w:t>
      </w:r>
      <w:r w:rsidR="00660D15" w:rsidRPr="009033B0">
        <w:rPr>
          <w:rFonts w:ascii="Times New Roman" w:hAnsi="Times New Roman" w:cs="Times New Roman"/>
          <w:color w:val="000000"/>
          <w:sz w:val="24"/>
          <w:szCs w:val="24"/>
        </w:rPr>
        <w:t>site coordinator</w:t>
      </w:r>
      <w:r w:rsidRPr="009033B0">
        <w:rPr>
          <w:rFonts w:ascii="Times New Roman" w:hAnsi="Times New Roman" w:cs="Times New Roman"/>
          <w:color w:val="000000"/>
          <w:sz w:val="24"/>
          <w:szCs w:val="24"/>
        </w:rPr>
        <w:t xml:space="preserve"> to access the protocol toxicity management and to communicate this information to the Principal Investigator. </w:t>
      </w:r>
    </w:p>
    <w:p w:rsidR="00B80953" w:rsidRPr="009033B0" w:rsidRDefault="00B80953" w:rsidP="009033B0">
      <w:pPr>
        <w:pStyle w:val="Default"/>
        <w:spacing w:line="360" w:lineRule="auto"/>
        <w:ind w:left="284"/>
        <w:jc w:val="both"/>
      </w:pPr>
    </w:p>
    <w:p w:rsidR="00470402" w:rsidRPr="009033B0" w:rsidRDefault="00470402" w:rsidP="009033B0">
      <w:pPr>
        <w:autoSpaceDE w:val="0"/>
        <w:autoSpaceDN w:val="0"/>
        <w:adjustRightInd w:val="0"/>
        <w:spacing w:after="0" w:line="360" w:lineRule="auto"/>
        <w:ind w:left="284"/>
        <w:rPr>
          <w:rFonts w:ascii="Times New Roman" w:hAnsi="Times New Roman" w:cs="Times New Roman"/>
          <w:b/>
          <w:bCs/>
          <w:sz w:val="24"/>
          <w:szCs w:val="24"/>
        </w:rPr>
      </w:pPr>
      <w:r w:rsidRPr="009033B0">
        <w:rPr>
          <w:rFonts w:ascii="Times New Roman" w:hAnsi="Times New Roman" w:cs="Times New Roman"/>
          <w:b/>
          <w:bCs/>
          <w:sz w:val="24"/>
          <w:szCs w:val="24"/>
        </w:rPr>
        <w:t>This SOP has been read and understood by:</w:t>
      </w:r>
      <w:bookmarkStart w:id="0" w:name="_GoBack"/>
      <w:bookmarkEnd w:id="0"/>
    </w:p>
    <w:p w:rsidR="00470402" w:rsidRPr="009033B0" w:rsidRDefault="00470402" w:rsidP="009033B0">
      <w:pPr>
        <w:autoSpaceDE w:val="0"/>
        <w:autoSpaceDN w:val="0"/>
        <w:adjustRightInd w:val="0"/>
        <w:spacing w:after="0" w:line="360" w:lineRule="auto"/>
        <w:ind w:left="284"/>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470402" w:rsidTr="003958DF">
        <w:tc>
          <w:tcPr>
            <w:tcW w:w="3227"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470402" w:rsidRPr="005D53FE" w:rsidRDefault="00470402" w:rsidP="003958DF">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470402" w:rsidRDefault="00470402" w:rsidP="003958DF">
            <w:pPr>
              <w:spacing w:line="360" w:lineRule="auto"/>
              <w:rPr>
                <w:rFonts w:ascii="Times New Roman" w:hAnsi="Times New Roman" w:cs="Times New Roman"/>
                <w:sz w:val="24"/>
                <w:szCs w:val="24"/>
              </w:rPr>
            </w:pPr>
          </w:p>
        </w:tc>
      </w:tr>
    </w:tbl>
    <w:p w:rsidR="00470402" w:rsidRPr="00747675" w:rsidRDefault="00470402" w:rsidP="00470402">
      <w:pPr>
        <w:rPr>
          <w:rFonts w:ascii="Times New Roman" w:hAnsi="Times New Roman" w:cs="Times New Roman"/>
          <w:sz w:val="24"/>
          <w:szCs w:val="24"/>
        </w:rPr>
      </w:pPr>
    </w:p>
    <w:sectPr w:rsidR="00470402" w:rsidRPr="00747675" w:rsidSect="009033B0">
      <w:headerReference w:type="default" r:id="rId8"/>
      <w:footerReference w:type="default" r:id="rId9"/>
      <w:pgSz w:w="11906" w:h="16838"/>
      <w:pgMar w:top="109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DBE" w:rsidRDefault="006B6DBE" w:rsidP="005F326F">
      <w:pPr>
        <w:spacing w:after="0" w:line="240" w:lineRule="auto"/>
      </w:pPr>
      <w:r>
        <w:separator/>
      </w:r>
    </w:p>
  </w:endnote>
  <w:endnote w:type="continuationSeparator" w:id="0">
    <w:p w:rsidR="006B6DBE" w:rsidRDefault="006B6DBE" w:rsidP="005F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10527"/>
      <w:docPartObj>
        <w:docPartGallery w:val="Page Numbers (Bottom of Page)"/>
        <w:docPartUnique/>
      </w:docPartObj>
    </w:sdtPr>
    <w:sdtEndPr/>
    <w:sdtContent>
      <w:sdt>
        <w:sdtPr>
          <w:id w:val="860082579"/>
          <w:docPartObj>
            <w:docPartGallery w:val="Page Numbers (Top of Page)"/>
            <w:docPartUnique/>
          </w:docPartObj>
        </w:sdtPr>
        <w:sdtEndPr/>
        <w:sdtContent>
          <w:p w:rsidR="005118E5" w:rsidRDefault="002F4C28" w:rsidP="00421E23">
            <w:pPr>
              <w:pStyle w:val="Footer"/>
            </w:pPr>
            <w:r>
              <w:t xml:space="preserve">National </w:t>
            </w:r>
            <w:r w:rsidR="00421E23">
              <w:t xml:space="preserve">Agency for </w:t>
            </w:r>
            <w:r>
              <w:t>C</w:t>
            </w:r>
            <w:r w:rsidR="00421E23">
              <w:t xml:space="preserve">ontrol of </w:t>
            </w:r>
            <w:r>
              <w:t>A</w:t>
            </w:r>
            <w:r w:rsidR="00421E23">
              <w:t>IDS</w:t>
            </w:r>
            <w:r>
              <w:t xml:space="preserve">                                                                                            </w:t>
            </w:r>
            <w:r w:rsidR="00421E23">
              <w:t xml:space="preserve">     </w:t>
            </w:r>
            <w:r w:rsidR="005118E5">
              <w:t xml:space="preserve">Page </w:t>
            </w:r>
            <w:r w:rsidR="005118E5">
              <w:rPr>
                <w:b/>
                <w:bCs/>
                <w:sz w:val="24"/>
                <w:szCs w:val="24"/>
              </w:rPr>
              <w:fldChar w:fldCharType="begin"/>
            </w:r>
            <w:r w:rsidR="005118E5">
              <w:rPr>
                <w:b/>
                <w:bCs/>
              </w:rPr>
              <w:instrText xml:space="preserve"> PAGE </w:instrText>
            </w:r>
            <w:r w:rsidR="005118E5">
              <w:rPr>
                <w:b/>
                <w:bCs/>
                <w:sz w:val="24"/>
                <w:szCs w:val="24"/>
              </w:rPr>
              <w:fldChar w:fldCharType="separate"/>
            </w:r>
            <w:r w:rsidR="009033B0">
              <w:rPr>
                <w:b/>
                <w:bCs/>
                <w:noProof/>
              </w:rPr>
              <w:t>5</w:t>
            </w:r>
            <w:r w:rsidR="005118E5">
              <w:rPr>
                <w:b/>
                <w:bCs/>
                <w:sz w:val="24"/>
                <w:szCs w:val="24"/>
              </w:rPr>
              <w:fldChar w:fldCharType="end"/>
            </w:r>
            <w:r w:rsidR="005118E5">
              <w:t xml:space="preserve"> of </w:t>
            </w:r>
            <w:r w:rsidR="005118E5">
              <w:rPr>
                <w:b/>
                <w:bCs/>
                <w:sz w:val="24"/>
                <w:szCs w:val="24"/>
              </w:rPr>
              <w:fldChar w:fldCharType="begin"/>
            </w:r>
            <w:r w:rsidR="005118E5">
              <w:rPr>
                <w:b/>
                <w:bCs/>
              </w:rPr>
              <w:instrText xml:space="preserve"> NUMPAGES  </w:instrText>
            </w:r>
            <w:r w:rsidR="005118E5">
              <w:rPr>
                <w:b/>
                <w:bCs/>
                <w:sz w:val="24"/>
                <w:szCs w:val="24"/>
              </w:rPr>
              <w:fldChar w:fldCharType="separate"/>
            </w:r>
            <w:r w:rsidR="009033B0">
              <w:rPr>
                <w:b/>
                <w:bCs/>
                <w:noProof/>
              </w:rPr>
              <w:t>5</w:t>
            </w:r>
            <w:r w:rsidR="005118E5">
              <w:rPr>
                <w:b/>
                <w:bCs/>
                <w:sz w:val="24"/>
                <w:szCs w:val="24"/>
              </w:rPr>
              <w:fldChar w:fldCharType="end"/>
            </w:r>
          </w:p>
        </w:sdtContent>
      </w:sdt>
    </w:sdtContent>
  </w:sdt>
  <w:p w:rsidR="005118E5" w:rsidRDefault="0051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DBE" w:rsidRDefault="006B6DBE" w:rsidP="005F326F">
      <w:pPr>
        <w:spacing w:after="0" w:line="240" w:lineRule="auto"/>
      </w:pPr>
      <w:r>
        <w:separator/>
      </w:r>
    </w:p>
  </w:footnote>
  <w:footnote w:type="continuationSeparator" w:id="0">
    <w:p w:rsidR="006B6DBE" w:rsidRDefault="006B6DBE" w:rsidP="005F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6F" w:rsidRDefault="009033B0" w:rsidP="009033B0">
    <w:pPr>
      <w:pStyle w:val="Header"/>
      <w:jc w:val="right"/>
    </w:pPr>
    <w:r>
      <w:t>NPS/CA-207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B68"/>
    <w:multiLevelType w:val="hybridMultilevel"/>
    <w:tmpl w:val="BBBEE9E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F7B1D"/>
    <w:multiLevelType w:val="hybridMultilevel"/>
    <w:tmpl w:val="B6AEADFA"/>
    <w:lvl w:ilvl="0" w:tplc="04700001">
      <w:start w:val="1"/>
      <w:numFmt w:val="bullet"/>
      <w:lvlText w:val=""/>
      <w:lvlJc w:val="left"/>
      <w:pPr>
        <w:ind w:left="720" w:hanging="360"/>
      </w:pPr>
      <w:rPr>
        <w:rFonts w:ascii="Symbol" w:hAnsi="Symbol" w:hint="default"/>
      </w:rPr>
    </w:lvl>
    <w:lvl w:ilvl="1" w:tplc="04700003" w:tentative="1">
      <w:start w:val="1"/>
      <w:numFmt w:val="bullet"/>
      <w:lvlText w:val="o"/>
      <w:lvlJc w:val="left"/>
      <w:pPr>
        <w:ind w:left="1440" w:hanging="360"/>
      </w:pPr>
      <w:rPr>
        <w:rFonts w:ascii="Courier New" w:hAnsi="Courier New" w:cs="Courier New" w:hint="default"/>
      </w:rPr>
    </w:lvl>
    <w:lvl w:ilvl="2" w:tplc="04700005" w:tentative="1">
      <w:start w:val="1"/>
      <w:numFmt w:val="bullet"/>
      <w:lvlText w:val=""/>
      <w:lvlJc w:val="left"/>
      <w:pPr>
        <w:ind w:left="2160" w:hanging="360"/>
      </w:pPr>
      <w:rPr>
        <w:rFonts w:ascii="Wingdings" w:hAnsi="Wingdings" w:hint="default"/>
      </w:rPr>
    </w:lvl>
    <w:lvl w:ilvl="3" w:tplc="04700001" w:tentative="1">
      <w:start w:val="1"/>
      <w:numFmt w:val="bullet"/>
      <w:lvlText w:val=""/>
      <w:lvlJc w:val="left"/>
      <w:pPr>
        <w:ind w:left="2880" w:hanging="360"/>
      </w:pPr>
      <w:rPr>
        <w:rFonts w:ascii="Symbol" w:hAnsi="Symbol" w:hint="default"/>
      </w:rPr>
    </w:lvl>
    <w:lvl w:ilvl="4" w:tplc="04700003" w:tentative="1">
      <w:start w:val="1"/>
      <w:numFmt w:val="bullet"/>
      <w:lvlText w:val="o"/>
      <w:lvlJc w:val="left"/>
      <w:pPr>
        <w:ind w:left="3600" w:hanging="360"/>
      </w:pPr>
      <w:rPr>
        <w:rFonts w:ascii="Courier New" w:hAnsi="Courier New" w:cs="Courier New" w:hint="default"/>
      </w:rPr>
    </w:lvl>
    <w:lvl w:ilvl="5" w:tplc="04700005" w:tentative="1">
      <w:start w:val="1"/>
      <w:numFmt w:val="bullet"/>
      <w:lvlText w:val=""/>
      <w:lvlJc w:val="left"/>
      <w:pPr>
        <w:ind w:left="4320" w:hanging="360"/>
      </w:pPr>
      <w:rPr>
        <w:rFonts w:ascii="Wingdings" w:hAnsi="Wingdings" w:hint="default"/>
      </w:rPr>
    </w:lvl>
    <w:lvl w:ilvl="6" w:tplc="04700001" w:tentative="1">
      <w:start w:val="1"/>
      <w:numFmt w:val="bullet"/>
      <w:lvlText w:val=""/>
      <w:lvlJc w:val="left"/>
      <w:pPr>
        <w:ind w:left="5040" w:hanging="360"/>
      </w:pPr>
      <w:rPr>
        <w:rFonts w:ascii="Symbol" w:hAnsi="Symbol" w:hint="default"/>
      </w:rPr>
    </w:lvl>
    <w:lvl w:ilvl="7" w:tplc="04700003" w:tentative="1">
      <w:start w:val="1"/>
      <w:numFmt w:val="bullet"/>
      <w:lvlText w:val="o"/>
      <w:lvlJc w:val="left"/>
      <w:pPr>
        <w:ind w:left="5760" w:hanging="360"/>
      </w:pPr>
      <w:rPr>
        <w:rFonts w:ascii="Courier New" w:hAnsi="Courier New" w:cs="Courier New" w:hint="default"/>
      </w:rPr>
    </w:lvl>
    <w:lvl w:ilvl="8" w:tplc="04700005" w:tentative="1">
      <w:start w:val="1"/>
      <w:numFmt w:val="bullet"/>
      <w:lvlText w:val=""/>
      <w:lvlJc w:val="left"/>
      <w:pPr>
        <w:ind w:left="6480" w:hanging="360"/>
      </w:pPr>
      <w:rPr>
        <w:rFonts w:ascii="Wingdings" w:hAnsi="Wingdings" w:hint="default"/>
      </w:rPr>
    </w:lvl>
  </w:abstractNum>
  <w:abstractNum w:abstractNumId="2">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7C2610"/>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A348B8"/>
    <w:multiLevelType w:val="hybridMultilevel"/>
    <w:tmpl w:val="17F0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4B62BA"/>
    <w:multiLevelType w:val="hybridMultilevel"/>
    <w:tmpl w:val="461AA9EE"/>
    <w:lvl w:ilvl="0" w:tplc="9F46D40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C05DFB"/>
    <w:multiLevelType w:val="hybridMultilevel"/>
    <w:tmpl w:val="3D74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496962"/>
    <w:multiLevelType w:val="hybridMultilevel"/>
    <w:tmpl w:val="0BA0546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9F1027"/>
    <w:multiLevelType w:val="hybridMultilevel"/>
    <w:tmpl w:val="91EA4C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591967F1"/>
    <w:multiLevelType w:val="hybridMultilevel"/>
    <w:tmpl w:val="0BF05450"/>
    <w:lvl w:ilvl="0" w:tplc="0470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B897058"/>
    <w:multiLevelType w:val="hybridMultilevel"/>
    <w:tmpl w:val="5720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BC1639"/>
    <w:multiLevelType w:val="hybridMultilevel"/>
    <w:tmpl w:val="8702DA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609D3557"/>
    <w:multiLevelType w:val="hybridMultilevel"/>
    <w:tmpl w:val="0D0833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654F4129"/>
    <w:multiLevelType w:val="hybridMultilevel"/>
    <w:tmpl w:val="046C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62B29E0"/>
    <w:multiLevelType w:val="hybridMultilevel"/>
    <w:tmpl w:val="54BE93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765F5979"/>
    <w:multiLevelType w:val="hybridMultilevel"/>
    <w:tmpl w:val="85825D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nsid w:val="7A7C4523"/>
    <w:multiLevelType w:val="hybridMultilevel"/>
    <w:tmpl w:val="2B8C0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17"/>
  </w:num>
  <w:num w:numId="4">
    <w:abstractNumId w:val="10"/>
  </w:num>
  <w:num w:numId="5">
    <w:abstractNumId w:val="5"/>
  </w:num>
  <w:num w:numId="6">
    <w:abstractNumId w:val="16"/>
  </w:num>
  <w:num w:numId="7">
    <w:abstractNumId w:val="15"/>
  </w:num>
  <w:num w:numId="8">
    <w:abstractNumId w:val="11"/>
  </w:num>
  <w:num w:numId="9">
    <w:abstractNumId w:val="8"/>
  </w:num>
  <w:num w:numId="10">
    <w:abstractNumId w:val="13"/>
  </w:num>
  <w:num w:numId="11">
    <w:abstractNumId w:val="3"/>
  </w:num>
  <w:num w:numId="12">
    <w:abstractNumId w:val="9"/>
  </w:num>
  <w:num w:numId="13">
    <w:abstractNumId w:val="4"/>
  </w:num>
  <w:num w:numId="14">
    <w:abstractNumId w:val="7"/>
  </w:num>
  <w:num w:numId="15">
    <w:abstractNumId w:val="1"/>
  </w:num>
  <w:num w:numId="16">
    <w:abstractNumId w:val="0"/>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32"/>
    <w:rsid w:val="00013972"/>
    <w:rsid w:val="000153B2"/>
    <w:rsid w:val="00070E05"/>
    <w:rsid w:val="000B2296"/>
    <w:rsid w:val="00173422"/>
    <w:rsid w:val="0025608D"/>
    <w:rsid w:val="00260C2E"/>
    <w:rsid w:val="002C4B0E"/>
    <w:rsid w:val="002F10BB"/>
    <w:rsid w:val="002F4C28"/>
    <w:rsid w:val="003453F9"/>
    <w:rsid w:val="00373057"/>
    <w:rsid w:val="003D1ECC"/>
    <w:rsid w:val="003D697A"/>
    <w:rsid w:val="003E5032"/>
    <w:rsid w:val="00416CA4"/>
    <w:rsid w:val="00421E23"/>
    <w:rsid w:val="00470402"/>
    <w:rsid w:val="00472B62"/>
    <w:rsid w:val="004B785D"/>
    <w:rsid w:val="00503EC3"/>
    <w:rsid w:val="005118E5"/>
    <w:rsid w:val="00550582"/>
    <w:rsid w:val="00553CCF"/>
    <w:rsid w:val="005962B6"/>
    <w:rsid w:val="005D1B4C"/>
    <w:rsid w:val="005F326F"/>
    <w:rsid w:val="00660D15"/>
    <w:rsid w:val="00683183"/>
    <w:rsid w:val="0069067C"/>
    <w:rsid w:val="00695C54"/>
    <w:rsid w:val="006B6DBE"/>
    <w:rsid w:val="00745279"/>
    <w:rsid w:val="00795404"/>
    <w:rsid w:val="007F0E96"/>
    <w:rsid w:val="007F7B51"/>
    <w:rsid w:val="0080460C"/>
    <w:rsid w:val="0087014C"/>
    <w:rsid w:val="008906BA"/>
    <w:rsid w:val="009033B0"/>
    <w:rsid w:val="0093120F"/>
    <w:rsid w:val="009357EE"/>
    <w:rsid w:val="00952914"/>
    <w:rsid w:val="00A127AA"/>
    <w:rsid w:val="00A275F5"/>
    <w:rsid w:val="00A659C8"/>
    <w:rsid w:val="00AC0DBA"/>
    <w:rsid w:val="00AF62EC"/>
    <w:rsid w:val="00B2799C"/>
    <w:rsid w:val="00B375DD"/>
    <w:rsid w:val="00B800FB"/>
    <w:rsid w:val="00B80953"/>
    <w:rsid w:val="00BE051F"/>
    <w:rsid w:val="00C60D37"/>
    <w:rsid w:val="00D21159"/>
    <w:rsid w:val="00E10F62"/>
    <w:rsid w:val="00E51E9B"/>
    <w:rsid w:val="00E9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semiHidden/>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semiHidden/>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2015-03-02T21:47:00Z</dcterms:created>
  <dcterms:modified xsi:type="dcterms:W3CDTF">2015-03-02T21:47:00Z</dcterms:modified>
</cp:coreProperties>
</file>