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779C98" w:rsidR="001C3881" w:rsidRPr="00070824" w:rsidRDefault="00E75859" w:rsidP="00A173BF">
      <w:pPr>
        <w:spacing w:after="0"/>
        <w:rPr>
          <w:b/>
        </w:rPr>
      </w:pPr>
      <w:r w:rsidRPr="00070824">
        <w:rPr>
          <w:b/>
        </w:rPr>
        <w:t xml:space="preserve">Guideline Addendum for Oral Pre-Exposure Prophylaxis: TEMPLATE LANGUAGE </w:t>
      </w:r>
    </w:p>
    <w:p w14:paraId="73BF4FC1" w14:textId="4A2FE3E7" w:rsidR="00A173BF" w:rsidRPr="00070824" w:rsidRDefault="00D56325" w:rsidP="00A173BF">
      <w:pPr>
        <w:spacing w:after="0"/>
        <w:rPr>
          <w:b/>
        </w:rPr>
      </w:pPr>
      <w:r>
        <w:rPr>
          <w:b/>
        </w:rPr>
        <w:t>January 2022</w:t>
      </w:r>
    </w:p>
    <w:p w14:paraId="09BAC116" w14:textId="77777777" w:rsidR="0047517A" w:rsidRPr="006C3EE5" w:rsidRDefault="0047517A" w:rsidP="00A173B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73BF" w:rsidRPr="00203A17" w14:paraId="2F5AE0D9" w14:textId="77777777" w:rsidTr="00A173BF">
        <w:tc>
          <w:tcPr>
            <w:tcW w:w="10456" w:type="dxa"/>
            <w:shd w:val="clear" w:color="auto" w:fill="D9E2F3" w:themeFill="accent1" w:themeFillTint="33"/>
          </w:tcPr>
          <w:p w14:paraId="472B94ED" w14:textId="687D0EFE" w:rsidR="00A173BF" w:rsidRDefault="00A173BF" w:rsidP="00A173BF">
            <w:r w:rsidRPr="00705802">
              <w:rPr>
                <w:color w:val="000000"/>
              </w:rPr>
              <w:t xml:space="preserve">The intent of this document is to provide an adaptable </w:t>
            </w:r>
            <w:r w:rsidR="00563695" w:rsidRPr="00705802">
              <w:rPr>
                <w:color w:val="000000"/>
              </w:rPr>
              <w:t xml:space="preserve">template </w:t>
            </w:r>
            <w:r w:rsidR="006E232A" w:rsidRPr="00705802">
              <w:rPr>
                <w:color w:val="000000"/>
              </w:rPr>
              <w:t>for an</w:t>
            </w:r>
            <w:r w:rsidRPr="00705802">
              <w:rPr>
                <w:color w:val="000000"/>
              </w:rPr>
              <w:t xml:space="preserve"> addendum </w:t>
            </w:r>
            <w:r w:rsidR="00965489" w:rsidRPr="00705802">
              <w:rPr>
                <w:color w:val="000000"/>
              </w:rPr>
              <w:t xml:space="preserve">to </w:t>
            </w:r>
            <w:r w:rsidR="0006023D" w:rsidRPr="00705802">
              <w:rPr>
                <w:color w:val="000000"/>
              </w:rPr>
              <w:t>align</w:t>
            </w:r>
            <w:r w:rsidR="00965489" w:rsidRPr="00705802">
              <w:rPr>
                <w:color w:val="000000"/>
              </w:rPr>
              <w:t xml:space="preserve"> </w:t>
            </w:r>
            <w:r w:rsidR="00C01D5C" w:rsidRPr="00705802">
              <w:rPr>
                <w:color w:val="000000"/>
              </w:rPr>
              <w:t xml:space="preserve">national </w:t>
            </w:r>
            <w:r w:rsidR="00965489" w:rsidRPr="00705802">
              <w:rPr>
                <w:color w:val="000000"/>
              </w:rPr>
              <w:t>oral pre-exposure prophylaxis (PrEP)</w:t>
            </w:r>
            <w:r w:rsidRPr="00705802">
              <w:rPr>
                <w:color w:val="000000"/>
              </w:rPr>
              <w:t xml:space="preserve"> </w:t>
            </w:r>
            <w:r w:rsidR="00234E64" w:rsidRPr="00705802">
              <w:rPr>
                <w:color w:val="000000"/>
              </w:rPr>
              <w:t xml:space="preserve">guidelines </w:t>
            </w:r>
            <w:r w:rsidRPr="00705802">
              <w:rPr>
                <w:color w:val="000000"/>
              </w:rPr>
              <w:t xml:space="preserve">with </w:t>
            </w:r>
            <w:r w:rsidR="00A12EE2" w:rsidRPr="00705802">
              <w:rPr>
                <w:color w:val="000000"/>
              </w:rPr>
              <w:t xml:space="preserve">the </w:t>
            </w:r>
            <w:r w:rsidRPr="00705802">
              <w:rPr>
                <w:color w:val="000000"/>
              </w:rPr>
              <w:t>World Health Organization</w:t>
            </w:r>
            <w:r w:rsidR="00A12EE2" w:rsidRPr="00705802">
              <w:rPr>
                <w:color w:val="000000"/>
              </w:rPr>
              <w:t>’s</w:t>
            </w:r>
            <w:r w:rsidRPr="00705802">
              <w:rPr>
                <w:color w:val="000000"/>
              </w:rPr>
              <w:t xml:space="preserve"> (WHO</w:t>
            </w:r>
            <w:r w:rsidR="00A12EE2" w:rsidRPr="00705802">
              <w:rPr>
                <w:color w:val="000000"/>
              </w:rPr>
              <w:t>’s</w:t>
            </w:r>
            <w:r w:rsidRPr="00705802">
              <w:rPr>
                <w:color w:val="000000"/>
              </w:rPr>
              <w:t xml:space="preserve">) </w:t>
            </w:r>
            <w:r w:rsidR="00A12EE2" w:rsidRPr="00705802">
              <w:rPr>
                <w:color w:val="000000"/>
              </w:rPr>
              <w:t>updated</w:t>
            </w:r>
            <w:r w:rsidR="00347506" w:rsidRPr="00705802">
              <w:rPr>
                <w:color w:val="000000"/>
              </w:rPr>
              <w:t xml:space="preserve"> and</w:t>
            </w:r>
            <w:r w:rsidR="00A12EE2" w:rsidRPr="00705802">
              <w:rPr>
                <w:color w:val="000000"/>
              </w:rPr>
              <w:t xml:space="preserve"> clarified </w:t>
            </w:r>
            <w:r w:rsidRPr="00705802">
              <w:rPr>
                <w:color w:val="000000"/>
              </w:rPr>
              <w:t xml:space="preserve">recommendations on </w:t>
            </w:r>
            <w:r w:rsidR="00956267" w:rsidRPr="00705802">
              <w:rPr>
                <w:color w:val="000000"/>
              </w:rPr>
              <w:t xml:space="preserve">oral </w:t>
            </w:r>
            <w:proofErr w:type="spellStart"/>
            <w:r w:rsidRPr="00705802">
              <w:rPr>
                <w:color w:val="000000"/>
              </w:rPr>
              <w:t>PrEP</w:t>
            </w:r>
            <w:r w:rsidR="00F45943" w:rsidRPr="00705802">
              <w:rPr>
                <w:color w:val="000000"/>
              </w:rPr>
              <w:t>.</w:t>
            </w:r>
            <w:proofErr w:type="spellEnd"/>
            <w:r w:rsidRPr="00705802">
              <w:rPr>
                <w:color w:val="000000"/>
              </w:rPr>
              <w:t xml:space="preserve"> This addendum may be </w:t>
            </w:r>
            <w:r w:rsidR="002A7366" w:rsidRPr="00705802">
              <w:rPr>
                <w:color w:val="000000"/>
              </w:rPr>
              <w:t xml:space="preserve">used </w:t>
            </w:r>
            <w:r w:rsidRPr="00705802">
              <w:rPr>
                <w:color w:val="000000"/>
              </w:rPr>
              <w:t>to update and clarif</w:t>
            </w:r>
            <w:r w:rsidR="001277C9" w:rsidRPr="00705802">
              <w:rPr>
                <w:color w:val="000000"/>
              </w:rPr>
              <w:t>y</w:t>
            </w:r>
            <w:r w:rsidRPr="00705802">
              <w:rPr>
                <w:color w:val="000000"/>
              </w:rPr>
              <w:t xml:space="preserve"> existing national guidelines to ensure wider access to oral </w:t>
            </w:r>
            <w:proofErr w:type="spellStart"/>
            <w:r w:rsidRPr="00705802">
              <w:rPr>
                <w:color w:val="000000"/>
              </w:rPr>
              <w:t>PrEP.</w:t>
            </w:r>
            <w:proofErr w:type="spellEnd"/>
            <w:r w:rsidRPr="00705802">
              <w:rPr>
                <w:color w:val="000000"/>
              </w:rPr>
              <w:t xml:space="preserve"> Areas requiring national updates are indicated in </w:t>
            </w:r>
            <w:r w:rsidRPr="00705802">
              <w:rPr>
                <w:color w:val="FF0000"/>
              </w:rPr>
              <w:t>red</w:t>
            </w:r>
            <w:r w:rsidRPr="00705802">
              <w:t xml:space="preserve">. </w:t>
            </w:r>
          </w:p>
          <w:p w14:paraId="23751E1E" w14:textId="77777777" w:rsidR="00E2063F" w:rsidRPr="00705802" w:rsidRDefault="00E2063F" w:rsidP="00A173BF">
            <w:pPr>
              <w:rPr>
                <w:color w:val="000000"/>
              </w:rPr>
            </w:pPr>
          </w:p>
          <w:p w14:paraId="153CADF3" w14:textId="6518D070" w:rsidR="00E920CF" w:rsidRDefault="00E2063F" w:rsidP="00A173BF">
            <w:r w:rsidRPr="00705802">
              <w:t xml:space="preserve">The content of the document was sourced largely from </w:t>
            </w:r>
            <w:hyperlink r:id="rId11">
              <w:r w:rsidRPr="00705802">
                <w:rPr>
                  <w:i/>
                  <w:color w:val="0563C1"/>
                  <w:u w:val="single"/>
                </w:rPr>
                <w:t>Consolidated guidelines on HIV prevention, testing, treatment, service delivery and monitoring: recommendations for a public health approach</w:t>
              </w:r>
            </w:hyperlink>
            <w:r w:rsidRPr="00705802">
              <w:t xml:space="preserve">, which was formally released by WHO in July 2021, with further updates outlined in a </w:t>
            </w:r>
            <w:hyperlink r:id="rId12" w:history="1">
              <w:r w:rsidRPr="00705802">
                <w:rPr>
                  <w:rStyle w:val="Hyperlink"/>
                </w:rPr>
                <w:t>presentation</w:t>
              </w:r>
            </w:hyperlink>
            <w:r w:rsidRPr="00705802">
              <w:t xml:space="preserve"> from WHO during a public webinar in October 2021.</w:t>
            </w:r>
            <w:r w:rsidR="00390ACD">
              <w:t xml:space="preserve"> Additional guidance on </w:t>
            </w:r>
            <w:r w:rsidR="00E92BC1">
              <w:t xml:space="preserve">differentiated service delivery and </w:t>
            </w:r>
            <w:r w:rsidR="00390ACD">
              <w:t>the use of HIV self-testing</w:t>
            </w:r>
            <w:r w:rsidR="00E92BC1">
              <w:t xml:space="preserve"> for PrEP are expected in 2022.</w:t>
            </w:r>
          </w:p>
          <w:p w14:paraId="312E0687" w14:textId="77777777" w:rsidR="00E2063F" w:rsidRPr="00705802" w:rsidRDefault="00E2063F" w:rsidP="00A173BF"/>
          <w:p w14:paraId="42401463" w14:textId="3B2D5800" w:rsidR="00A173BF" w:rsidRPr="00020FD5" w:rsidRDefault="00A173BF" w:rsidP="00A173BF">
            <w:r w:rsidRPr="00705802">
              <w:t xml:space="preserve">This document was developed by </w:t>
            </w:r>
            <w:r w:rsidR="007D52FA" w:rsidRPr="00705802">
              <w:t>the C</w:t>
            </w:r>
            <w:r w:rsidR="008E3A01" w:rsidRPr="00705802">
              <w:t xml:space="preserve">ollaboration for </w:t>
            </w:r>
            <w:r w:rsidR="00891B82" w:rsidRPr="00705802">
              <w:t>HIV Options to Control the Epidemic</w:t>
            </w:r>
            <w:r w:rsidR="007D52FA" w:rsidRPr="00705802">
              <w:t xml:space="preserve"> (CHOICE</w:t>
            </w:r>
            <w:r w:rsidR="00891B82" w:rsidRPr="00705802">
              <w:t>)</w:t>
            </w:r>
            <w:r w:rsidRPr="00705802">
              <w:t xml:space="preserve"> in close collaboration with </w:t>
            </w:r>
            <w:r w:rsidR="00443D5F" w:rsidRPr="00705802">
              <w:t>the U.S. Agency for International Development (</w:t>
            </w:r>
            <w:r w:rsidRPr="00705802">
              <w:t>USAID</w:t>
            </w:r>
            <w:r w:rsidR="00443D5F" w:rsidRPr="00705802">
              <w:t>)</w:t>
            </w:r>
            <w:r w:rsidRPr="00705802">
              <w:t xml:space="preserve">. CHOICE is a collaboration between the USAID-funded </w:t>
            </w:r>
            <w:r w:rsidR="00CC5873" w:rsidRPr="00705802">
              <w:t xml:space="preserve">Meeting Targets </w:t>
            </w:r>
            <w:r w:rsidR="002B777D" w:rsidRPr="00705802">
              <w:t>and Maintaining</w:t>
            </w:r>
            <w:r w:rsidR="00CC5873" w:rsidRPr="00705802">
              <w:t xml:space="preserve"> Epidemic Control (</w:t>
            </w:r>
            <w:proofErr w:type="spellStart"/>
            <w:r w:rsidRPr="00705802">
              <w:t>EpiC</w:t>
            </w:r>
            <w:proofErr w:type="spellEnd"/>
            <w:r w:rsidR="00CC5873" w:rsidRPr="00705802">
              <w:t>)</w:t>
            </w:r>
            <w:r w:rsidRPr="00705802">
              <w:t xml:space="preserve"> and </w:t>
            </w:r>
            <w:r w:rsidR="007A326C" w:rsidRPr="00705802">
              <w:t>Reaching I</w:t>
            </w:r>
            <w:r w:rsidR="00A577F0" w:rsidRPr="00705802">
              <w:t xml:space="preserve">mpact, Saturation and </w:t>
            </w:r>
            <w:r w:rsidR="00F871C4" w:rsidRPr="00705802">
              <w:t xml:space="preserve">Epidemic </w:t>
            </w:r>
            <w:r w:rsidR="00A577F0" w:rsidRPr="00705802">
              <w:t>Control (</w:t>
            </w:r>
            <w:r w:rsidRPr="00705802">
              <w:t>RISE</w:t>
            </w:r>
            <w:r w:rsidR="00A577F0" w:rsidRPr="00705802">
              <w:t>)</w:t>
            </w:r>
            <w:r w:rsidRPr="00705802">
              <w:t xml:space="preserve"> projects. Countries should use this document as appropriate</w:t>
            </w:r>
            <w:r w:rsidR="006654C5" w:rsidRPr="00705802">
              <w:t>,</w:t>
            </w:r>
            <w:r w:rsidRPr="00705802">
              <w:t xml:space="preserve"> depending on their needs and setting</w:t>
            </w:r>
            <w:r w:rsidR="006654C5" w:rsidRPr="00705802">
              <w:t>s</w:t>
            </w:r>
            <w:r w:rsidRPr="00705802">
              <w:t>; CHOICE branding or acknowledgement is optional.</w:t>
            </w:r>
          </w:p>
        </w:tc>
      </w:tr>
    </w:tbl>
    <w:p w14:paraId="00000004" w14:textId="77777777" w:rsidR="001C3881" w:rsidRPr="006C3EE5" w:rsidRDefault="001C3881" w:rsidP="00A173BF">
      <w:pPr>
        <w:spacing w:after="0"/>
      </w:pPr>
    </w:p>
    <w:p w14:paraId="14ECBBD6" w14:textId="7ECB1D6F" w:rsidR="00430760" w:rsidRDefault="00E75859" w:rsidP="00E34914">
      <w:pPr>
        <w:spacing w:after="0" w:line="23" w:lineRule="atLeast"/>
        <w:rPr>
          <w:sz w:val="24"/>
          <w:szCs w:val="24"/>
        </w:rPr>
      </w:pPr>
      <w:r w:rsidRPr="00203A17">
        <w:rPr>
          <w:sz w:val="24"/>
          <w:szCs w:val="24"/>
        </w:rPr>
        <w:t xml:space="preserve">This guideline addendum serves as an update to previous national guidance on oral </w:t>
      </w:r>
      <w:r w:rsidR="00970857">
        <w:rPr>
          <w:sz w:val="24"/>
          <w:szCs w:val="24"/>
        </w:rPr>
        <w:t>p</w:t>
      </w:r>
      <w:r w:rsidR="007D54C9">
        <w:rPr>
          <w:sz w:val="24"/>
          <w:szCs w:val="24"/>
        </w:rPr>
        <w:t>r</w:t>
      </w:r>
      <w:r w:rsidR="00970857">
        <w:rPr>
          <w:sz w:val="24"/>
          <w:szCs w:val="24"/>
        </w:rPr>
        <w:t>e-exposure prophylaxis (</w:t>
      </w:r>
      <w:r w:rsidRPr="00203A17">
        <w:rPr>
          <w:sz w:val="24"/>
          <w:szCs w:val="24"/>
        </w:rPr>
        <w:t>PrEP</w:t>
      </w:r>
      <w:r w:rsidR="00970857">
        <w:rPr>
          <w:sz w:val="24"/>
          <w:szCs w:val="24"/>
        </w:rPr>
        <w:t>)</w:t>
      </w:r>
      <w:r w:rsidRPr="00203A17">
        <w:rPr>
          <w:sz w:val="24"/>
          <w:szCs w:val="24"/>
        </w:rPr>
        <w:t xml:space="preserve"> in </w:t>
      </w:r>
      <w:r w:rsidRPr="00203A17">
        <w:rPr>
          <w:color w:val="FF0000"/>
          <w:sz w:val="24"/>
          <w:szCs w:val="24"/>
        </w:rPr>
        <w:t>[country]</w:t>
      </w:r>
      <w:r w:rsidRPr="00203A17">
        <w:rPr>
          <w:sz w:val="24"/>
          <w:szCs w:val="24"/>
        </w:rPr>
        <w:t>. The content below about the necessity and frequency of diagnostics for oral PrEP service delivery</w:t>
      </w:r>
      <w:r w:rsidR="00590F34">
        <w:rPr>
          <w:sz w:val="24"/>
          <w:szCs w:val="24"/>
        </w:rPr>
        <w:t xml:space="preserve">, </w:t>
      </w:r>
      <w:r w:rsidR="00E2196F">
        <w:rPr>
          <w:sz w:val="24"/>
          <w:szCs w:val="24"/>
        </w:rPr>
        <w:t>event-driven PrEP (ED-PrEP)</w:t>
      </w:r>
      <w:r w:rsidR="00C417D5">
        <w:rPr>
          <w:sz w:val="24"/>
          <w:szCs w:val="24"/>
        </w:rPr>
        <w:t>,</w:t>
      </w:r>
      <w:r w:rsidR="00E2196F">
        <w:rPr>
          <w:sz w:val="24"/>
          <w:szCs w:val="24"/>
        </w:rPr>
        <w:t xml:space="preserve"> and starting and stopping oral PrEP</w:t>
      </w:r>
      <w:r w:rsidRPr="00203A17">
        <w:rPr>
          <w:sz w:val="24"/>
          <w:szCs w:val="24"/>
        </w:rPr>
        <w:t xml:space="preserve"> overrides previous requirements and recommendations</w:t>
      </w:r>
      <w:r w:rsidR="00E2196F">
        <w:rPr>
          <w:sz w:val="24"/>
          <w:szCs w:val="24"/>
        </w:rPr>
        <w:t>.</w:t>
      </w:r>
    </w:p>
    <w:p w14:paraId="7D7DC6B0" w14:textId="77777777" w:rsidR="006562B7" w:rsidRPr="006C3EE5" w:rsidRDefault="006562B7" w:rsidP="00E34914">
      <w:pPr>
        <w:spacing w:after="0" w:line="23" w:lineRule="atLeast"/>
      </w:pPr>
    </w:p>
    <w:p w14:paraId="00000006" w14:textId="20B4E10A" w:rsidR="001C3881" w:rsidRPr="00203A17" w:rsidRDefault="000A67DA" w:rsidP="00E3491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Assessing</w:t>
      </w:r>
      <w:r w:rsidR="00E75859" w:rsidRPr="00203A17">
        <w:rPr>
          <w:b/>
          <w:sz w:val="24"/>
          <w:szCs w:val="24"/>
        </w:rPr>
        <w:t xml:space="preserve"> and Monitoring</w:t>
      </w:r>
      <w:r>
        <w:rPr>
          <w:b/>
          <w:sz w:val="24"/>
          <w:szCs w:val="24"/>
        </w:rPr>
        <w:t xml:space="preserve"> Renal Function</w:t>
      </w: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865"/>
        <w:gridCol w:w="2160"/>
        <w:gridCol w:w="4431"/>
      </w:tblGrid>
      <w:tr w:rsidR="00A173BF" w:rsidRPr="00203A17" w14:paraId="06426901" w14:textId="77777777" w:rsidTr="00EB5094">
        <w:tc>
          <w:tcPr>
            <w:tcW w:w="3865" w:type="dxa"/>
          </w:tcPr>
          <w:p w14:paraId="509A96D9" w14:textId="4C941805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b/>
                <w:sz w:val="24"/>
                <w:szCs w:val="24"/>
              </w:rPr>
              <w:t>Population</w:t>
            </w:r>
            <w:r w:rsidR="00E1214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160" w:type="dxa"/>
          </w:tcPr>
          <w:p w14:paraId="5599E00B" w14:textId="62EC9703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b/>
                <w:sz w:val="24"/>
                <w:szCs w:val="24"/>
              </w:rPr>
              <w:t>Initiation</w:t>
            </w:r>
            <w:r w:rsidR="00724AC1">
              <w:rPr>
                <w:b/>
                <w:sz w:val="24"/>
                <w:szCs w:val="24"/>
              </w:rPr>
              <w:t xml:space="preserve"> Screening</w:t>
            </w:r>
          </w:p>
        </w:tc>
        <w:tc>
          <w:tcPr>
            <w:tcW w:w="4431" w:type="dxa"/>
          </w:tcPr>
          <w:p w14:paraId="0B34DE57" w14:textId="0FA919BE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b/>
                <w:sz w:val="24"/>
                <w:szCs w:val="24"/>
              </w:rPr>
              <w:t>Follow-up</w:t>
            </w:r>
            <w:r w:rsidR="00724AC1">
              <w:rPr>
                <w:b/>
                <w:sz w:val="24"/>
                <w:szCs w:val="24"/>
              </w:rPr>
              <w:t xml:space="preserve"> Screening</w:t>
            </w:r>
          </w:p>
        </w:tc>
      </w:tr>
      <w:tr w:rsidR="00A173BF" w:rsidRPr="00203A17" w14:paraId="47D8F9FC" w14:textId="77777777" w:rsidTr="00EB5094">
        <w:tc>
          <w:tcPr>
            <w:tcW w:w="3865" w:type="dxa"/>
          </w:tcPr>
          <w:p w14:paraId="63271BFE" w14:textId="7003C32B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Individuals 29 years and younger with no kidney-related comorbidities</w:t>
            </w:r>
          </w:p>
        </w:tc>
        <w:tc>
          <w:tcPr>
            <w:tcW w:w="2160" w:type="dxa"/>
          </w:tcPr>
          <w:p w14:paraId="6E69C134" w14:textId="5B633CD5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Optional</w:t>
            </w:r>
          </w:p>
        </w:tc>
        <w:tc>
          <w:tcPr>
            <w:tcW w:w="4431" w:type="dxa"/>
          </w:tcPr>
          <w:p w14:paraId="0921AD18" w14:textId="70616044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If not conducted or if baseline test is normal, follow-up is optional until 30 years of age or if kidney-related comorbidities develop.</w:t>
            </w:r>
          </w:p>
          <w:p w14:paraId="62B7127A" w14:textId="77777777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  <w:p w14:paraId="6A25D13D" w14:textId="6BFA32E7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sz w:val="24"/>
                <w:szCs w:val="24"/>
              </w:rPr>
              <w:t xml:space="preserve">If conducted, and </w:t>
            </w:r>
            <w:r w:rsidRPr="00203A17">
              <w:rPr>
                <w:color w:val="000000"/>
                <w:sz w:val="24"/>
                <w:szCs w:val="24"/>
              </w:rPr>
              <w:t>baseline test result is &lt;90 mL/min, conduct follow-up screening every six to 12 months, if available.</w:t>
            </w:r>
          </w:p>
        </w:tc>
      </w:tr>
      <w:tr w:rsidR="00A173BF" w:rsidRPr="00203A17" w14:paraId="76F9C35B" w14:textId="77777777" w:rsidTr="00EB5094">
        <w:tc>
          <w:tcPr>
            <w:tcW w:w="3865" w:type="dxa"/>
          </w:tcPr>
          <w:p w14:paraId="3D541FF5" w14:textId="6217B246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Individuals 30–49 years with no kidney-related comorbidities</w:t>
            </w:r>
          </w:p>
        </w:tc>
        <w:tc>
          <w:tcPr>
            <w:tcW w:w="2160" w:type="dxa"/>
          </w:tcPr>
          <w:p w14:paraId="5F5AD3EB" w14:textId="59555D32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Conduct once within one to three months of oral PrEP initiation, if available.</w:t>
            </w:r>
          </w:p>
        </w:tc>
        <w:tc>
          <w:tcPr>
            <w:tcW w:w="4431" w:type="dxa"/>
          </w:tcPr>
          <w:p w14:paraId="3AE53AA1" w14:textId="244CC33D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If baseline test is normal, further screening is optional until 50 years of age or if kidney-related comorbidities develop.</w:t>
            </w:r>
          </w:p>
          <w:p w14:paraId="2FEACABC" w14:textId="77777777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  <w:p w14:paraId="3A80B703" w14:textId="070708CF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If baseline test result is &lt;90 mL/min, conduct follow-up screening every six to 12 months, if available.</w:t>
            </w:r>
          </w:p>
        </w:tc>
      </w:tr>
      <w:tr w:rsidR="00A173BF" w:rsidRPr="00203A17" w14:paraId="1A107E6B" w14:textId="77777777" w:rsidTr="00EB5094">
        <w:tc>
          <w:tcPr>
            <w:tcW w:w="3865" w:type="dxa"/>
          </w:tcPr>
          <w:p w14:paraId="33E9AA44" w14:textId="77777777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 xml:space="preserve">Individuals 50 years and older  </w:t>
            </w:r>
          </w:p>
          <w:p w14:paraId="4F28804A" w14:textId="77777777" w:rsidR="00C417D5" w:rsidRDefault="00C417D5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  <w:p w14:paraId="792B5FB5" w14:textId="6661C0A6" w:rsidR="00A173BF" w:rsidRPr="00203A17" w:rsidRDefault="00A173BF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Individuals of any age with kidney-related comorbidities</w:t>
            </w:r>
          </w:p>
          <w:p w14:paraId="7829E629" w14:textId="77777777" w:rsidR="00C417D5" w:rsidRDefault="00C417D5" w:rsidP="00E34914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  <w:p w14:paraId="60646262" w14:textId="785536F2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Individuals with previous creatinine screening of &lt;90 mL/min</w:t>
            </w:r>
          </w:p>
        </w:tc>
        <w:tc>
          <w:tcPr>
            <w:tcW w:w="2160" w:type="dxa"/>
          </w:tcPr>
          <w:p w14:paraId="061F3354" w14:textId="545C3530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Conduct once within one to three months of oral PrEP initiation, if available.</w:t>
            </w:r>
          </w:p>
        </w:tc>
        <w:tc>
          <w:tcPr>
            <w:tcW w:w="4431" w:type="dxa"/>
          </w:tcPr>
          <w:p w14:paraId="7600DC4D" w14:textId="70715D0F" w:rsidR="00A173BF" w:rsidRPr="00203A17" w:rsidRDefault="00A173BF" w:rsidP="00E34914">
            <w:pPr>
              <w:spacing w:line="23" w:lineRule="atLeast"/>
              <w:rPr>
                <w:b/>
                <w:sz w:val="24"/>
                <w:szCs w:val="24"/>
              </w:rPr>
            </w:pPr>
            <w:r w:rsidRPr="00203A17">
              <w:rPr>
                <w:color w:val="000000"/>
                <w:sz w:val="24"/>
                <w:szCs w:val="24"/>
              </w:rPr>
              <w:t>Conduct follow-up screening every six to 12 months, if available.</w:t>
            </w:r>
          </w:p>
        </w:tc>
      </w:tr>
    </w:tbl>
    <w:p w14:paraId="0000001B" w14:textId="0EB5DA17" w:rsidR="001C3881" w:rsidRPr="00203A17" w:rsidRDefault="001C3881" w:rsidP="00E34914">
      <w:pPr>
        <w:spacing w:after="0" w:line="23" w:lineRule="atLeast"/>
        <w:jc w:val="right"/>
        <w:rPr>
          <w:b/>
          <w:sz w:val="24"/>
          <w:szCs w:val="24"/>
        </w:rPr>
      </w:pPr>
    </w:p>
    <w:p w14:paraId="128F8B1A" w14:textId="39E28D5B" w:rsidR="000A2486" w:rsidRPr="00203A17" w:rsidRDefault="000A2486" w:rsidP="00E34914">
      <w:pPr>
        <w:spacing w:after="0" w:line="23" w:lineRule="atLeast"/>
        <w:rPr>
          <w:bCs/>
          <w:sz w:val="24"/>
          <w:szCs w:val="24"/>
        </w:rPr>
      </w:pPr>
      <w:r w:rsidRPr="00203A17">
        <w:rPr>
          <w:bCs/>
          <w:sz w:val="24"/>
          <w:szCs w:val="24"/>
        </w:rPr>
        <w:lastRenderedPageBreak/>
        <w:t>When screening is conducted, any individual with a</w:t>
      </w:r>
      <w:r w:rsidR="00A5395A">
        <w:rPr>
          <w:bCs/>
          <w:sz w:val="24"/>
          <w:szCs w:val="24"/>
        </w:rPr>
        <w:t xml:space="preserve"> result</w:t>
      </w:r>
      <w:r w:rsidRPr="00203A17">
        <w:rPr>
          <w:bCs/>
          <w:sz w:val="24"/>
          <w:szCs w:val="24"/>
        </w:rPr>
        <w:t xml:space="preserve"> ≥60 mL/min can safely be prescribed oral </w:t>
      </w:r>
      <w:proofErr w:type="spellStart"/>
      <w:r w:rsidRPr="00203A17">
        <w:rPr>
          <w:bCs/>
          <w:sz w:val="24"/>
          <w:szCs w:val="24"/>
        </w:rPr>
        <w:t>PrEP.</w:t>
      </w:r>
      <w:proofErr w:type="spellEnd"/>
      <w:r w:rsidRPr="00203A17">
        <w:rPr>
          <w:bCs/>
          <w:sz w:val="24"/>
          <w:szCs w:val="24"/>
        </w:rPr>
        <w:t xml:space="preserve"> </w:t>
      </w:r>
      <w:r w:rsidR="00F358EC">
        <w:rPr>
          <w:bCs/>
          <w:sz w:val="24"/>
          <w:szCs w:val="24"/>
        </w:rPr>
        <w:t>Since results</w:t>
      </w:r>
      <w:r w:rsidR="001F59EF">
        <w:rPr>
          <w:bCs/>
          <w:sz w:val="24"/>
          <w:szCs w:val="24"/>
        </w:rPr>
        <w:t xml:space="preserve"> can be reviewed at a follow</w:t>
      </w:r>
      <w:r w:rsidR="005C35A8">
        <w:rPr>
          <w:bCs/>
          <w:sz w:val="24"/>
          <w:szCs w:val="24"/>
        </w:rPr>
        <w:t>-up visit, a</w:t>
      </w:r>
      <w:r w:rsidR="00633F34">
        <w:rPr>
          <w:bCs/>
          <w:sz w:val="24"/>
          <w:szCs w:val="24"/>
        </w:rPr>
        <w:t xml:space="preserve"> w</w:t>
      </w:r>
      <w:r w:rsidRPr="00203A17">
        <w:rPr>
          <w:bCs/>
          <w:sz w:val="24"/>
          <w:szCs w:val="24"/>
        </w:rPr>
        <w:t>ai</w:t>
      </w:r>
      <w:r w:rsidR="00633F34">
        <w:rPr>
          <w:bCs/>
          <w:sz w:val="24"/>
          <w:szCs w:val="24"/>
        </w:rPr>
        <w:t>t</w:t>
      </w:r>
      <w:r w:rsidRPr="00203A17">
        <w:rPr>
          <w:bCs/>
          <w:sz w:val="24"/>
          <w:szCs w:val="24"/>
        </w:rPr>
        <w:t xml:space="preserve"> for results should not delay oral PrEP</w:t>
      </w:r>
      <w:r w:rsidR="002C59FD">
        <w:rPr>
          <w:bCs/>
          <w:sz w:val="24"/>
          <w:szCs w:val="24"/>
        </w:rPr>
        <w:t xml:space="preserve"> initiation</w:t>
      </w:r>
      <w:r w:rsidR="005C35A8">
        <w:rPr>
          <w:bCs/>
          <w:sz w:val="24"/>
          <w:szCs w:val="24"/>
        </w:rPr>
        <w:t xml:space="preserve">. </w:t>
      </w:r>
      <w:r w:rsidR="00E57C6C">
        <w:rPr>
          <w:bCs/>
          <w:sz w:val="24"/>
          <w:szCs w:val="24"/>
        </w:rPr>
        <w:t xml:space="preserve">If the results </w:t>
      </w:r>
      <w:r w:rsidR="00421965">
        <w:rPr>
          <w:bCs/>
          <w:sz w:val="24"/>
          <w:szCs w:val="24"/>
        </w:rPr>
        <w:t>are</w:t>
      </w:r>
      <w:r w:rsidRPr="00203A17">
        <w:rPr>
          <w:bCs/>
          <w:sz w:val="24"/>
          <w:szCs w:val="24"/>
        </w:rPr>
        <w:t xml:space="preserve"> &lt;60 mL/min</w:t>
      </w:r>
      <w:r w:rsidR="00E57C6C">
        <w:rPr>
          <w:bCs/>
          <w:sz w:val="24"/>
          <w:szCs w:val="24"/>
        </w:rPr>
        <w:t>, the test</w:t>
      </w:r>
      <w:r w:rsidRPr="00203A17">
        <w:rPr>
          <w:bCs/>
          <w:sz w:val="24"/>
          <w:szCs w:val="24"/>
        </w:rPr>
        <w:t xml:space="preserve"> should be repeated on a separate day before stopping oral PrEP</w:t>
      </w:r>
      <w:r w:rsidR="001265BE">
        <w:rPr>
          <w:bCs/>
          <w:sz w:val="24"/>
          <w:szCs w:val="24"/>
        </w:rPr>
        <w:t xml:space="preserve">, and </w:t>
      </w:r>
      <w:r w:rsidR="00070824">
        <w:rPr>
          <w:bCs/>
          <w:sz w:val="24"/>
          <w:szCs w:val="24"/>
        </w:rPr>
        <w:t xml:space="preserve">oral </w:t>
      </w:r>
      <w:r w:rsidR="001265BE">
        <w:rPr>
          <w:bCs/>
          <w:sz w:val="24"/>
          <w:szCs w:val="24"/>
        </w:rPr>
        <w:t xml:space="preserve">PrEP should be stopped if the result of the repeat test </w:t>
      </w:r>
      <w:r w:rsidR="00283B4F">
        <w:rPr>
          <w:bCs/>
          <w:sz w:val="24"/>
          <w:szCs w:val="24"/>
        </w:rPr>
        <w:t xml:space="preserve">is </w:t>
      </w:r>
      <w:r w:rsidR="00070824">
        <w:rPr>
          <w:bCs/>
          <w:sz w:val="24"/>
          <w:szCs w:val="24"/>
        </w:rPr>
        <w:t xml:space="preserve">also </w:t>
      </w:r>
      <w:r w:rsidR="001265BE">
        <w:rPr>
          <w:bCs/>
          <w:sz w:val="24"/>
          <w:szCs w:val="24"/>
        </w:rPr>
        <w:t>abnormal</w:t>
      </w:r>
      <w:r w:rsidRPr="00203A17">
        <w:rPr>
          <w:bCs/>
          <w:sz w:val="24"/>
          <w:szCs w:val="24"/>
        </w:rPr>
        <w:t>.</w:t>
      </w:r>
      <w:r w:rsidR="00B17508">
        <w:rPr>
          <w:bCs/>
          <w:sz w:val="24"/>
          <w:szCs w:val="24"/>
        </w:rPr>
        <w:t xml:space="preserve"> Creatinine clearance usually returns to </w:t>
      </w:r>
      <w:r w:rsidR="009A0342">
        <w:rPr>
          <w:bCs/>
          <w:sz w:val="24"/>
          <w:szCs w:val="24"/>
        </w:rPr>
        <w:t xml:space="preserve">normal levels after stopping </w:t>
      </w:r>
      <w:proofErr w:type="spellStart"/>
      <w:r w:rsidR="009A0342">
        <w:rPr>
          <w:bCs/>
          <w:sz w:val="24"/>
          <w:szCs w:val="24"/>
        </w:rPr>
        <w:t>PrEP.</w:t>
      </w:r>
      <w:proofErr w:type="spellEnd"/>
      <w:r w:rsidR="00C64293">
        <w:rPr>
          <w:bCs/>
          <w:sz w:val="24"/>
          <w:szCs w:val="24"/>
        </w:rPr>
        <w:t xml:space="preserve"> Oral PrEP can be restarted if </w:t>
      </w:r>
      <w:r w:rsidR="00BD0F5D">
        <w:rPr>
          <w:bCs/>
          <w:sz w:val="24"/>
          <w:szCs w:val="24"/>
        </w:rPr>
        <w:t>results are</w:t>
      </w:r>
      <w:r w:rsidR="00C64293">
        <w:rPr>
          <w:bCs/>
          <w:sz w:val="24"/>
          <w:szCs w:val="24"/>
        </w:rPr>
        <w:t xml:space="preserve"> confirmed to be </w:t>
      </w:r>
      <w:r w:rsidR="00C64293" w:rsidRPr="00203A17">
        <w:rPr>
          <w:bCs/>
          <w:sz w:val="24"/>
          <w:szCs w:val="24"/>
        </w:rPr>
        <w:t>≥60 mL/min</w:t>
      </w:r>
      <w:r w:rsidR="00EA3F21">
        <w:rPr>
          <w:bCs/>
          <w:sz w:val="24"/>
          <w:szCs w:val="24"/>
        </w:rPr>
        <w:t xml:space="preserve"> </w:t>
      </w:r>
      <w:r w:rsidR="0037127C">
        <w:rPr>
          <w:bCs/>
          <w:sz w:val="24"/>
          <w:szCs w:val="24"/>
        </w:rPr>
        <w:t xml:space="preserve">within </w:t>
      </w:r>
      <w:r w:rsidR="002431C9">
        <w:rPr>
          <w:bCs/>
          <w:sz w:val="24"/>
          <w:szCs w:val="24"/>
        </w:rPr>
        <w:t xml:space="preserve">one to three </w:t>
      </w:r>
      <w:r w:rsidR="00EA3F21">
        <w:rPr>
          <w:bCs/>
          <w:sz w:val="24"/>
          <w:szCs w:val="24"/>
        </w:rPr>
        <w:t xml:space="preserve">months after stopping oral </w:t>
      </w:r>
      <w:proofErr w:type="spellStart"/>
      <w:r w:rsidR="00EA3F21">
        <w:rPr>
          <w:bCs/>
          <w:sz w:val="24"/>
          <w:szCs w:val="24"/>
        </w:rPr>
        <w:t>PrEP.</w:t>
      </w:r>
      <w:proofErr w:type="spellEnd"/>
    </w:p>
    <w:p w14:paraId="7008B66B" w14:textId="77777777" w:rsidR="000A2486" w:rsidRPr="006C3EE5" w:rsidRDefault="000A2486" w:rsidP="00E34914">
      <w:pPr>
        <w:spacing w:after="0" w:line="23" w:lineRule="atLeast"/>
        <w:rPr>
          <w:bCs/>
        </w:rPr>
      </w:pPr>
    </w:p>
    <w:p w14:paraId="0000001C" w14:textId="451A071C" w:rsidR="001C3881" w:rsidRPr="00203A17" w:rsidRDefault="00E75859" w:rsidP="00E34914">
      <w:pPr>
        <w:spacing w:after="0" w:line="23" w:lineRule="atLeast"/>
        <w:rPr>
          <w:b/>
          <w:sz w:val="24"/>
          <w:szCs w:val="24"/>
        </w:rPr>
      </w:pPr>
      <w:r w:rsidRPr="00203A17">
        <w:rPr>
          <w:b/>
          <w:sz w:val="24"/>
          <w:szCs w:val="24"/>
        </w:rPr>
        <w:t>Hepatitis B</w:t>
      </w:r>
    </w:p>
    <w:p w14:paraId="0000001D" w14:textId="1DABEE87" w:rsidR="001C3881" w:rsidRPr="00203A17" w:rsidRDefault="00E75859" w:rsidP="00E34914">
      <w:pPr>
        <w:spacing w:after="0" w:line="23" w:lineRule="atLeast"/>
        <w:rPr>
          <w:color w:val="000000"/>
          <w:sz w:val="24"/>
          <w:szCs w:val="24"/>
        </w:rPr>
      </w:pPr>
      <w:r w:rsidRPr="1E2495E2">
        <w:rPr>
          <w:color w:val="000000" w:themeColor="text1"/>
          <w:sz w:val="24"/>
          <w:szCs w:val="24"/>
        </w:rPr>
        <w:t>Testing for hepatitis B</w:t>
      </w:r>
      <w:r w:rsidR="00204FE9">
        <w:rPr>
          <w:color w:val="000000" w:themeColor="text1"/>
          <w:sz w:val="24"/>
          <w:szCs w:val="24"/>
        </w:rPr>
        <w:t xml:space="preserve"> surface antigen (HBsAg)</w:t>
      </w:r>
      <w:r w:rsidR="00404B17" w:rsidRPr="1E2495E2">
        <w:rPr>
          <w:color w:val="000000" w:themeColor="text1"/>
          <w:sz w:val="24"/>
          <w:szCs w:val="24"/>
        </w:rPr>
        <w:t>, once</w:t>
      </w:r>
      <w:r w:rsidRPr="1E2495E2">
        <w:rPr>
          <w:color w:val="000000" w:themeColor="text1"/>
          <w:sz w:val="24"/>
          <w:szCs w:val="24"/>
        </w:rPr>
        <w:t xml:space="preserve"> at initiation</w:t>
      </w:r>
      <w:r w:rsidR="00404B17" w:rsidRPr="1E2495E2">
        <w:rPr>
          <w:color w:val="000000" w:themeColor="text1"/>
          <w:sz w:val="24"/>
          <w:szCs w:val="24"/>
        </w:rPr>
        <w:t xml:space="preserve"> or within three months of initiation</w:t>
      </w:r>
      <w:r w:rsidR="00E901A4" w:rsidRPr="1E2495E2">
        <w:rPr>
          <w:color w:val="000000" w:themeColor="text1"/>
          <w:sz w:val="24"/>
          <w:szCs w:val="24"/>
        </w:rPr>
        <w:t>,</w:t>
      </w:r>
      <w:r w:rsidRPr="1E2495E2">
        <w:rPr>
          <w:color w:val="000000" w:themeColor="text1"/>
          <w:sz w:val="24"/>
          <w:szCs w:val="24"/>
        </w:rPr>
        <w:t xml:space="preserve"> is </w:t>
      </w:r>
      <w:r w:rsidR="008935DB" w:rsidRPr="1E2495E2">
        <w:rPr>
          <w:color w:val="000000" w:themeColor="text1"/>
          <w:sz w:val="24"/>
          <w:szCs w:val="24"/>
        </w:rPr>
        <w:t xml:space="preserve">strongly </w:t>
      </w:r>
      <w:r w:rsidR="1335F1A5" w:rsidRPr="1E2495E2">
        <w:rPr>
          <w:color w:val="000000" w:themeColor="text1"/>
          <w:sz w:val="24"/>
          <w:szCs w:val="24"/>
        </w:rPr>
        <w:t>encouraged</w:t>
      </w:r>
      <w:r w:rsidR="008935DB" w:rsidRPr="1E2495E2">
        <w:rPr>
          <w:color w:val="000000" w:themeColor="text1"/>
          <w:sz w:val="24"/>
          <w:szCs w:val="24"/>
        </w:rPr>
        <w:t xml:space="preserve"> </w:t>
      </w:r>
      <w:r w:rsidRPr="1E2495E2">
        <w:rPr>
          <w:color w:val="000000" w:themeColor="text1"/>
          <w:sz w:val="24"/>
          <w:szCs w:val="24"/>
        </w:rPr>
        <w:t xml:space="preserve">but not required </w:t>
      </w:r>
      <w:r w:rsidR="004441F1" w:rsidRPr="1E2495E2">
        <w:rPr>
          <w:color w:val="000000" w:themeColor="text1"/>
          <w:sz w:val="24"/>
          <w:szCs w:val="24"/>
        </w:rPr>
        <w:t>for</w:t>
      </w:r>
      <w:r w:rsidR="008935DB" w:rsidRPr="1E2495E2">
        <w:rPr>
          <w:color w:val="000000" w:themeColor="text1"/>
          <w:sz w:val="24"/>
          <w:szCs w:val="24"/>
        </w:rPr>
        <w:t xml:space="preserve"> </w:t>
      </w:r>
      <w:r w:rsidRPr="1E2495E2">
        <w:rPr>
          <w:color w:val="000000" w:themeColor="text1"/>
          <w:sz w:val="24"/>
          <w:szCs w:val="24"/>
        </w:rPr>
        <w:t>oral PrEP</w:t>
      </w:r>
      <w:r w:rsidR="004441F1" w:rsidRPr="1E2495E2">
        <w:rPr>
          <w:color w:val="000000" w:themeColor="text1"/>
          <w:sz w:val="24"/>
          <w:szCs w:val="24"/>
        </w:rPr>
        <w:t xml:space="preserve"> use</w:t>
      </w:r>
      <w:r w:rsidRPr="1E2495E2">
        <w:rPr>
          <w:color w:val="000000" w:themeColor="text1"/>
          <w:sz w:val="24"/>
          <w:szCs w:val="24"/>
        </w:rPr>
        <w:t xml:space="preserve">. </w:t>
      </w:r>
      <w:r w:rsidR="005F1EF8" w:rsidRPr="1E2495E2">
        <w:rPr>
          <w:color w:val="000000" w:themeColor="text1"/>
          <w:sz w:val="24"/>
          <w:szCs w:val="24"/>
        </w:rPr>
        <w:t>Hepatitis</w:t>
      </w:r>
      <w:r w:rsidR="00FF5A7C" w:rsidRPr="1E2495E2">
        <w:rPr>
          <w:color w:val="000000" w:themeColor="text1"/>
          <w:sz w:val="24"/>
          <w:szCs w:val="24"/>
        </w:rPr>
        <w:t xml:space="preserve"> B infection is not a contraindication for oral PrEP</w:t>
      </w:r>
      <w:r w:rsidR="00B92D5E" w:rsidRPr="1E2495E2">
        <w:rPr>
          <w:color w:val="000000" w:themeColor="text1"/>
          <w:sz w:val="24"/>
          <w:szCs w:val="24"/>
        </w:rPr>
        <w:t xml:space="preserve"> (daily or ED)</w:t>
      </w:r>
      <w:r w:rsidR="00FF5A7C" w:rsidRPr="1E2495E2">
        <w:rPr>
          <w:color w:val="000000" w:themeColor="text1"/>
          <w:sz w:val="24"/>
          <w:szCs w:val="24"/>
        </w:rPr>
        <w:t xml:space="preserve"> use</w:t>
      </w:r>
      <w:r w:rsidR="00646F5E" w:rsidRPr="1E2495E2">
        <w:rPr>
          <w:color w:val="000000" w:themeColor="text1"/>
          <w:sz w:val="24"/>
          <w:szCs w:val="24"/>
        </w:rPr>
        <w:t>,</w:t>
      </w:r>
      <w:r w:rsidR="00FF5A7C" w:rsidRPr="1E2495E2">
        <w:rPr>
          <w:color w:val="000000" w:themeColor="text1"/>
          <w:sz w:val="24"/>
          <w:szCs w:val="24"/>
        </w:rPr>
        <w:t xml:space="preserve"> and</w:t>
      </w:r>
      <w:r w:rsidR="00334A8D" w:rsidRPr="1E2495E2">
        <w:rPr>
          <w:color w:val="000000" w:themeColor="text1"/>
          <w:sz w:val="24"/>
          <w:szCs w:val="24"/>
        </w:rPr>
        <w:t xml:space="preserve"> </w:t>
      </w:r>
      <w:r w:rsidR="00695071" w:rsidRPr="1E2495E2">
        <w:rPr>
          <w:color w:val="000000" w:themeColor="text1"/>
          <w:sz w:val="24"/>
          <w:szCs w:val="24"/>
        </w:rPr>
        <w:t xml:space="preserve">oral PrEP can safely </w:t>
      </w:r>
      <w:r w:rsidR="00240CE1" w:rsidRPr="1E2495E2">
        <w:rPr>
          <w:color w:val="000000" w:themeColor="text1"/>
          <w:sz w:val="24"/>
          <w:szCs w:val="24"/>
        </w:rPr>
        <w:t xml:space="preserve">be </w:t>
      </w:r>
      <w:r w:rsidR="00695071" w:rsidRPr="1E2495E2">
        <w:rPr>
          <w:color w:val="000000" w:themeColor="text1"/>
          <w:sz w:val="24"/>
          <w:szCs w:val="24"/>
        </w:rPr>
        <w:t xml:space="preserve">offered to </w:t>
      </w:r>
      <w:r w:rsidR="00DA4F3C" w:rsidRPr="1E2495E2">
        <w:rPr>
          <w:color w:val="000000" w:themeColor="text1"/>
          <w:sz w:val="24"/>
          <w:szCs w:val="24"/>
        </w:rPr>
        <w:t xml:space="preserve">a </w:t>
      </w:r>
      <w:r w:rsidR="00695071" w:rsidRPr="1E2495E2">
        <w:rPr>
          <w:color w:val="000000" w:themeColor="text1"/>
          <w:sz w:val="24"/>
          <w:szCs w:val="24"/>
        </w:rPr>
        <w:t xml:space="preserve">person with hepatitis B infection. </w:t>
      </w:r>
      <w:r w:rsidR="00F414C0">
        <w:rPr>
          <w:color w:val="000000" w:themeColor="text1"/>
          <w:sz w:val="24"/>
          <w:szCs w:val="24"/>
        </w:rPr>
        <w:t>Individuals</w:t>
      </w:r>
      <w:r w:rsidR="00204FE9">
        <w:rPr>
          <w:color w:val="000000" w:themeColor="text1"/>
          <w:sz w:val="24"/>
          <w:szCs w:val="24"/>
        </w:rPr>
        <w:t xml:space="preserve"> with detectable HBsAg should be considered for treatment. </w:t>
      </w:r>
      <w:r w:rsidR="00F414C0">
        <w:rPr>
          <w:color w:val="000000" w:themeColor="text1"/>
          <w:sz w:val="24"/>
          <w:szCs w:val="24"/>
        </w:rPr>
        <w:t>Individuals</w:t>
      </w:r>
      <w:r w:rsidR="00204FE9">
        <w:rPr>
          <w:color w:val="000000" w:themeColor="text1"/>
          <w:sz w:val="24"/>
          <w:szCs w:val="24"/>
        </w:rPr>
        <w:t xml:space="preserve"> with </w:t>
      </w:r>
      <w:r w:rsidR="00356643">
        <w:rPr>
          <w:color w:val="000000" w:themeColor="text1"/>
          <w:sz w:val="24"/>
          <w:szCs w:val="24"/>
        </w:rPr>
        <w:t xml:space="preserve">non-reactive HBsAg test may be considered for hepatitis B vaccination. </w:t>
      </w:r>
    </w:p>
    <w:p w14:paraId="6EAF7710" w14:textId="77777777" w:rsidR="00A173BF" w:rsidRPr="006C3EE5" w:rsidRDefault="00A173BF" w:rsidP="00E34914">
      <w:pPr>
        <w:spacing w:after="0" w:line="23" w:lineRule="atLeast"/>
        <w:rPr>
          <w:b/>
          <w:color w:val="000000"/>
        </w:rPr>
      </w:pPr>
    </w:p>
    <w:p w14:paraId="0000001E" w14:textId="4886992F" w:rsidR="001C3881" w:rsidRPr="00203A17" w:rsidRDefault="00E75859" w:rsidP="00E34914">
      <w:pPr>
        <w:spacing w:after="0" w:line="23" w:lineRule="atLeast"/>
        <w:rPr>
          <w:b/>
          <w:color w:val="000000"/>
          <w:sz w:val="24"/>
          <w:szCs w:val="24"/>
        </w:rPr>
      </w:pPr>
      <w:r w:rsidRPr="00203A17">
        <w:rPr>
          <w:b/>
          <w:color w:val="000000"/>
          <w:sz w:val="24"/>
          <w:szCs w:val="24"/>
        </w:rPr>
        <w:t>Hepatitis C</w:t>
      </w:r>
    </w:p>
    <w:p w14:paraId="0000001F" w14:textId="70377CB1" w:rsidR="001C3881" w:rsidRDefault="00E75859" w:rsidP="00E34914">
      <w:pPr>
        <w:spacing w:after="0" w:line="23" w:lineRule="atLeast"/>
        <w:rPr>
          <w:color w:val="000000"/>
          <w:sz w:val="24"/>
          <w:szCs w:val="24"/>
        </w:rPr>
      </w:pPr>
      <w:r w:rsidRPr="1E2495E2">
        <w:rPr>
          <w:color w:val="000000" w:themeColor="text1"/>
          <w:sz w:val="24"/>
          <w:szCs w:val="24"/>
        </w:rPr>
        <w:t xml:space="preserve">Testing for hepatitis C </w:t>
      </w:r>
      <w:r w:rsidR="00356643">
        <w:rPr>
          <w:color w:val="000000" w:themeColor="text1"/>
          <w:sz w:val="24"/>
          <w:szCs w:val="24"/>
        </w:rPr>
        <w:t xml:space="preserve">antibodies </w:t>
      </w:r>
      <w:r w:rsidRPr="1E2495E2">
        <w:rPr>
          <w:color w:val="000000" w:themeColor="text1"/>
          <w:sz w:val="24"/>
          <w:szCs w:val="24"/>
        </w:rPr>
        <w:t xml:space="preserve">at initiation </w:t>
      </w:r>
      <w:r w:rsidR="00EA3F21" w:rsidRPr="1E2495E2">
        <w:rPr>
          <w:color w:val="000000" w:themeColor="text1"/>
          <w:sz w:val="24"/>
          <w:szCs w:val="24"/>
        </w:rPr>
        <w:t>or within the first three months of</w:t>
      </w:r>
      <w:r w:rsidR="00F414C0">
        <w:rPr>
          <w:color w:val="000000" w:themeColor="text1"/>
          <w:sz w:val="24"/>
          <w:szCs w:val="24"/>
        </w:rPr>
        <w:t xml:space="preserve"> initiation</w:t>
      </w:r>
      <w:r w:rsidR="00EA3F21" w:rsidRPr="1E2495E2">
        <w:rPr>
          <w:color w:val="000000" w:themeColor="text1"/>
          <w:sz w:val="24"/>
          <w:szCs w:val="24"/>
        </w:rPr>
        <w:t xml:space="preserve"> </w:t>
      </w:r>
      <w:r w:rsidRPr="1E2495E2">
        <w:rPr>
          <w:color w:val="000000" w:themeColor="text1"/>
          <w:sz w:val="24"/>
          <w:szCs w:val="24"/>
        </w:rPr>
        <w:t xml:space="preserve">and every 12 months thereafter </w:t>
      </w:r>
      <w:r w:rsidR="004441F1" w:rsidRPr="1E2495E2">
        <w:rPr>
          <w:color w:val="000000" w:themeColor="text1"/>
          <w:sz w:val="24"/>
          <w:szCs w:val="24"/>
        </w:rPr>
        <w:t xml:space="preserve">is strongly encouraged </w:t>
      </w:r>
      <w:r w:rsidRPr="1E2495E2">
        <w:rPr>
          <w:color w:val="000000" w:themeColor="text1"/>
          <w:sz w:val="24"/>
          <w:szCs w:val="24"/>
        </w:rPr>
        <w:t>based on local epidemiological context</w:t>
      </w:r>
      <w:r w:rsidR="008935DB" w:rsidRPr="1E2495E2">
        <w:rPr>
          <w:color w:val="000000" w:themeColor="text1"/>
          <w:sz w:val="24"/>
          <w:szCs w:val="24"/>
        </w:rPr>
        <w:t xml:space="preserve"> </w:t>
      </w:r>
      <w:r w:rsidRPr="1E2495E2">
        <w:rPr>
          <w:color w:val="000000" w:themeColor="text1"/>
          <w:sz w:val="24"/>
          <w:szCs w:val="24"/>
        </w:rPr>
        <w:t>but not required</w:t>
      </w:r>
      <w:r w:rsidR="004441F1" w:rsidRPr="1E2495E2">
        <w:rPr>
          <w:color w:val="000000" w:themeColor="text1"/>
          <w:sz w:val="24"/>
          <w:szCs w:val="24"/>
        </w:rPr>
        <w:t xml:space="preserve"> for oral PrEP use</w:t>
      </w:r>
      <w:r w:rsidRPr="1E2495E2">
        <w:rPr>
          <w:color w:val="000000" w:themeColor="text1"/>
          <w:sz w:val="24"/>
          <w:szCs w:val="24"/>
        </w:rPr>
        <w:t xml:space="preserve">. Hepatitis C infection is not </w:t>
      </w:r>
      <w:r w:rsidR="00BF6C9F" w:rsidRPr="1E2495E2">
        <w:rPr>
          <w:color w:val="000000" w:themeColor="text1"/>
          <w:sz w:val="24"/>
          <w:szCs w:val="24"/>
        </w:rPr>
        <w:t xml:space="preserve">a </w:t>
      </w:r>
      <w:r w:rsidRPr="1E2495E2">
        <w:rPr>
          <w:color w:val="000000" w:themeColor="text1"/>
          <w:sz w:val="24"/>
          <w:szCs w:val="24"/>
        </w:rPr>
        <w:t>contraindicat</w:t>
      </w:r>
      <w:r w:rsidR="00BF6C9F" w:rsidRPr="1E2495E2">
        <w:rPr>
          <w:color w:val="000000" w:themeColor="text1"/>
          <w:sz w:val="24"/>
          <w:szCs w:val="24"/>
        </w:rPr>
        <w:t>ion</w:t>
      </w:r>
      <w:r w:rsidRPr="1E2495E2">
        <w:rPr>
          <w:color w:val="000000" w:themeColor="text1"/>
          <w:sz w:val="24"/>
          <w:szCs w:val="24"/>
        </w:rPr>
        <w:t xml:space="preserve"> for oral PrEP</w:t>
      </w:r>
      <w:r w:rsidR="00E920CF" w:rsidRPr="1E2495E2">
        <w:rPr>
          <w:color w:val="000000" w:themeColor="text1"/>
          <w:sz w:val="24"/>
          <w:szCs w:val="24"/>
        </w:rPr>
        <w:t xml:space="preserve"> (daily</w:t>
      </w:r>
      <w:r w:rsidRPr="1E2495E2">
        <w:rPr>
          <w:color w:val="000000" w:themeColor="text1"/>
          <w:sz w:val="24"/>
          <w:szCs w:val="24"/>
        </w:rPr>
        <w:t xml:space="preserve"> or ED</w:t>
      </w:r>
      <w:r w:rsidR="00E920CF" w:rsidRPr="1E2495E2">
        <w:rPr>
          <w:color w:val="000000" w:themeColor="text1"/>
          <w:sz w:val="24"/>
          <w:szCs w:val="24"/>
        </w:rPr>
        <w:t>)</w:t>
      </w:r>
      <w:r w:rsidRPr="1E2495E2">
        <w:rPr>
          <w:color w:val="000000" w:themeColor="text1"/>
          <w:sz w:val="24"/>
          <w:szCs w:val="24"/>
        </w:rPr>
        <w:t xml:space="preserve"> use</w:t>
      </w:r>
      <w:r w:rsidR="00FF3177" w:rsidRPr="1E2495E2">
        <w:rPr>
          <w:color w:val="000000" w:themeColor="text1"/>
          <w:sz w:val="24"/>
          <w:szCs w:val="24"/>
        </w:rPr>
        <w:t>, and oral PrEP can safely be offered to a person with hepatitis C infection</w:t>
      </w:r>
      <w:r w:rsidRPr="1E2495E2">
        <w:rPr>
          <w:color w:val="000000" w:themeColor="text1"/>
          <w:sz w:val="24"/>
          <w:szCs w:val="24"/>
        </w:rPr>
        <w:t xml:space="preserve">. </w:t>
      </w:r>
      <w:r w:rsidR="00F414C0">
        <w:rPr>
          <w:color w:val="000000" w:themeColor="text1"/>
          <w:sz w:val="24"/>
          <w:szCs w:val="24"/>
        </w:rPr>
        <w:t xml:space="preserve">Individuals with </w:t>
      </w:r>
      <w:r w:rsidR="008372DA">
        <w:rPr>
          <w:color w:val="000000" w:themeColor="text1"/>
          <w:sz w:val="24"/>
          <w:szCs w:val="24"/>
        </w:rPr>
        <w:t xml:space="preserve">reactive serology should be assessed for treatment for hepatitis C. </w:t>
      </w:r>
    </w:p>
    <w:p w14:paraId="51A7D38B" w14:textId="2E6B67EB" w:rsidR="00404B17" w:rsidRPr="006C3EE5" w:rsidRDefault="00404B17" w:rsidP="00E34914">
      <w:pPr>
        <w:spacing w:after="0" w:line="23" w:lineRule="atLeast"/>
        <w:rPr>
          <w:color w:val="000000"/>
        </w:rPr>
      </w:pPr>
    </w:p>
    <w:p w14:paraId="337BA048" w14:textId="1D537542" w:rsidR="00404B17" w:rsidRPr="00794EBF" w:rsidRDefault="00404B17" w:rsidP="00E34914">
      <w:pPr>
        <w:spacing w:after="0" w:line="23" w:lineRule="atLeast"/>
        <w:rPr>
          <w:b/>
          <w:sz w:val="24"/>
          <w:szCs w:val="24"/>
        </w:rPr>
      </w:pPr>
      <w:r w:rsidRPr="00794EBF">
        <w:rPr>
          <w:b/>
          <w:sz w:val="24"/>
          <w:szCs w:val="24"/>
        </w:rPr>
        <w:t>ED-PrEP</w:t>
      </w:r>
    </w:p>
    <w:p w14:paraId="28C0C891" w14:textId="0468C02C" w:rsidR="00404B17" w:rsidRDefault="00404B17" w:rsidP="00E34914">
      <w:pPr>
        <w:spacing w:after="0" w:line="23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ED-PrEP can be used to prevent HIV acquisition during sex by all people assigned male at birth (AMAB) who are not using </w:t>
      </w:r>
      <w:r w:rsidR="0063238B">
        <w:rPr>
          <w:bCs/>
          <w:sz w:val="24"/>
          <w:szCs w:val="24"/>
        </w:rPr>
        <w:t xml:space="preserve">estradiol-based </w:t>
      </w:r>
      <w:r>
        <w:rPr>
          <w:bCs/>
          <w:sz w:val="24"/>
          <w:szCs w:val="24"/>
        </w:rPr>
        <w:t>exogenous hormones</w:t>
      </w:r>
      <w:r w:rsidR="00BB3D8E">
        <w:rPr>
          <w:bCs/>
          <w:sz w:val="24"/>
          <w:szCs w:val="24"/>
        </w:rPr>
        <w:t>, such as gender</w:t>
      </w:r>
      <w:r w:rsidR="00414FB6">
        <w:rPr>
          <w:bCs/>
          <w:sz w:val="24"/>
          <w:szCs w:val="24"/>
        </w:rPr>
        <w:t>-</w:t>
      </w:r>
      <w:r w:rsidR="00BB3D8E">
        <w:rPr>
          <w:bCs/>
          <w:sz w:val="24"/>
          <w:szCs w:val="24"/>
        </w:rPr>
        <w:t>affirming hormones</w:t>
      </w:r>
      <w:r>
        <w:rPr>
          <w:bCs/>
          <w:sz w:val="24"/>
          <w:szCs w:val="24"/>
        </w:rPr>
        <w:t xml:space="preserve">. </w:t>
      </w:r>
      <w:r w:rsidR="00BB3D8E">
        <w:rPr>
          <w:bCs/>
          <w:sz w:val="24"/>
          <w:szCs w:val="24"/>
        </w:rPr>
        <w:t>This will include all cisgender men</w:t>
      </w:r>
      <w:r w:rsidR="00224AF0">
        <w:rPr>
          <w:bCs/>
          <w:sz w:val="24"/>
          <w:szCs w:val="24"/>
        </w:rPr>
        <w:t xml:space="preserve">, </w:t>
      </w:r>
      <w:r w:rsidR="00BB3D8E">
        <w:rPr>
          <w:bCs/>
          <w:sz w:val="24"/>
          <w:szCs w:val="24"/>
        </w:rPr>
        <w:t>transgender women</w:t>
      </w:r>
      <w:r w:rsidR="00224AF0">
        <w:rPr>
          <w:bCs/>
          <w:sz w:val="24"/>
          <w:szCs w:val="24"/>
        </w:rPr>
        <w:t>, and</w:t>
      </w:r>
      <w:r w:rsidR="00BB3D8E">
        <w:rPr>
          <w:bCs/>
          <w:sz w:val="24"/>
          <w:szCs w:val="24"/>
        </w:rPr>
        <w:t xml:space="preserve"> nonbinary people who are not taking </w:t>
      </w:r>
      <w:r w:rsidR="0063238B">
        <w:rPr>
          <w:bCs/>
          <w:sz w:val="24"/>
          <w:szCs w:val="24"/>
        </w:rPr>
        <w:t xml:space="preserve">estradiol-based </w:t>
      </w:r>
      <w:r w:rsidR="00F11D74">
        <w:rPr>
          <w:bCs/>
          <w:sz w:val="24"/>
          <w:szCs w:val="24"/>
        </w:rPr>
        <w:t>exogenous hormones.</w:t>
      </w:r>
      <w:r w:rsidR="00BB3D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Chronic hepatitis B infection is not a contraindication for ED-PrEP</w:t>
      </w:r>
      <w:r w:rsidR="00224553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therefore</w:t>
      </w:r>
      <w:r w:rsidR="0022455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testing for hepatitis B before initiating ED-PrEP is not required</w:t>
      </w:r>
      <w:r w:rsidR="00853652">
        <w:rPr>
          <w:bCs/>
          <w:sz w:val="24"/>
          <w:szCs w:val="24"/>
        </w:rPr>
        <w:t xml:space="preserve"> (but strongly encouraged</w:t>
      </w:r>
      <w:r w:rsidR="0063238B">
        <w:rPr>
          <w:bCs/>
          <w:sz w:val="24"/>
          <w:szCs w:val="24"/>
        </w:rPr>
        <w:t>, see above</w:t>
      </w:r>
      <w:r w:rsidR="0085365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="00F11D74">
        <w:rPr>
          <w:bCs/>
          <w:sz w:val="24"/>
          <w:szCs w:val="24"/>
        </w:rPr>
        <w:t xml:space="preserve"> </w:t>
      </w:r>
      <w:r w:rsidR="00E26503">
        <w:rPr>
          <w:bCs/>
          <w:sz w:val="24"/>
          <w:szCs w:val="24"/>
        </w:rPr>
        <w:t xml:space="preserve">To start ED-PrEP, a double </w:t>
      </w:r>
      <w:r w:rsidR="0054020E">
        <w:rPr>
          <w:bCs/>
          <w:sz w:val="24"/>
          <w:szCs w:val="24"/>
        </w:rPr>
        <w:t>dose should be taken two to 24 hours before potential sexual exposure</w:t>
      </w:r>
      <w:r w:rsidR="0063238B">
        <w:rPr>
          <w:bCs/>
          <w:sz w:val="24"/>
          <w:szCs w:val="24"/>
        </w:rPr>
        <w:t>.</w:t>
      </w:r>
      <w:r w:rsidR="0054020E">
        <w:rPr>
          <w:bCs/>
          <w:sz w:val="24"/>
          <w:szCs w:val="24"/>
        </w:rPr>
        <w:t xml:space="preserve"> </w:t>
      </w:r>
      <w:r w:rsidR="0063238B">
        <w:rPr>
          <w:bCs/>
          <w:sz w:val="24"/>
          <w:szCs w:val="24"/>
        </w:rPr>
        <w:t>C</w:t>
      </w:r>
      <w:r w:rsidR="00F11D74">
        <w:rPr>
          <w:bCs/>
          <w:sz w:val="24"/>
          <w:szCs w:val="24"/>
        </w:rPr>
        <w:t xml:space="preserve">lients </w:t>
      </w:r>
      <w:r w:rsidR="00F4381B">
        <w:rPr>
          <w:bCs/>
          <w:sz w:val="24"/>
          <w:szCs w:val="24"/>
        </w:rPr>
        <w:t>should be</w:t>
      </w:r>
      <w:r w:rsidR="00F11D74">
        <w:rPr>
          <w:bCs/>
          <w:sz w:val="24"/>
          <w:szCs w:val="24"/>
        </w:rPr>
        <w:t xml:space="preserve"> encouraged to take</w:t>
      </w:r>
      <w:r w:rsidR="0054020E">
        <w:rPr>
          <w:bCs/>
          <w:sz w:val="24"/>
          <w:szCs w:val="24"/>
        </w:rPr>
        <w:t xml:space="preserve"> th</w:t>
      </w:r>
      <w:r w:rsidR="0063238B">
        <w:rPr>
          <w:bCs/>
          <w:sz w:val="24"/>
          <w:szCs w:val="24"/>
        </w:rPr>
        <w:t>e</w:t>
      </w:r>
      <w:r w:rsidR="0054020E">
        <w:rPr>
          <w:bCs/>
          <w:sz w:val="24"/>
          <w:szCs w:val="24"/>
        </w:rPr>
        <w:t xml:space="preserve"> loading dose </w:t>
      </w:r>
      <w:r w:rsidR="0063238B">
        <w:rPr>
          <w:rFonts w:cs="Calibri"/>
          <w:bCs/>
          <w:sz w:val="24"/>
          <w:szCs w:val="24"/>
        </w:rPr>
        <w:t>as close</w:t>
      </w:r>
      <w:r w:rsidR="00F4381B">
        <w:rPr>
          <w:bCs/>
          <w:sz w:val="24"/>
          <w:szCs w:val="24"/>
        </w:rPr>
        <w:t xml:space="preserve"> to </w:t>
      </w:r>
      <w:r w:rsidR="00C53E45">
        <w:rPr>
          <w:bCs/>
          <w:sz w:val="24"/>
          <w:szCs w:val="24"/>
        </w:rPr>
        <w:t xml:space="preserve">24 hours before exposure </w:t>
      </w:r>
      <w:r w:rsidR="0063238B">
        <w:rPr>
          <w:bCs/>
          <w:sz w:val="24"/>
          <w:szCs w:val="24"/>
        </w:rPr>
        <w:t>as</w:t>
      </w:r>
      <w:r w:rsidR="00C53E45">
        <w:rPr>
          <w:bCs/>
          <w:sz w:val="24"/>
          <w:szCs w:val="24"/>
        </w:rPr>
        <w:t xml:space="preserve"> possible.</w:t>
      </w:r>
    </w:p>
    <w:p w14:paraId="434D0C77" w14:textId="77777777" w:rsidR="006C67A1" w:rsidRDefault="006C67A1" w:rsidP="00E34914">
      <w:pPr>
        <w:spacing w:after="0" w:line="23" w:lineRule="atLeast"/>
        <w:rPr>
          <w:bCs/>
          <w:sz w:val="24"/>
          <w:szCs w:val="24"/>
        </w:rPr>
      </w:pPr>
    </w:p>
    <w:p w14:paraId="4353438D" w14:textId="4C553C5B" w:rsidR="00821CF4" w:rsidRPr="005F1EF8" w:rsidRDefault="00821CF4" w:rsidP="00E34914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Starting and Stopping Oral PrEP Safely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015"/>
        <w:gridCol w:w="3486"/>
      </w:tblGrid>
      <w:tr w:rsidR="00013BAE" w14:paraId="4BB014CA" w14:textId="77777777" w:rsidTr="00402C71">
        <w:tc>
          <w:tcPr>
            <w:tcW w:w="3955" w:type="dxa"/>
          </w:tcPr>
          <w:p w14:paraId="3DE94C77" w14:textId="74AFE1A1" w:rsidR="00013BAE" w:rsidRPr="005F1EF8" w:rsidRDefault="00821CF4" w:rsidP="00E34914">
            <w:pPr>
              <w:spacing w:line="23" w:lineRule="atLeast"/>
              <w:rPr>
                <w:b/>
                <w:bCs/>
                <w:sz w:val="24"/>
                <w:szCs w:val="24"/>
              </w:rPr>
            </w:pPr>
            <w:r w:rsidRPr="005F1EF8">
              <w:rPr>
                <w:b/>
                <w:bCs/>
                <w:sz w:val="24"/>
                <w:szCs w:val="24"/>
              </w:rPr>
              <w:t>Population</w:t>
            </w:r>
            <w:r w:rsidR="00E12144">
              <w:rPr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3015" w:type="dxa"/>
          </w:tcPr>
          <w:p w14:paraId="3A275004" w14:textId="4EF7ED2C" w:rsidR="00013BAE" w:rsidRPr="005F1EF8" w:rsidRDefault="00C53E45" w:rsidP="00E34914">
            <w:pPr>
              <w:spacing w:line="23" w:lineRule="atLeast"/>
              <w:rPr>
                <w:b/>
                <w:bCs/>
                <w:sz w:val="24"/>
                <w:szCs w:val="24"/>
              </w:rPr>
            </w:pPr>
            <w:r w:rsidRPr="005F1EF8">
              <w:rPr>
                <w:b/>
                <w:bCs/>
                <w:sz w:val="24"/>
                <w:szCs w:val="24"/>
              </w:rPr>
              <w:t>Starting Oral PrEP</w:t>
            </w:r>
          </w:p>
        </w:tc>
        <w:tc>
          <w:tcPr>
            <w:tcW w:w="3486" w:type="dxa"/>
          </w:tcPr>
          <w:p w14:paraId="11357AAE" w14:textId="5A526910" w:rsidR="00013BAE" w:rsidRPr="005F1EF8" w:rsidRDefault="00C53E45" w:rsidP="00E34914">
            <w:pPr>
              <w:spacing w:line="23" w:lineRule="atLeast"/>
              <w:rPr>
                <w:b/>
                <w:bCs/>
                <w:sz w:val="24"/>
                <w:szCs w:val="24"/>
              </w:rPr>
            </w:pPr>
            <w:r w:rsidRPr="005F1EF8">
              <w:rPr>
                <w:b/>
                <w:bCs/>
                <w:sz w:val="24"/>
                <w:szCs w:val="24"/>
              </w:rPr>
              <w:t>Stopping Oral PrEP</w:t>
            </w:r>
          </w:p>
        </w:tc>
      </w:tr>
      <w:tr w:rsidR="00013BAE" w14:paraId="5A5B8732" w14:textId="77777777" w:rsidTr="00402C71">
        <w:tc>
          <w:tcPr>
            <w:tcW w:w="3955" w:type="dxa"/>
          </w:tcPr>
          <w:p w14:paraId="3D1A7056" w14:textId="724E3C13" w:rsidR="00013BAE" w:rsidRDefault="00C53E45" w:rsidP="00E34914">
            <w:pPr>
              <w:spacing w:line="23" w:lineRule="atLeast"/>
              <w:rPr>
                <w:sz w:val="24"/>
                <w:szCs w:val="24"/>
              </w:rPr>
            </w:pPr>
            <w:r w:rsidRPr="00C53E45">
              <w:rPr>
                <w:sz w:val="24"/>
                <w:szCs w:val="24"/>
              </w:rPr>
              <w:t xml:space="preserve">People assigned male at birth using PrEP to prevent HIV acquisition during sex who are not using </w:t>
            </w:r>
            <w:r w:rsidR="0063238B">
              <w:rPr>
                <w:sz w:val="24"/>
                <w:szCs w:val="24"/>
              </w:rPr>
              <w:t xml:space="preserve">estradiol-based </w:t>
            </w:r>
            <w:r w:rsidRPr="00C53E45">
              <w:rPr>
                <w:sz w:val="24"/>
                <w:szCs w:val="24"/>
              </w:rPr>
              <w:t>exogenous hormones</w:t>
            </w:r>
          </w:p>
        </w:tc>
        <w:tc>
          <w:tcPr>
            <w:tcW w:w="3015" w:type="dxa"/>
          </w:tcPr>
          <w:p w14:paraId="3A545CBF" w14:textId="5AA8FAE2" w:rsidR="00013BAE" w:rsidRDefault="008C10F3" w:rsidP="00E34914">
            <w:pPr>
              <w:spacing w:line="23" w:lineRule="atLeast"/>
              <w:rPr>
                <w:sz w:val="24"/>
                <w:szCs w:val="24"/>
              </w:rPr>
            </w:pPr>
            <w:r w:rsidRPr="008C10F3">
              <w:rPr>
                <w:sz w:val="24"/>
                <w:szCs w:val="24"/>
              </w:rPr>
              <w:t xml:space="preserve">Take a double dose </w:t>
            </w:r>
            <w:r w:rsidR="00AE0A88">
              <w:rPr>
                <w:sz w:val="24"/>
                <w:szCs w:val="24"/>
              </w:rPr>
              <w:t xml:space="preserve">two to </w:t>
            </w:r>
            <w:r w:rsidRPr="008C10F3">
              <w:rPr>
                <w:sz w:val="24"/>
                <w:szCs w:val="24"/>
              </w:rPr>
              <w:t xml:space="preserve">24 hours before potential </w:t>
            </w:r>
            <w:r w:rsidR="00692412">
              <w:rPr>
                <w:sz w:val="24"/>
                <w:szCs w:val="24"/>
              </w:rPr>
              <w:t xml:space="preserve">sexual </w:t>
            </w:r>
            <w:r w:rsidRPr="008C10F3">
              <w:rPr>
                <w:sz w:val="24"/>
                <w:szCs w:val="24"/>
              </w:rPr>
              <w:t>exposure, regardless of whether the intention is to use daily PrEP or ED-</w:t>
            </w:r>
            <w:proofErr w:type="spellStart"/>
            <w:r w:rsidRPr="008C10F3">
              <w:rPr>
                <w:sz w:val="24"/>
                <w:szCs w:val="24"/>
              </w:rPr>
              <w:t>PrEP.</w:t>
            </w:r>
            <w:proofErr w:type="spellEnd"/>
            <w:r>
              <w:rPr>
                <w:sz w:val="24"/>
                <w:szCs w:val="24"/>
              </w:rPr>
              <w:t xml:space="preserve"> Ideally</w:t>
            </w:r>
            <w:r w:rsidR="00384B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</w:t>
            </w:r>
            <w:r w:rsidR="008C726A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loading</w:t>
            </w:r>
            <w:r w:rsidR="00646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dose </w:t>
            </w:r>
            <w:r w:rsidR="0063238B">
              <w:rPr>
                <w:sz w:val="24"/>
                <w:szCs w:val="24"/>
              </w:rPr>
              <w:t xml:space="preserve">should </w:t>
            </w:r>
            <w:r>
              <w:rPr>
                <w:sz w:val="24"/>
                <w:szCs w:val="24"/>
              </w:rPr>
              <w:t>be</w:t>
            </w:r>
            <w:r w:rsidR="005F1EF8">
              <w:rPr>
                <w:sz w:val="24"/>
                <w:szCs w:val="24"/>
              </w:rPr>
              <w:t xml:space="preserve"> taken</w:t>
            </w:r>
            <w:r>
              <w:rPr>
                <w:sz w:val="24"/>
                <w:szCs w:val="24"/>
              </w:rPr>
              <w:t xml:space="preserve"> closer to 24 hours before potential exposure</w:t>
            </w:r>
            <w:r w:rsidR="000D6AA1">
              <w:rPr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14:paraId="5176EC7E" w14:textId="1FAD8E97" w:rsidR="00013BAE" w:rsidRDefault="00821CF4" w:rsidP="00E34914">
            <w:pPr>
              <w:spacing w:line="23" w:lineRule="atLeast"/>
              <w:rPr>
                <w:sz w:val="24"/>
                <w:szCs w:val="24"/>
              </w:rPr>
            </w:pPr>
            <w:r w:rsidRPr="00821CF4">
              <w:rPr>
                <w:sz w:val="24"/>
                <w:szCs w:val="24"/>
              </w:rPr>
              <w:t xml:space="preserve">Take a single </w:t>
            </w:r>
            <w:r w:rsidR="009732C3">
              <w:rPr>
                <w:sz w:val="24"/>
                <w:szCs w:val="24"/>
              </w:rPr>
              <w:t>dose</w:t>
            </w:r>
            <w:r w:rsidR="009732C3" w:rsidRPr="00821CF4">
              <w:rPr>
                <w:sz w:val="24"/>
                <w:szCs w:val="24"/>
              </w:rPr>
              <w:t xml:space="preserve"> </w:t>
            </w:r>
            <w:r w:rsidRPr="00821CF4">
              <w:rPr>
                <w:sz w:val="24"/>
                <w:szCs w:val="24"/>
              </w:rPr>
              <w:t>daily for two days after</w:t>
            </w:r>
            <w:r w:rsidR="000D6AA1">
              <w:rPr>
                <w:sz w:val="24"/>
                <w:szCs w:val="24"/>
              </w:rPr>
              <w:t xml:space="preserve"> the</w:t>
            </w:r>
            <w:r w:rsidRPr="00821CF4">
              <w:rPr>
                <w:sz w:val="24"/>
                <w:szCs w:val="24"/>
              </w:rPr>
              <w:t xml:space="preserve"> last potential exposure, regardless of whether the individual is using daily or ED-</w:t>
            </w:r>
            <w:proofErr w:type="spellStart"/>
            <w:r w:rsidRPr="00821CF4">
              <w:rPr>
                <w:sz w:val="24"/>
                <w:szCs w:val="24"/>
              </w:rPr>
              <w:t>PrEP</w:t>
            </w:r>
            <w:r w:rsidR="008C726A">
              <w:rPr>
                <w:sz w:val="24"/>
                <w:szCs w:val="24"/>
              </w:rPr>
              <w:t>.</w:t>
            </w:r>
            <w:proofErr w:type="spellEnd"/>
          </w:p>
        </w:tc>
      </w:tr>
      <w:tr w:rsidR="00C53E45" w14:paraId="55EE5997" w14:textId="77777777" w:rsidTr="00402C71">
        <w:tc>
          <w:tcPr>
            <w:tcW w:w="3955" w:type="dxa"/>
          </w:tcPr>
          <w:p w14:paraId="4EC24AF9" w14:textId="1639FAA9" w:rsidR="00C417D5" w:rsidRDefault="00C53E45" w:rsidP="00E34914">
            <w:pPr>
              <w:spacing w:line="23" w:lineRule="atLeast"/>
              <w:rPr>
                <w:sz w:val="24"/>
                <w:szCs w:val="24"/>
              </w:rPr>
            </w:pPr>
            <w:r w:rsidRPr="00C53E45">
              <w:rPr>
                <w:sz w:val="24"/>
                <w:szCs w:val="24"/>
              </w:rPr>
              <w:t>People using oral PrEP to prevent HIV acquisition from nonsexual exposures</w:t>
            </w:r>
          </w:p>
          <w:p w14:paraId="6A5A0130" w14:textId="77777777" w:rsidR="00C417D5" w:rsidRDefault="00C417D5" w:rsidP="00E34914">
            <w:pPr>
              <w:spacing w:line="23" w:lineRule="atLeast"/>
              <w:rPr>
                <w:sz w:val="24"/>
                <w:szCs w:val="24"/>
              </w:rPr>
            </w:pPr>
          </w:p>
          <w:p w14:paraId="20E6608B" w14:textId="77777777" w:rsidR="00C417D5" w:rsidRDefault="00C417D5" w:rsidP="00E34914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  <w:r w:rsidR="00C53E45" w:rsidRPr="00C53E45">
              <w:rPr>
                <w:sz w:val="24"/>
                <w:szCs w:val="24"/>
              </w:rPr>
              <w:t xml:space="preserve"> assigned female at birth</w:t>
            </w:r>
          </w:p>
          <w:p w14:paraId="7C08B7A8" w14:textId="77777777" w:rsidR="00C417D5" w:rsidRDefault="00C417D5" w:rsidP="00E34914">
            <w:pPr>
              <w:spacing w:line="23" w:lineRule="atLeast"/>
              <w:rPr>
                <w:sz w:val="24"/>
                <w:szCs w:val="24"/>
              </w:rPr>
            </w:pPr>
          </w:p>
          <w:p w14:paraId="324568DF" w14:textId="040008F2" w:rsidR="00C53E45" w:rsidRDefault="00C417D5" w:rsidP="00E34914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  <w:r w:rsidR="00C53E45" w:rsidRPr="00C53E45">
              <w:rPr>
                <w:sz w:val="24"/>
                <w:szCs w:val="24"/>
              </w:rPr>
              <w:t xml:space="preserve"> assigned male at birth who are using</w:t>
            </w:r>
            <w:r w:rsidR="0063238B">
              <w:rPr>
                <w:sz w:val="24"/>
                <w:szCs w:val="24"/>
              </w:rPr>
              <w:t xml:space="preserve"> estradiol-based</w:t>
            </w:r>
            <w:r w:rsidR="00C53E45" w:rsidRPr="00C53E45">
              <w:rPr>
                <w:sz w:val="24"/>
                <w:szCs w:val="24"/>
              </w:rPr>
              <w:t xml:space="preserve"> exogenous hormones</w:t>
            </w:r>
          </w:p>
        </w:tc>
        <w:tc>
          <w:tcPr>
            <w:tcW w:w="3015" w:type="dxa"/>
          </w:tcPr>
          <w:p w14:paraId="2BD4F9F8" w14:textId="6043EC34" w:rsidR="00C53E45" w:rsidRDefault="00821CF4" w:rsidP="00E34914">
            <w:pPr>
              <w:spacing w:line="23" w:lineRule="atLeast"/>
              <w:rPr>
                <w:sz w:val="24"/>
                <w:szCs w:val="24"/>
              </w:rPr>
            </w:pPr>
            <w:r w:rsidRPr="00821CF4">
              <w:rPr>
                <w:sz w:val="24"/>
                <w:szCs w:val="24"/>
              </w:rPr>
              <w:t xml:space="preserve">Take a single </w:t>
            </w:r>
            <w:r w:rsidR="009732C3">
              <w:rPr>
                <w:sz w:val="24"/>
                <w:szCs w:val="24"/>
              </w:rPr>
              <w:t>dose</w:t>
            </w:r>
            <w:r w:rsidR="009732C3" w:rsidRPr="00821CF4">
              <w:rPr>
                <w:sz w:val="24"/>
                <w:szCs w:val="24"/>
              </w:rPr>
              <w:t xml:space="preserve"> </w:t>
            </w:r>
            <w:r w:rsidRPr="00821CF4">
              <w:rPr>
                <w:sz w:val="24"/>
                <w:szCs w:val="24"/>
              </w:rPr>
              <w:t>daily for seven days before potential exposure</w:t>
            </w:r>
            <w:r w:rsidR="00402C71">
              <w:rPr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14:paraId="24867976" w14:textId="28C96D52" w:rsidR="00C53E45" w:rsidRDefault="00821CF4" w:rsidP="00E34914">
            <w:pPr>
              <w:spacing w:line="23" w:lineRule="atLeast"/>
              <w:rPr>
                <w:sz w:val="24"/>
                <w:szCs w:val="24"/>
              </w:rPr>
            </w:pPr>
            <w:r w:rsidRPr="00821CF4">
              <w:rPr>
                <w:sz w:val="24"/>
                <w:szCs w:val="24"/>
              </w:rPr>
              <w:t xml:space="preserve">Take a single </w:t>
            </w:r>
            <w:r w:rsidR="008606BA">
              <w:rPr>
                <w:sz w:val="24"/>
                <w:szCs w:val="24"/>
              </w:rPr>
              <w:t>dose</w:t>
            </w:r>
            <w:r w:rsidR="008606BA" w:rsidRPr="00821CF4">
              <w:rPr>
                <w:sz w:val="24"/>
                <w:szCs w:val="24"/>
              </w:rPr>
              <w:t xml:space="preserve"> </w:t>
            </w:r>
            <w:r w:rsidRPr="00821CF4">
              <w:rPr>
                <w:sz w:val="24"/>
                <w:szCs w:val="24"/>
              </w:rPr>
              <w:t>daily for seven days after last potential exposure</w:t>
            </w:r>
            <w:r w:rsidR="00020FD5">
              <w:rPr>
                <w:sz w:val="24"/>
                <w:szCs w:val="24"/>
              </w:rPr>
              <w:t>.</w:t>
            </w:r>
          </w:p>
        </w:tc>
      </w:tr>
    </w:tbl>
    <w:p w14:paraId="697E75D7" w14:textId="77777777" w:rsidR="00404B17" w:rsidRPr="006562B7" w:rsidRDefault="00404B17" w:rsidP="00A173BF">
      <w:pPr>
        <w:spacing w:after="0"/>
        <w:rPr>
          <w:sz w:val="10"/>
          <w:szCs w:val="10"/>
        </w:rPr>
      </w:pPr>
    </w:p>
    <w:sectPr w:rsidR="00404B17" w:rsidRPr="006562B7"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0F0B" w14:textId="77777777" w:rsidR="00B771FF" w:rsidRDefault="00B771FF" w:rsidP="005E1EC4">
      <w:pPr>
        <w:spacing w:after="0" w:line="240" w:lineRule="auto"/>
      </w:pPr>
      <w:r>
        <w:separator/>
      </w:r>
    </w:p>
  </w:endnote>
  <w:endnote w:type="continuationSeparator" w:id="0">
    <w:p w14:paraId="7821FE96" w14:textId="77777777" w:rsidR="00B771FF" w:rsidRDefault="00B771FF" w:rsidP="005E1EC4">
      <w:pPr>
        <w:spacing w:after="0" w:line="240" w:lineRule="auto"/>
      </w:pPr>
      <w:r>
        <w:continuationSeparator/>
      </w:r>
    </w:p>
  </w:endnote>
  <w:endnote w:type="continuationNotice" w:id="1">
    <w:p w14:paraId="29A20FB9" w14:textId="77777777" w:rsidR="00B771FF" w:rsidRDefault="00B77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Pro-Condensed">
    <w:altName w:val="Yu Gothic"/>
    <w:charset w:val="00"/>
    <w:family w:val="roman"/>
    <w:pitch w:val="default"/>
  </w:font>
  <w:font w:name="FrutigerLTCom-CondensedIta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998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D7C4C" w14:textId="279F05DE" w:rsidR="005E1EC4" w:rsidRDefault="000B10B8">
        <w:pPr>
          <w:pStyle w:val="Footer"/>
          <w:jc w:val="right"/>
        </w:pPr>
        <w:r>
          <w:t xml:space="preserve">Page </w:t>
        </w:r>
        <w:r w:rsidR="005E1EC4">
          <w:fldChar w:fldCharType="begin"/>
        </w:r>
        <w:r w:rsidR="005E1EC4">
          <w:instrText xml:space="preserve"> PAGE   \* MERGEFORMAT </w:instrText>
        </w:r>
        <w:r w:rsidR="005E1EC4">
          <w:fldChar w:fldCharType="separate"/>
        </w:r>
        <w:r w:rsidR="001265BE">
          <w:rPr>
            <w:noProof/>
          </w:rPr>
          <w:t>3</w:t>
        </w:r>
        <w:r w:rsidR="005E1EC4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09FE0D5" w14:textId="77777777" w:rsidR="005E1EC4" w:rsidRDefault="005E1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F07F" w14:textId="77777777" w:rsidR="00B771FF" w:rsidRDefault="00B771FF" w:rsidP="005E1EC4">
      <w:pPr>
        <w:spacing w:after="0" w:line="240" w:lineRule="auto"/>
      </w:pPr>
      <w:r>
        <w:separator/>
      </w:r>
    </w:p>
  </w:footnote>
  <w:footnote w:type="continuationSeparator" w:id="0">
    <w:p w14:paraId="22A20DCF" w14:textId="77777777" w:rsidR="00B771FF" w:rsidRDefault="00B771FF" w:rsidP="005E1EC4">
      <w:pPr>
        <w:spacing w:after="0" w:line="240" w:lineRule="auto"/>
      </w:pPr>
      <w:r>
        <w:continuationSeparator/>
      </w:r>
    </w:p>
  </w:footnote>
  <w:footnote w:type="continuationNotice" w:id="1">
    <w:p w14:paraId="003BFF5E" w14:textId="77777777" w:rsidR="00B771FF" w:rsidRDefault="00B771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0AB"/>
    <w:multiLevelType w:val="hybridMultilevel"/>
    <w:tmpl w:val="D53C039A"/>
    <w:lvl w:ilvl="0" w:tplc="A3080B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61B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1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CE0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0E1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C3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1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8D8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E1E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81"/>
    <w:rsid w:val="000031D7"/>
    <w:rsid w:val="00013BAE"/>
    <w:rsid w:val="00020FD5"/>
    <w:rsid w:val="00044F87"/>
    <w:rsid w:val="00046B83"/>
    <w:rsid w:val="0005358C"/>
    <w:rsid w:val="0006023D"/>
    <w:rsid w:val="00066F6F"/>
    <w:rsid w:val="00070824"/>
    <w:rsid w:val="00071016"/>
    <w:rsid w:val="0007194B"/>
    <w:rsid w:val="00077555"/>
    <w:rsid w:val="000856E9"/>
    <w:rsid w:val="00093FAC"/>
    <w:rsid w:val="000A19C3"/>
    <w:rsid w:val="000A2486"/>
    <w:rsid w:val="000A67DA"/>
    <w:rsid w:val="000A7724"/>
    <w:rsid w:val="000B10B8"/>
    <w:rsid w:val="000B39E7"/>
    <w:rsid w:val="000C1013"/>
    <w:rsid w:val="000C2057"/>
    <w:rsid w:val="000C54AC"/>
    <w:rsid w:val="000D194B"/>
    <w:rsid w:val="000D1968"/>
    <w:rsid w:val="000D6AA1"/>
    <w:rsid w:val="000D70A6"/>
    <w:rsid w:val="00100C07"/>
    <w:rsid w:val="00102C12"/>
    <w:rsid w:val="00103F23"/>
    <w:rsid w:val="00122E76"/>
    <w:rsid w:val="001265BE"/>
    <w:rsid w:val="001277C9"/>
    <w:rsid w:val="00142098"/>
    <w:rsid w:val="00147283"/>
    <w:rsid w:val="001513D3"/>
    <w:rsid w:val="00176D1C"/>
    <w:rsid w:val="00183471"/>
    <w:rsid w:val="001C3881"/>
    <w:rsid w:val="001D137A"/>
    <w:rsid w:val="001D19F8"/>
    <w:rsid w:val="001E286B"/>
    <w:rsid w:val="001E47DE"/>
    <w:rsid w:val="001F20BD"/>
    <w:rsid w:val="001F59EF"/>
    <w:rsid w:val="00203A17"/>
    <w:rsid w:val="00204FE9"/>
    <w:rsid w:val="00205945"/>
    <w:rsid w:val="002068A6"/>
    <w:rsid w:val="00224553"/>
    <w:rsid w:val="00224AF0"/>
    <w:rsid w:val="00225FAB"/>
    <w:rsid w:val="00227890"/>
    <w:rsid w:val="00234E64"/>
    <w:rsid w:val="00240CE1"/>
    <w:rsid w:val="00242A2B"/>
    <w:rsid w:val="002431C9"/>
    <w:rsid w:val="00243CB0"/>
    <w:rsid w:val="0025783A"/>
    <w:rsid w:val="00283B4F"/>
    <w:rsid w:val="00292533"/>
    <w:rsid w:val="00295CDB"/>
    <w:rsid w:val="002976A9"/>
    <w:rsid w:val="002A7366"/>
    <w:rsid w:val="002B6F19"/>
    <w:rsid w:val="002B777D"/>
    <w:rsid w:val="002C59FD"/>
    <w:rsid w:val="002D1623"/>
    <w:rsid w:val="002D3C5A"/>
    <w:rsid w:val="002E4FA7"/>
    <w:rsid w:val="002F513B"/>
    <w:rsid w:val="00334A8D"/>
    <w:rsid w:val="00341B43"/>
    <w:rsid w:val="00343E63"/>
    <w:rsid w:val="003464F7"/>
    <w:rsid w:val="003474F4"/>
    <w:rsid w:val="00347506"/>
    <w:rsid w:val="00356643"/>
    <w:rsid w:val="0037086F"/>
    <w:rsid w:val="0037127C"/>
    <w:rsid w:val="003755A7"/>
    <w:rsid w:val="00384B75"/>
    <w:rsid w:val="0039092C"/>
    <w:rsid w:val="00390ACD"/>
    <w:rsid w:val="0039639F"/>
    <w:rsid w:val="00397E87"/>
    <w:rsid w:val="003A38C7"/>
    <w:rsid w:val="003D77F4"/>
    <w:rsid w:val="003E3647"/>
    <w:rsid w:val="003E40F5"/>
    <w:rsid w:val="003E4DC5"/>
    <w:rsid w:val="003E59CB"/>
    <w:rsid w:val="003F1E7F"/>
    <w:rsid w:val="00401C7B"/>
    <w:rsid w:val="00402C71"/>
    <w:rsid w:val="00404B17"/>
    <w:rsid w:val="00405587"/>
    <w:rsid w:val="0041199F"/>
    <w:rsid w:val="00414F0D"/>
    <w:rsid w:val="00414FB6"/>
    <w:rsid w:val="00421965"/>
    <w:rsid w:val="0043004F"/>
    <w:rsid w:val="00430760"/>
    <w:rsid w:val="00443AEB"/>
    <w:rsid w:val="00443D5F"/>
    <w:rsid w:val="004441F1"/>
    <w:rsid w:val="004518DA"/>
    <w:rsid w:val="0046311F"/>
    <w:rsid w:val="004636D2"/>
    <w:rsid w:val="0047517A"/>
    <w:rsid w:val="004762F2"/>
    <w:rsid w:val="004778EE"/>
    <w:rsid w:val="0048269D"/>
    <w:rsid w:val="004850A2"/>
    <w:rsid w:val="0049775B"/>
    <w:rsid w:val="004A23B3"/>
    <w:rsid w:val="004D0161"/>
    <w:rsid w:val="004D3476"/>
    <w:rsid w:val="004D3842"/>
    <w:rsid w:val="004E35F7"/>
    <w:rsid w:val="004E52FA"/>
    <w:rsid w:val="004E64FD"/>
    <w:rsid w:val="004E707F"/>
    <w:rsid w:val="00501266"/>
    <w:rsid w:val="00511AD0"/>
    <w:rsid w:val="005205A7"/>
    <w:rsid w:val="00525A54"/>
    <w:rsid w:val="00527A97"/>
    <w:rsid w:val="0054020E"/>
    <w:rsid w:val="00543BB7"/>
    <w:rsid w:val="0055725A"/>
    <w:rsid w:val="00563695"/>
    <w:rsid w:val="00571777"/>
    <w:rsid w:val="00574E29"/>
    <w:rsid w:val="005905D7"/>
    <w:rsid w:val="00590F34"/>
    <w:rsid w:val="0059397F"/>
    <w:rsid w:val="005A6480"/>
    <w:rsid w:val="005B1D65"/>
    <w:rsid w:val="005C35A8"/>
    <w:rsid w:val="005D57C2"/>
    <w:rsid w:val="005E1EC4"/>
    <w:rsid w:val="005E3970"/>
    <w:rsid w:val="005F1EF8"/>
    <w:rsid w:val="00603865"/>
    <w:rsid w:val="0060491B"/>
    <w:rsid w:val="006072B0"/>
    <w:rsid w:val="00613F78"/>
    <w:rsid w:val="00622D73"/>
    <w:rsid w:val="00623AF9"/>
    <w:rsid w:val="0063238B"/>
    <w:rsid w:val="00633F34"/>
    <w:rsid w:val="006454CB"/>
    <w:rsid w:val="00646199"/>
    <w:rsid w:val="00646713"/>
    <w:rsid w:val="00646F5E"/>
    <w:rsid w:val="00654B65"/>
    <w:rsid w:val="006562B7"/>
    <w:rsid w:val="006603E5"/>
    <w:rsid w:val="006654C5"/>
    <w:rsid w:val="00673C5C"/>
    <w:rsid w:val="006741D3"/>
    <w:rsid w:val="00692412"/>
    <w:rsid w:val="00693ECE"/>
    <w:rsid w:val="00695071"/>
    <w:rsid w:val="006A7537"/>
    <w:rsid w:val="006B36A5"/>
    <w:rsid w:val="006B426A"/>
    <w:rsid w:val="006C3EE5"/>
    <w:rsid w:val="006C67A1"/>
    <w:rsid w:val="006C6F79"/>
    <w:rsid w:val="006D14ED"/>
    <w:rsid w:val="006D7892"/>
    <w:rsid w:val="006D7AB1"/>
    <w:rsid w:val="006E232A"/>
    <w:rsid w:val="006E2AA6"/>
    <w:rsid w:val="006E7FEE"/>
    <w:rsid w:val="00700107"/>
    <w:rsid w:val="00705802"/>
    <w:rsid w:val="00724AC1"/>
    <w:rsid w:val="007270A9"/>
    <w:rsid w:val="00727BA6"/>
    <w:rsid w:val="0076063D"/>
    <w:rsid w:val="00764438"/>
    <w:rsid w:val="00767C34"/>
    <w:rsid w:val="007748D4"/>
    <w:rsid w:val="00780144"/>
    <w:rsid w:val="00794EBF"/>
    <w:rsid w:val="007A326C"/>
    <w:rsid w:val="007A7B3C"/>
    <w:rsid w:val="007C12DB"/>
    <w:rsid w:val="007C2964"/>
    <w:rsid w:val="007C41E0"/>
    <w:rsid w:val="007C6B62"/>
    <w:rsid w:val="007D2038"/>
    <w:rsid w:val="007D34B5"/>
    <w:rsid w:val="007D52FA"/>
    <w:rsid w:val="007D54C9"/>
    <w:rsid w:val="007F6030"/>
    <w:rsid w:val="007F79D8"/>
    <w:rsid w:val="00801880"/>
    <w:rsid w:val="0082040D"/>
    <w:rsid w:val="00821CF4"/>
    <w:rsid w:val="008303C3"/>
    <w:rsid w:val="00832177"/>
    <w:rsid w:val="008372DA"/>
    <w:rsid w:val="008465E9"/>
    <w:rsid w:val="00853652"/>
    <w:rsid w:val="00856AFE"/>
    <w:rsid w:val="008606BA"/>
    <w:rsid w:val="00863DC3"/>
    <w:rsid w:val="00876D5B"/>
    <w:rsid w:val="00891B82"/>
    <w:rsid w:val="008935DB"/>
    <w:rsid w:val="0089520C"/>
    <w:rsid w:val="008A0EE0"/>
    <w:rsid w:val="008B2853"/>
    <w:rsid w:val="008B603D"/>
    <w:rsid w:val="008C10F3"/>
    <w:rsid w:val="008C610B"/>
    <w:rsid w:val="008C726A"/>
    <w:rsid w:val="008D7BE7"/>
    <w:rsid w:val="008E3A01"/>
    <w:rsid w:val="00907146"/>
    <w:rsid w:val="00911AD3"/>
    <w:rsid w:val="009143D9"/>
    <w:rsid w:val="00932329"/>
    <w:rsid w:val="009414BD"/>
    <w:rsid w:val="00956267"/>
    <w:rsid w:val="00965489"/>
    <w:rsid w:val="00970857"/>
    <w:rsid w:val="009732C3"/>
    <w:rsid w:val="00977E08"/>
    <w:rsid w:val="00990832"/>
    <w:rsid w:val="00991BE1"/>
    <w:rsid w:val="00993F14"/>
    <w:rsid w:val="00996120"/>
    <w:rsid w:val="009A0342"/>
    <w:rsid w:val="009B197B"/>
    <w:rsid w:val="009C6058"/>
    <w:rsid w:val="009D3DDC"/>
    <w:rsid w:val="009F1BCA"/>
    <w:rsid w:val="009F27B2"/>
    <w:rsid w:val="009F4929"/>
    <w:rsid w:val="00A128B6"/>
    <w:rsid w:val="00A12EE2"/>
    <w:rsid w:val="00A16F13"/>
    <w:rsid w:val="00A173BF"/>
    <w:rsid w:val="00A2433B"/>
    <w:rsid w:val="00A34CE0"/>
    <w:rsid w:val="00A37B2A"/>
    <w:rsid w:val="00A5395A"/>
    <w:rsid w:val="00A55C07"/>
    <w:rsid w:val="00A577F0"/>
    <w:rsid w:val="00A608CB"/>
    <w:rsid w:val="00A609B4"/>
    <w:rsid w:val="00A77479"/>
    <w:rsid w:val="00A812C7"/>
    <w:rsid w:val="00A844FC"/>
    <w:rsid w:val="00A8538C"/>
    <w:rsid w:val="00AA5B6A"/>
    <w:rsid w:val="00AB446A"/>
    <w:rsid w:val="00AC2222"/>
    <w:rsid w:val="00AC6691"/>
    <w:rsid w:val="00AD57D8"/>
    <w:rsid w:val="00AE0A88"/>
    <w:rsid w:val="00B04A1E"/>
    <w:rsid w:val="00B104A7"/>
    <w:rsid w:val="00B14A89"/>
    <w:rsid w:val="00B1618A"/>
    <w:rsid w:val="00B16BEE"/>
    <w:rsid w:val="00B17508"/>
    <w:rsid w:val="00B31FE2"/>
    <w:rsid w:val="00B35067"/>
    <w:rsid w:val="00B37493"/>
    <w:rsid w:val="00B51275"/>
    <w:rsid w:val="00B61F83"/>
    <w:rsid w:val="00B707FF"/>
    <w:rsid w:val="00B7144B"/>
    <w:rsid w:val="00B771FF"/>
    <w:rsid w:val="00B900B9"/>
    <w:rsid w:val="00B90914"/>
    <w:rsid w:val="00B909C2"/>
    <w:rsid w:val="00B9107E"/>
    <w:rsid w:val="00B924F2"/>
    <w:rsid w:val="00B92D5E"/>
    <w:rsid w:val="00B956DC"/>
    <w:rsid w:val="00BA13B1"/>
    <w:rsid w:val="00BB0C94"/>
    <w:rsid w:val="00BB36FD"/>
    <w:rsid w:val="00BB3D8E"/>
    <w:rsid w:val="00BC046A"/>
    <w:rsid w:val="00BD0846"/>
    <w:rsid w:val="00BD0F5D"/>
    <w:rsid w:val="00BE573E"/>
    <w:rsid w:val="00BE5760"/>
    <w:rsid w:val="00BF2642"/>
    <w:rsid w:val="00BF3726"/>
    <w:rsid w:val="00BF3AD5"/>
    <w:rsid w:val="00BF6348"/>
    <w:rsid w:val="00BF6C9F"/>
    <w:rsid w:val="00C011F8"/>
    <w:rsid w:val="00C01D5C"/>
    <w:rsid w:val="00C03343"/>
    <w:rsid w:val="00C1363C"/>
    <w:rsid w:val="00C27CCA"/>
    <w:rsid w:val="00C417D5"/>
    <w:rsid w:val="00C43D66"/>
    <w:rsid w:val="00C53E45"/>
    <w:rsid w:val="00C556A8"/>
    <w:rsid w:val="00C60C62"/>
    <w:rsid w:val="00C64293"/>
    <w:rsid w:val="00C94451"/>
    <w:rsid w:val="00CB1BF7"/>
    <w:rsid w:val="00CB75E1"/>
    <w:rsid w:val="00CC5712"/>
    <w:rsid w:val="00CC5873"/>
    <w:rsid w:val="00CD4A5E"/>
    <w:rsid w:val="00CE1E69"/>
    <w:rsid w:val="00CF128C"/>
    <w:rsid w:val="00D01B93"/>
    <w:rsid w:val="00D10423"/>
    <w:rsid w:val="00D2576A"/>
    <w:rsid w:val="00D26B83"/>
    <w:rsid w:val="00D27FAF"/>
    <w:rsid w:val="00D342CE"/>
    <w:rsid w:val="00D56325"/>
    <w:rsid w:val="00D67E3E"/>
    <w:rsid w:val="00D752AF"/>
    <w:rsid w:val="00D76B53"/>
    <w:rsid w:val="00D81CAA"/>
    <w:rsid w:val="00D859E6"/>
    <w:rsid w:val="00D91595"/>
    <w:rsid w:val="00D9638A"/>
    <w:rsid w:val="00DA4F3C"/>
    <w:rsid w:val="00DC3937"/>
    <w:rsid w:val="00DE3311"/>
    <w:rsid w:val="00DE6F06"/>
    <w:rsid w:val="00DF6E8D"/>
    <w:rsid w:val="00E11D05"/>
    <w:rsid w:val="00E12144"/>
    <w:rsid w:val="00E2063F"/>
    <w:rsid w:val="00E2196F"/>
    <w:rsid w:val="00E24C70"/>
    <w:rsid w:val="00E26503"/>
    <w:rsid w:val="00E34914"/>
    <w:rsid w:val="00E358F6"/>
    <w:rsid w:val="00E42132"/>
    <w:rsid w:val="00E47474"/>
    <w:rsid w:val="00E55A0A"/>
    <w:rsid w:val="00E57C6C"/>
    <w:rsid w:val="00E63925"/>
    <w:rsid w:val="00E75859"/>
    <w:rsid w:val="00E901A4"/>
    <w:rsid w:val="00E920CF"/>
    <w:rsid w:val="00E92BC1"/>
    <w:rsid w:val="00EA3F21"/>
    <w:rsid w:val="00EB5094"/>
    <w:rsid w:val="00ED4992"/>
    <w:rsid w:val="00ED5E70"/>
    <w:rsid w:val="00F11D74"/>
    <w:rsid w:val="00F222BE"/>
    <w:rsid w:val="00F261C9"/>
    <w:rsid w:val="00F358EC"/>
    <w:rsid w:val="00F414C0"/>
    <w:rsid w:val="00F4381B"/>
    <w:rsid w:val="00F44E19"/>
    <w:rsid w:val="00F45943"/>
    <w:rsid w:val="00F563D7"/>
    <w:rsid w:val="00F66F6B"/>
    <w:rsid w:val="00F7064A"/>
    <w:rsid w:val="00F70D80"/>
    <w:rsid w:val="00F762C0"/>
    <w:rsid w:val="00F83D2E"/>
    <w:rsid w:val="00F8511B"/>
    <w:rsid w:val="00F871C4"/>
    <w:rsid w:val="00FA4611"/>
    <w:rsid w:val="00FA6B78"/>
    <w:rsid w:val="00FB48B9"/>
    <w:rsid w:val="00FC05C2"/>
    <w:rsid w:val="00FD39FD"/>
    <w:rsid w:val="00FD7A6D"/>
    <w:rsid w:val="00FF3177"/>
    <w:rsid w:val="00FF5A7C"/>
    <w:rsid w:val="1335F1A5"/>
    <w:rsid w:val="1E249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8749"/>
  <w15:docId w15:val="{A5FC0062-972D-4675-AECE-1D0213C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B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6BB1"/>
    <w:rPr>
      <w:color w:val="0563C1" w:themeColor="hyperlink"/>
      <w:u w:val="single"/>
    </w:rPr>
  </w:style>
  <w:style w:type="paragraph" w:styleId="ListParagraph">
    <w:name w:val="List Paragraph"/>
    <w:aliases w:val="Paragraph,Header 2,Head1.1,References,Paragraphe de liste1,List Paragraph1,Liste couleur - Accent 11,Liste couleur - Accent 111,Paragraphe de liste3,List Paragraph2,Bullets,List Paragraph nowy,Numbered List Paragraph,titre_kely,Liste 1"/>
    <w:basedOn w:val="Normal"/>
    <w:link w:val="ListParagraphChar"/>
    <w:uiPriority w:val="34"/>
    <w:qFormat/>
    <w:rsid w:val="00666BB1"/>
    <w:pPr>
      <w:ind w:left="720"/>
      <w:contextualSpacing/>
    </w:pPr>
    <w:rPr>
      <w:rFonts w:cs="Calibri"/>
    </w:rPr>
  </w:style>
  <w:style w:type="character" w:customStyle="1" w:styleId="ListParagraphChar">
    <w:name w:val="List Paragraph Char"/>
    <w:aliases w:val="Paragraph Char,Header 2 Char,Head1.1 Char,References Char,Paragraphe de liste1 Char,List Paragraph1 Char,Liste couleur - Accent 11 Char,Liste couleur - Accent 111 Char,Paragraphe de liste3 Char,List Paragraph2 Char,Bullets Char"/>
    <w:basedOn w:val="DefaultParagraphFont"/>
    <w:link w:val="ListParagraph"/>
    <w:uiPriority w:val="34"/>
    <w:qFormat/>
    <w:locked/>
    <w:rsid w:val="00666BB1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D63C5E"/>
    <w:rPr>
      <w:rFonts w:ascii="FrutigerLTPro-Condensed" w:hAnsi="FrutigerLTPro-Condensed" w:hint="default"/>
      <w:b w:val="0"/>
      <w:bCs w:val="0"/>
      <w:i w:val="0"/>
      <w:iCs w:val="0"/>
      <w:color w:val="58595B"/>
      <w:sz w:val="20"/>
      <w:szCs w:val="20"/>
    </w:rPr>
  </w:style>
  <w:style w:type="character" w:customStyle="1" w:styleId="fontstyle21">
    <w:name w:val="fontstyle21"/>
    <w:basedOn w:val="DefaultParagraphFont"/>
    <w:rsid w:val="00D63C5E"/>
    <w:rPr>
      <w:rFonts w:ascii="FrutigerLTCom-CondensedIta" w:hAnsi="FrutigerLTCom-CondensedIta" w:hint="default"/>
      <w:b w:val="0"/>
      <w:bCs w:val="0"/>
      <w:i/>
      <w:iCs/>
      <w:color w:val="58595B"/>
      <w:sz w:val="20"/>
      <w:szCs w:val="20"/>
    </w:rPr>
  </w:style>
  <w:style w:type="table" w:styleId="TableGrid">
    <w:name w:val="Table Grid"/>
    <w:basedOn w:val="TableNormal"/>
    <w:uiPriority w:val="39"/>
    <w:rsid w:val="00D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4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4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4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100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C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C4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9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7144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7144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562B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aids-my.sharepoint.com/personal/zembel_unaids_org/_layouts/15/onedrive.aspx?id=%2Fpersonal%2Fzembel%5Funaids%5Forg%2FDocuments%2FDocuments%2FGPC%20Monitoring%2F2021%2FPrEP%2FPrEP%20webinar%2FPrEP%20Webinar%2027%20October%202021%2FGPCwebinar%5FWHOupdatesPrEP%2Epdf&amp;parent=%2Fpersonal%2Fzembel%5Funaids%5Forg%2FDocuments%2FDocuments%2FGPC%20Monitoring%2F2021%2FPrEP%2FPrEP%20webinar%2FPrEP%20Webinar%2027%20October%20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publications/i/item/978924003159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D4687743EB04580D9BB8359D99C20" ma:contentTypeVersion="13" ma:contentTypeDescription="Create a new document." ma:contentTypeScope="" ma:versionID="7ed861b74c3fe7091fb40b423c5b51f7">
  <xsd:schema xmlns:xsd="http://www.w3.org/2001/XMLSchema" xmlns:xs="http://www.w3.org/2001/XMLSchema" xmlns:p="http://schemas.microsoft.com/office/2006/metadata/properties" xmlns:ns2="9118aac3-5381-49e4-a919-47355212438f" xmlns:ns3="fcc924ab-3496-4f1d-b287-b458aff32560" targetNamespace="http://schemas.microsoft.com/office/2006/metadata/properties" ma:root="true" ma:fieldsID="ae18d02b14ddd9b13639f76240cf6d70" ns2:_="" ns3:_="">
    <xsd:import namespace="9118aac3-5381-49e4-a919-47355212438f"/>
    <xsd:import namespace="fcc924ab-3496-4f1d-b287-b458aff32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8aac3-5381-49e4-a919-473552124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24ab-3496-4f1d-b287-b458aff32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c924ab-3496-4f1d-b287-b458aff32560">
      <UserInfo>
        <DisplayName>Anita Hettema</DisplayName>
        <AccountId>1675</AccountId>
        <AccountType/>
      </UserInfo>
      <UserInfo>
        <DisplayName>Kathleen Shears</DisplayName>
        <AccountId>659</AccountId>
        <AccountType/>
      </UserInfo>
      <UserInfo>
        <DisplayName>Katie Williams</DisplayName>
        <AccountId>352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A68OlR/H5TkX3DlXlrAS2aVow==">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28781-CD64-4738-B2DD-54BCC4FE2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8aac3-5381-49e4-a919-47355212438f"/>
    <ds:schemaRef ds:uri="fcc924ab-3496-4f1d-b287-b458aff32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4BF58-9AAD-444C-811F-46C5B41E9FC0}">
  <ds:schemaRefs>
    <ds:schemaRef ds:uri="http://schemas.microsoft.com/office/2006/metadata/properties"/>
    <ds:schemaRef ds:uri="http://schemas.microsoft.com/office/infopath/2007/PartnerControls"/>
    <ds:schemaRef ds:uri="fcc924ab-3496-4f1d-b287-b458aff3256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13F84FD-1033-447F-9432-61D6AB5FE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Obermeyer</dc:creator>
  <cp:keywords/>
  <cp:lastModifiedBy>Chris Obermeyer</cp:lastModifiedBy>
  <cp:revision>2</cp:revision>
  <dcterms:created xsi:type="dcterms:W3CDTF">2022-01-14T18:38:00Z</dcterms:created>
  <dcterms:modified xsi:type="dcterms:W3CDTF">2022-01-14T18:38:00Z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0x010100939D4687743EB04580D9BB8359D99C20</vt:lpwstr>
  </property>
</Properties>
</file>