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787C" w14:textId="77777777" w:rsidR="007A5C59" w:rsidRDefault="00E7184E">
      <w:pPr>
        <w:spacing w:after="0" w:line="240" w:lineRule="auto"/>
        <w:rPr>
          <w:b/>
          <w:sz w:val="24"/>
          <w:szCs w:val="24"/>
        </w:rPr>
      </w:pPr>
      <w:r>
        <w:rPr>
          <w:b/>
          <w:sz w:val="24"/>
          <w:szCs w:val="24"/>
        </w:rPr>
        <w:t>Addendum aux lignes directrices pour la prophylaxie orale avant exposition : MODÈLE DE LANGAGE</w:t>
      </w:r>
    </w:p>
    <w:p w14:paraId="62530D2E" w14:textId="2292A1D6" w:rsidR="007A5C59" w:rsidRDefault="00A653A0">
      <w:pPr>
        <w:spacing w:after="0" w:line="240" w:lineRule="auto"/>
        <w:rPr>
          <w:b/>
          <w:sz w:val="24"/>
          <w:szCs w:val="24"/>
        </w:rPr>
      </w:pPr>
      <w:r>
        <w:rPr>
          <w:b/>
          <w:sz w:val="24"/>
          <w:szCs w:val="24"/>
        </w:rPr>
        <w:t>Janvier</w:t>
      </w:r>
      <w:r w:rsidR="00E7184E">
        <w:rPr>
          <w:b/>
          <w:sz w:val="24"/>
          <w:szCs w:val="24"/>
        </w:rPr>
        <w:t xml:space="preserve"> 202</w:t>
      </w:r>
      <w:r>
        <w:rPr>
          <w:b/>
          <w:sz w:val="24"/>
          <w:szCs w:val="24"/>
        </w:rPr>
        <w:t>2</w:t>
      </w:r>
    </w:p>
    <w:p w14:paraId="272D7946" w14:textId="77777777" w:rsidR="007A5C59" w:rsidRDefault="007A5C59">
      <w:pPr>
        <w:spacing w:after="0" w:line="240" w:lineRule="auto"/>
        <w:rPr>
          <w:b/>
          <w:sz w:val="24"/>
          <w:szCs w:val="24"/>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7A5C59" w14:paraId="778488A4" w14:textId="77777777">
        <w:tc>
          <w:tcPr>
            <w:tcW w:w="10456" w:type="dxa"/>
            <w:shd w:val="clear" w:color="auto" w:fill="D9E2F3"/>
          </w:tcPr>
          <w:p w14:paraId="16924AEC" w14:textId="77777777" w:rsidR="007A5C59" w:rsidRDefault="00E7184E">
            <w:r>
              <w:rPr>
                <w:color w:val="000000"/>
              </w:rPr>
              <w:t xml:space="preserve">L'objectif de ce document est de fournir un modèle d'addenda aux lignes directrices adaptable qui s'aligne sur les recommandations mises à jour et clarifiées de l'Organisation mondiale de la santé (OMS) sur la prophylaxie préexposition orale (PrEP). Cet addendum peut être adopté pour fournir des mises à jour et des clarifications aux directives nationales existantes afin d'assurer un accès plus large à la PrEP orale. Les zones nécessitant spécifiquement des mises à jour nationales sont indiquées </w:t>
            </w:r>
            <w:r>
              <w:rPr>
                <w:color w:val="FF0000"/>
              </w:rPr>
              <w:t>rouge</w:t>
            </w:r>
            <w:r>
              <w:t xml:space="preserve">. </w:t>
            </w:r>
          </w:p>
          <w:p w14:paraId="05510712" w14:textId="77777777" w:rsidR="007A5C59" w:rsidRDefault="007A5C59">
            <w:pPr>
              <w:rPr>
                <w:color w:val="000000"/>
              </w:rPr>
            </w:pPr>
          </w:p>
          <w:p w14:paraId="1088EE05" w14:textId="77777777" w:rsidR="007A5C59" w:rsidRDefault="00E7184E">
            <w:r>
              <w:t xml:space="preserve">Le contenu du document provient en grande partie de </w:t>
            </w:r>
            <w:hyperlink r:id="rId7">
              <w:proofErr w:type="spellStart"/>
              <w:r>
                <w:rPr>
                  <w:i/>
                  <w:color w:val="0563C1"/>
                  <w:u w:val="single"/>
                </w:rPr>
                <w:t>Consolidated</w:t>
              </w:r>
              <w:proofErr w:type="spellEnd"/>
              <w:r>
                <w:rPr>
                  <w:i/>
                  <w:color w:val="0563C1"/>
                  <w:u w:val="single"/>
                </w:rPr>
                <w:t xml:space="preserve"> guidelines on HIV </w:t>
              </w:r>
              <w:proofErr w:type="spellStart"/>
              <w:r>
                <w:rPr>
                  <w:i/>
                  <w:color w:val="0563C1"/>
                  <w:u w:val="single"/>
                </w:rPr>
                <w:t>prevention</w:t>
              </w:r>
              <w:proofErr w:type="spellEnd"/>
              <w:r>
                <w:rPr>
                  <w:i/>
                  <w:color w:val="0563C1"/>
                  <w:u w:val="single"/>
                </w:rPr>
                <w:t xml:space="preserve">, </w:t>
              </w:r>
              <w:proofErr w:type="spellStart"/>
              <w:r>
                <w:rPr>
                  <w:i/>
                  <w:color w:val="0563C1"/>
                  <w:u w:val="single"/>
                </w:rPr>
                <w:t>testing</w:t>
              </w:r>
              <w:proofErr w:type="spellEnd"/>
              <w:r>
                <w:rPr>
                  <w:i/>
                  <w:color w:val="0563C1"/>
                  <w:u w:val="single"/>
                </w:rPr>
                <w:t xml:space="preserve">, </w:t>
              </w:r>
              <w:proofErr w:type="spellStart"/>
              <w:r>
                <w:rPr>
                  <w:i/>
                  <w:color w:val="0563C1"/>
                  <w:u w:val="single"/>
                </w:rPr>
                <w:t>treatment</w:t>
              </w:r>
              <w:proofErr w:type="spellEnd"/>
              <w:r>
                <w:rPr>
                  <w:i/>
                  <w:color w:val="0563C1"/>
                  <w:u w:val="single"/>
                </w:rPr>
                <w:t xml:space="preserve">, service </w:t>
              </w:r>
              <w:proofErr w:type="spellStart"/>
              <w:r>
                <w:rPr>
                  <w:i/>
                  <w:color w:val="0563C1"/>
                  <w:u w:val="single"/>
                </w:rPr>
                <w:t>delivery</w:t>
              </w:r>
              <w:proofErr w:type="spellEnd"/>
              <w:r>
                <w:rPr>
                  <w:i/>
                  <w:color w:val="0563C1"/>
                  <w:u w:val="single"/>
                </w:rPr>
                <w:t xml:space="preserve"> and monitoring: </w:t>
              </w:r>
              <w:proofErr w:type="spellStart"/>
              <w:r>
                <w:rPr>
                  <w:i/>
                  <w:color w:val="0563C1"/>
                  <w:u w:val="single"/>
                </w:rPr>
                <w:t>recommendations</w:t>
              </w:r>
              <w:proofErr w:type="spellEnd"/>
              <w:r>
                <w:rPr>
                  <w:i/>
                  <w:color w:val="0563C1"/>
                  <w:u w:val="single"/>
                </w:rPr>
                <w:t xml:space="preserve"> for a public </w:t>
              </w:r>
              <w:proofErr w:type="spellStart"/>
              <w:r>
                <w:rPr>
                  <w:i/>
                  <w:color w:val="0563C1"/>
                  <w:u w:val="single"/>
                </w:rPr>
                <w:t>health</w:t>
              </w:r>
              <w:proofErr w:type="spellEnd"/>
              <w:r>
                <w:rPr>
                  <w:i/>
                  <w:color w:val="0563C1"/>
                  <w:u w:val="single"/>
                </w:rPr>
                <w:t xml:space="preserve"> </w:t>
              </w:r>
              <w:proofErr w:type="spellStart"/>
              <w:r>
                <w:rPr>
                  <w:i/>
                  <w:color w:val="0563C1"/>
                  <w:u w:val="single"/>
                </w:rPr>
                <w:t>approach</w:t>
              </w:r>
              <w:proofErr w:type="spellEnd"/>
            </w:hyperlink>
            <w:r>
              <w:t xml:space="preserve">, qui a été officiellement publié par l’OMS en juillet 2021, avec d’autres mises à jour décrites dans </w:t>
            </w:r>
            <w:r w:rsidRPr="00D15A48">
              <w:t xml:space="preserve">une </w:t>
            </w:r>
            <w:hyperlink r:id="rId8">
              <w:r w:rsidRPr="00D15A48">
                <w:t>présentation</w:t>
              </w:r>
            </w:hyperlink>
            <w:r>
              <w:t xml:space="preserve"> de l’OMS lors d’un webinaire public en octobre 2021.</w:t>
            </w:r>
          </w:p>
          <w:p w14:paraId="701FFD4C" w14:textId="77777777" w:rsidR="007A5C59" w:rsidRDefault="007A5C59"/>
          <w:p w14:paraId="16453164" w14:textId="60B118FE" w:rsidR="007A5C59" w:rsidRDefault="00E7184E">
            <w:pPr>
              <w:rPr>
                <w:b/>
                <w:sz w:val="24"/>
                <w:szCs w:val="24"/>
              </w:rPr>
            </w:pPr>
            <w:r>
              <w:t xml:space="preserve">Ce document a été élaboré par la Collaboration for HIV Options to Control the </w:t>
            </w:r>
            <w:proofErr w:type="spellStart"/>
            <w:r>
              <w:t>Epidemic</w:t>
            </w:r>
            <w:proofErr w:type="spellEnd"/>
            <w:r>
              <w:t xml:space="preserve"> (CHOICE) en étroite collaboration avec l’Agence des États-Unis pour le développement international (USAID). CHOICE est une collaboration entre les projets </w:t>
            </w:r>
            <w:proofErr w:type="gramStart"/>
            <w:r>
              <w:t>Meeting</w:t>
            </w:r>
            <w:proofErr w:type="gramEnd"/>
            <w:r>
              <w:t xml:space="preserve"> </w:t>
            </w:r>
            <w:proofErr w:type="spellStart"/>
            <w:r>
              <w:t>Targets</w:t>
            </w:r>
            <w:proofErr w:type="spellEnd"/>
            <w:r>
              <w:t xml:space="preserve"> and </w:t>
            </w:r>
            <w:proofErr w:type="spellStart"/>
            <w:r>
              <w:t>Maintaining</w:t>
            </w:r>
            <w:proofErr w:type="spellEnd"/>
            <w:r>
              <w:t xml:space="preserve"> </w:t>
            </w:r>
            <w:proofErr w:type="spellStart"/>
            <w:r>
              <w:t>Epidemic</w:t>
            </w:r>
            <w:proofErr w:type="spellEnd"/>
            <w:r>
              <w:t xml:space="preserve"> Control (</w:t>
            </w:r>
            <w:proofErr w:type="spellStart"/>
            <w:r>
              <w:t>EpiC</w:t>
            </w:r>
            <w:proofErr w:type="spellEnd"/>
            <w:r>
              <w:t xml:space="preserve">) et </w:t>
            </w:r>
            <w:proofErr w:type="spellStart"/>
            <w:r>
              <w:t>Reaching</w:t>
            </w:r>
            <w:proofErr w:type="spellEnd"/>
            <w:r>
              <w:t xml:space="preserve"> Impact, Saturation and </w:t>
            </w:r>
            <w:proofErr w:type="spellStart"/>
            <w:r>
              <w:t>Epidemic</w:t>
            </w:r>
            <w:proofErr w:type="spellEnd"/>
            <w:r>
              <w:t xml:space="preserve"> Control (RISE) financés par l’USAID. Les pays doivent utiliser ce document de manière appropriée en fonction de leurs besoins et de leur environnement ; </w:t>
            </w:r>
            <w:r w:rsidR="008E41AC">
              <w:t>l</w:t>
            </w:r>
            <w:r>
              <w:t>a marque ou la reconnaissance CHOICE est facultative.</w:t>
            </w:r>
          </w:p>
        </w:tc>
      </w:tr>
    </w:tbl>
    <w:p w14:paraId="327AE813" w14:textId="77777777" w:rsidR="007A5C59" w:rsidRDefault="007A5C59">
      <w:pPr>
        <w:spacing w:after="0" w:line="240" w:lineRule="auto"/>
        <w:rPr>
          <w:sz w:val="24"/>
          <w:szCs w:val="24"/>
        </w:rPr>
      </w:pPr>
    </w:p>
    <w:p w14:paraId="3025FB58" w14:textId="77777777" w:rsidR="007A5C59" w:rsidRPr="009631AD" w:rsidRDefault="00E7184E">
      <w:pPr>
        <w:spacing w:after="0" w:line="240" w:lineRule="auto"/>
        <w:rPr>
          <w:rFonts w:asciiTheme="minorHAnsi" w:hAnsiTheme="minorHAnsi" w:cstheme="minorHAnsi"/>
        </w:rPr>
      </w:pPr>
      <w:r w:rsidRPr="009631AD">
        <w:rPr>
          <w:rFonts w:asciiTheme="minorHAnsi" w:hAnsiTheme="minorHAnsi" w:cstheme="minorHAnsi"/>
        </w:rPr>
        <w:t xml:space="preserve">Cet addendum aux directives sert de mise à jour des directives nationales précédentes sur la PrEP orale en </w:t>
      </w:r>
      <w:r w:rsidRPr="009631AD">
        <w:rPr>
          <w:rFonts w:asciiTheme="minorHAnsi" w:hAnsiTheme="minorHAnsi" w:cstheme="minorHAnsi"/>
          <w:color w:val="FF0000"/>
        </w:rPr>
        <w:t>[pays]</w:t>
      </w:r>
      <w:r w:rsidRPr="009631AD">
        <w:rPr>
          <w:rFonts w:asciiTheme="minorHAnsi" w:hAnsiTheme="minorHAnsi" w:cstheme="minorHAnsi"/>
        </w:rPr>
        <w:t>. Le contenu ci-dessous sur la nécessité et la fréquence des diagnostics pour la prestation de services de PrEP orale remplace les exigences et recommandations précédentes sur ces diagnostics.</w:t>
      </w:r>
    </w:p>
    <w:p w14:paraId="3C281BA9" w14:textId="5C51B6F4" w:rsidR="007A5C59" w:rsidRPr="009631AD" w:rsidRDefault="00E7184E">
      <w:pPr>
        <w:spacing w:after="0" w:line="240" w:lineRule="auto"/>
        <w:rPr>
          <w:rFonts w:asciiTheme="minorHAnsi" w:hAnsiTheme="minorHAnsi" w:cstheme="minorHAnsi"/>
        </w:rPr>
      </w:pPr>
      <w:r w:rsidRPr="009631AD">
        <w:rPr>
          <w:rFonts w:asciiTheme="minorHAnsi" w:hAnsiTheme="minorHAnsi" w:cstheme="minorHAnsi"/>
        </w:rPr>
        <w:t>Le contenu ci-dessous sur la nécessité et la fréquence des diagnostics pour la prestation de services de PrEP orale, la PrEP à la demande (ED-PrEP) et le démarrage et l’arrêt de la PrEP orale l’emporte sur les exigences et recommandations précédentes.</w:t>
      </w:r>
    </w:p>
    <w:p w14:paraId="69BA012D" w14:textId="77777777" w:rsidR="007A5C59" w:rsidRPr="009631AD" w:rsidRDefault="007A5C59">
      <w:pPr>
        <w:spacing w:after="0" w:line="240" w:lineRule="auto"/>
        <w:rPr>
          <w:rFonts w:asciiTheme="minorHAnsi" w:hAnsiTheme="minorHAnsi" w:cstheme="minorHAnsi"/>
        </w:rPr>
      </w:pPr>
    </w:p>
    <w:p w14:paraId="1FCC12EF" w14:textId="3E5626DF" w:rsidR="007A5C59" w:rsidRPr="009631AD" w:rsidRDefault="00E7184E">
      <w:pPr>
        <w:spacing w:after="0" w:line="240" w:lineRule="auto"/>
        <w:rPr>
          <w:rFonts w:asciiTheme="minorHAnsi" w:hAnsiTheme="minorHAnsi" w:cstheme="minorHAnsi"/>
          <w:b/>
        </w:rPr>
      </w:pPr>
      <w:r w:rsidRPr="009631AD">
        <w:rPr>
          <w:rFonts w:asciiTheme="minorHAnsi" w:hAnsiTheme="minorHAnsi" w:cstheme="minorHAnsi"/>
          <w:b/>
        </w:rPr>
        <w:t>Évaluation et su</w:t>
      </w:r>
      <w:r w:rsidR="00DA7289" w:rsidRPr="009631AD">
        <w:rPr>
          <w:rFonts w:asciiTheme="minorHAnsi" w:hAnsiTheme="minorHAnsi" w:cstheme="minorHAnsi"/>
          <w:b/>
        </w:rPr>
        <w:t>i</w:t>
      </w:r>
      <w:r w:rsidRPr="009631AD">
        <w:rPr>
          <w:rFonts w:asciiTheme="minorHAnsi" w:hAnsiTheme="minorHAnsi" w:cstheme="minorHAnsi"/>
          <w:b/>
        </w:rPr>
        <w:t>vi de la fonction rénale</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620"/>
        <w:gridCol w:w="5781"/>
      </w:tblGrid>
      <w:tr w:rsidR="007A5C59" w:rsidRPr="009631AD" w14:paraId="2AF1881F" w14:textId="77777777" w:rsidTr="009631AD">
        <w:tc>
          <w:tcPr>
            <w:tcW w:w="3055" w:type="dxa"/>
          </w:tcPr>
          <w:p w14:paraId="72FF30C4" w14:textId="77777777" w:rsidR="007A5C59" w:rsidRPr="009631AD" w:rsidRDefault="00E7184E">
            <w:pPr>
              <w:rPr>
                <w:rFonts w:asciiTheme="minorHAnsi" w:hAnsiTheme="minorHAnsi" w:cstheme="minorHAnsi"/>
                <w:b/>
              </w:rPr>
            </w:pPr>
            <w:r w:rsidRPr="009631AD">
              <w:rPr>
                <w:rFonts w:asciiTheme="minorHAnsi" w:hAnsiTheme="minorHAnsi" w:cstheme="minorHAnsi"/>
                <w:b/>
              </w:rPr>
              <w:t>Population</w:t>
            </w:r>
          </w:p>
        </w:tc>
        <w:tc>
          <w:tcPr>
            <w:tcW w:w="1620" w:type="dxa"/>
          </w:tcPr>
          <w:p w14:paraId="42FEB628" w14:textId="77777777" w:rsidR="007A5C59" w:rsidRPr="009631AD" w:rsidRDefault="00E7184E">
            <w:pPr>
              <w:rPr>
                <w:rFonts w:asciiTheme="minorHAnsi" w:hAnsiTheme="minorHAnsi" w:cstheme="minorHAnsi"/>
                <w:b/>
              </w:rPr>
            </w:pPr>
            <w:r w:rsidRPr="009631AD">
              <w:rPr>
                <w:rFonts w:asciiTheme="minorHAnsi" w:hAnsiTheme="minorHAnsi" w:cstheme="minorHAnsi"/>
                <w:b/>
              </w:rPr>
              <w:t>Initiation</w:t>
            </w:r>
          </w:p>
        </w:tc>
        <w:tc>
          <w:tcPr>
            <w:tcW w:w="5781" w:type="dxa"/>
          </w:tcPr>
          <w:p w14:paraId="409EE630" w14:textId="77777777" w:rsidR="007A5C59" w:rsidRPr="009631AD" w:rsidRDefault="00E7184E">
            <w:pPr>
              <w:rPr>
                <w:rFonts w:asciiTheme="minorHAnsi" w:hAnsiTheme="minorHAnsi" w:cstheme="minorHAnsi"/>
                <w:b/>
              </w:rPr>
            </w:pPr>
            <w:r w:rsidRPr="009631AD">
              <w:rPr>
                <w:rFonts w:asciiTheme="minorHAnsi" w:hAnsiTheme="minorHAnsi" w:cstheme="minorHAnsi"/>
                <w:b/>
              </w:rPr>
              <w:t>Suivi</w:t>
            </w:r>
          </w:p>
        </w:tc>
      </w:tr>
      <w:tr w:rsidR="007A5C59" w:rsidRPr="009631AD" w14:paraId="4647CCCF" w14:textId="77777777" w:rsidTr="009631AD">
        <w:tc>
          <w:tcPr>
            <w:tcW w:w="3055" w:type="dxa"/>
          </w:tcPr>
          <w:p w14:paraId="0EFFC815"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Individus de 29 ans et moins sans comorbidité rénale</w:t>
            </w:r>
          </w:p>
        </w:tc>
        <w:tc>
          <w:tcPr>
            <w:tcW w:w="1620" w:type="dxa"/>
          </w:tcPr>
          <w:p w14:paraId="05AB97A9"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Optionnel</w:t>
            </w:r>
          </w:p>
        </w:tc>
        <w:tc>
          <w:tcPr>
            <w:tcW w:w="5781" w:type="dxa"/>
          </w:tcPr>
          <w:p w14:paraId="22E5F38E" w14:textId="77777777" w:rsidR="007A5C59" w:rsidRPr="009631AD" w:rsidRDefault="00E7184E">
            <w:pPr>
              <w:rPr>
                <w:rFonts w:asciiTheme="minorHAnsi" w:hAnsiTheme="minorHAnsi" w:cstheme="minorHAnsi"/>
                <w:color w:val="000000"/>
              </w:rPr>
            </w:pPr>
            <w:r w:rsidRPr="009631AD">
              <w:rPr>
                <w:rFonts w:asciiTheme="minorHAnsi" w:hAnsiTheme="minorHAnsi" w:cstheme="minorHAnsi"/>
                <w:color w:val="000000"/>
              </w:rPr>
              <w:t>S'il n'est pas effectué ou si le test de référence est normal, le suivi est facultatif jusqu'à l'âge de 30 ans ou si des comorbidités liées au rein se développent.</w:t>
            </w:r>
          </w:p>
          <w:p w14:paraId="6ABD5B29" w14:textId="77777777" w:rsidR="007A5C59" w:rsidRPr="009631AD" w:rsidRDefault="007A5C59">
            <w:pPr>
              <w:rPr>
                <w:rFonts w:asciiTheme="minorHAnsi" w:hAnsiTheme="minorHAnsi" w:cstheme="minorHAnsi"/>
                <w:color w:val="000000"/>
              </w:rPr>
            </w:pPr>
          </w:p>
          <w:p w14:paraId="7D5F2628" w14:textId="77777777" w:rsidR="007A5C59" w:rsidRPr="009631AD" w:rsidRDefault="00E7184E">
            <w:pPr>
              <w:rPr>
                <w:rFonts w:asciiTheme="minorHAnsi" w:hAnsiTheme="minorHAnsi" w:cstheme="minorHAnsi"/>
                <w:b/>
              </w:rPr>
            </w:pPr>
            <w:r w:rsidRPr="009631AD">
              <w:rPr>
                <w:rFonts w:asciiTheme="minorHAnsi" w:hAnsiTheme="minorHAnsi" w:cstheme="minorHAnsi"/>
              </w:rPr>
              <w:t>S'il est effectué et que le résultat du test de référence est &lt; 90 ml / min, effectuez un dépistage de suivi tous les six à 12 mois, si disponible</w:t>
            </w:r>
            <w:r w:rsidRPr="009631AD">
              <w:rPr>
                <w:rFonts w:asciiTheme="minorHAnsi" w:hAnsiTheme="minorHAnsi" w:cstheme="minorHAnsi"/>
                <w:color w:val="000000"/>
              </w:rPr>
              <w:t>.</w:t>
            </w:r>
          </w:p>
        </w:tc>
      </w:tr>
      <w:tr w:rsidR="007A5C59" w:rsidRPr="009631AD" w14:paraId="07EF86C4" w14:textId="77777777" w:rsidTr="009631AD">
        <w:tc>
          <w:tcPr>
            <w:tcW w:w="3055" w:type="dxa"/>
          </w:tcPr>
          <w:p w14:paraId="4B88F9D7"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Individus de 30 à 49 ans sans comorbidité rénale</w:t>
            </w:r>
          </w:p>
        </w:tc>
        <w:tc>
          <w:tcPr>
            <w:tcW w:w="1620" w:type="dxa"/>
          </w:tcPr>
          <w:p w14:paraId="60E5825F"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Effectuer une fois dans les, un à 3 mois suivant le début de la PrEP orale, si disponible.</w:t>
            </w:r>
          </w:p>
        </w:tc>
        <w:tc>
          <w:tcPr>
            <w:tcW w:w="5781" w:type="dxa"/>
          </w:tcPr>
          <w:p w14:paraId="5FC76B79" w14:textId="77777777" w:rsidR="007A5C59" w:rsidRPr="009631AD" w:rsidRDefault="00E7184E">
            <w:pPr>
              <w:rPr>
                <w:rFonts w:asciiTheme="minorHAnsi" w:hAnsiTheme="minorHAnsi" w:cstheme="minorHAnsi"/>
                <w:color w:val="000000"/>
              </w:rPr>
            </w:pPr>
            <w:r w:rsidRPr="009631AD">
              <w:rPr>
                <w:rFonts w:asciiTheme="minorHAnsi" w:hAnsiTheme="minorHAnsi" w:cstheme="minorHAnsi"/>
                <w:color w:val="000000"/>
              </w:rPr>
              <w:t>Si le test de référence est normal, un dépistage supplémentaire est facultatif jusqu'à l'âge de 50 ans ou si des comorbidités liées au rein se développent.</w:t>
            </w:r>
          </w:p>
          <w:p w14:paraId="0072EF8E" w14:textId="77777777" w:rsidR="007A5C59" w:rsidRPr="009631AD" w:rsidRDefault="007A5C59">
            <w:pPr>
              <w:rPr>
                <w:rFonts w:asciiTheme="minorHAnsi" w:hAnsiTheme="minorHAnsi" w:cstheme="minorHAnsi"/>
                <w:color w:val="000000"/>
              </w:rPr>
            </w:pPr>
          </w:p>
          <w:p w14:paraId="545CD1F5"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Si le résultat du test de référence est &lt; 90 ml / min, effectuer un dépistage de suivi tous les six à 12 mois, si disponible.</w:t>
            </w:r>
          </w:p>
        </w:tc>
      </w:tr>
      <w:tr w:rsidR="007A5C59" w:rsidRPr="009631AD" w14:paraId="60212158" w14:textId="77777777" w:rsidTr="009631AD">
        <w:tc>
          <w:tcPr>
            <w:tcW w:w="3055" w:type="dxa"/>
          </w:tcPr>
          <w:p w14:paraId="0B11B538" w14:textId="77777777" w:rsidR="007A5C59" w:rsidRPr="009631AD" w:rsidRDefault="00E7184E">
            <w:pPr>
              <w:rPr>
                <w:rFonts w:asciiTheme="minorHAnsi" w:hAnsiTheme="minorHAnsi" w:cstheme="minorHAnsi"/>
                <w:color w:val="000000"/>
              </w:rPr>
            </w:pPr>
            <w:r w:rsidRPr="009631AD">
              <w:rPr>
                <w:rFonts w:asciiTheme="minorHAnsi" w:hAnsiTheme="minorHAnsi" w:cstheme="minorHAnsi"/>
                <w:color w:val="000000"/>
              </w:rPr>
              <w:t>Individus de 50 ans et plus</w:t>
            </w:r>
          </w:p>
          <w:p w14:paraId="4161D8AB" w14:textId="77777777" w:rsidR="007A5C59" w:rsidRPr="009631AD" w:rsidRDefault="00E7184E">
            <w:pPr>
              <w:rPr>
                <w:rFonts w:asciiTheme="minorHAnsi" w:hAnsiTheme="minorHAnsi" w:cstheme="minorHAnsi"/>
                <w:color w:val="000000"/>
              </w:rPr>
            </w:pPr>
            <w:r w:rsidRPr="009631AD">
              <w:rPr>
                <w:rFonts w:asciiTheme="minorHAnsi" w:hAnsiTheme="minorHAnsi" w:cstheme="minorHAnsi"/>
                <w:color w:val="000000"/>
              </w:rPr>
              <w:t>Individus de tout âge présentant des comorbidités liées au rein</w:t>
            </w:r>
          </w:p>
          <w:p w14:paraId="61C20238" w14:textId="77777777" w:rsidR="007A5C59" w:rsidRPr="009631AD" w:rsidRDefault="007A5C59">
            <w:pPr>
              <w:rPr>
                <w:rFonts w:asciiTheme="minorHAnsi" w:hAnsiTheme="minorHAnsi" w:cstheme="minorHAnsi"/>
                <w:color w:val="000000"/>
              </w:rPr>
            </w:pPr>
          </w:p>
          <w:p w14:paraId="6ADBFFF9"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Individus avec un dépistage préalable de la créatinine &lt; 90 ml / min</w:t>
            </w:r>
          </w:p>
        </w:tc>
        <w:tc>
          <w:tcPr>
            <w:tcW w:w="1620" w:type="dxa"/>
          </w:tcPr>
          <w:p w14:paraId="14F7E74D"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Effectuer une fois dans les, un à 3 mois suivant le début de la PrEP orale, si disponible.</w:t>
            </w:r>
          </w:p>
        </w:tc>
        <w:tc>
          <w:tcPr>
            <w:tcW w:w="5781" w:type="dxa"/>
          </w:tcPr>
          <w:p w14:paraId="0571218F" w14:textId="77777777" w:rsidR="007A5C59" w:rsidRPr="009631AD" w:rsidRDefault="00E7184E">
            <w:pPr>
              <w:rPr>
                <w:rFonts w:asciiTheme="minorHAnsi" w:hAnsiTheme="minorHAnsi" w:cstheme="minorHAnsi"/>
                <w:b/>
              </w:rPr>
            </w:pPr>
            <w:r w:rsidRPr="009631AD">
              <w:rPr>
                <w:rFonts w:asciiTheme="minorHAnsi" w:hAnsiTheme="minorHAnsi" w:cstheme="minorHAnsi"/>
                <w:color w:val="000000"/>
              </w:rPr>
              <w:t>Effectuer un dépistage de suivi tous les six à 12 mois, si disponible.</w:t>
            </w:r>
          </w:p>
        </w:tc>
      </w:tr>
    </w:tbl>
    <w:p w14:paraId="72092839" w14:textId="77777777" w:rsidR="007A5C59" w:rsidRPr="009631AD" w:rsidRDefault="007A5C59">
      <w:pPr>
        <w:spacing w:after="0" w:line="240" w:lineRule="auto"/>
        <w:jc w:val="right"/>
        <w:rPr>
          <w:rFonts w:asciiTheme="minorHAnsi" w:hAnsiTheme="minorHAnsi" w:cstheme="minorHAnsi"/>
          <w:b/>
        </w:rPr>
      </w:pPr>
    </w:p>
    <w:p w14:paraId="64590B31" w14:textId="72D7AD77" w:rsidR="007A5C59" w:rsidRPr="009631AD" w:rsidRDefault="00A75B33">
      <w:pPr>
        <w:spacing w:after="0" w:line="240" w:lineRule="auto"/>
        <w:rPr>
          <w:rFonts w:asciiTheme="minorHAnsi" w:hAnsiTheme="minorHAnsi" w:cstheme="minorHAnsi"/>
        </w:rPr>
      </w:pPr>
      <w:r w:rsidRPr="009631AD">
        <w:rPr>
          <w:rFonts w:asciiTheme="minorHAnsi" w:hAnsiTheme="minorHAnsi" w:cstheme="minorHAnsi"/>
        </w:rPr>
        <w:lastRenderedPageBreak/>
        <w:t xml:space="preserve">Lors du dépistage, toute personne ayant un résultat de ≥60 </w:t>
      </w:r>
      <w:proofErr w:type="spellStart"/>
      <w:r w:rsidRPr="009631AD">
        <w:rPr>
          <w:rFonts w:asciiTheme="minorHAnsi" w:hAnsiTheme="minorHAnsi" w:cstheme="minorHAnsi"/>
        </w:rPr>
        <w:t>mL</w:t>
      </w:r>
      <w:proofErr w:type="spellEnd"/>
      <w:r w:rsidRPr="009631AD">
        <w:rPr>
          <w:rFonts w:asciiTheme="minorHAnsi" w:hAnsiTheme="minorHAnsi" w:cstheme="minorHAnsi"/>
        </w:rPr>
        <w:t>/min peut se voir prescrire en toute sécurité une PrEP orale.</w:t>
      </w:r>
      <w:r w:rsidR="00E7184E" w:rsidRPr="009631AD">
        <w:rPr>
          <w:rFonts w:asciiTheme="minorHAnsi" w:hAnsiTheme="minorHAnsi" w:cstheme="minorHAnsi"/>
        </w:rPr>
        <w:t xml:space="preserve"> </w:t>
      </w:r>
      <w:r w:rsidR="003113EB" w:rsidRPr="009631AD">
        <w:rPr>
          <w:rFonts w:asciiTheme="minorHAnsi" w:hAnsiTheme="minorHAnsi" w:cstheme="minorHAnsi"/>
        </w:rPr>
        <w:t>Étant donné que les résultats peuvent être examinés lors d’une visite de suivi, l’attente des résultats ne devrait pas retarder l’initiation de la PrEP</w:t>
      </w:r>
      <w:r w:rsidR="00597F8A" w:rsidRPr="009631AD">
        <w:rPr>
          <w:rFonts w:asciiTheme="minorHAnsi" w:hAnsiTheme="minorHAnsi" w:cstheme="minorHAnsi"/>
        </w:rPr>
        <w:t xml:space="preserve"> orale</w:t>
      </w:r>
      <w:r w:rsidR="003113EB" w:rsidRPr="009631AD">
        <w:rPr>
          <w:rFonts w:asciiTheme="minorHAnsi" w:hAnsiTheme="minorHAnsi" w:cstheme="minorHAnsi"/>
        </w:rPr>
        <w:t>.</w:t>
      </w:r>
      <w:r w:rsidR="00E7184E" w:rsidRPr="009631AD">
        <w:rPr>
          <w:rFonts w:asciiTheme="minorHAnsi" w:hAnsiTheme="minorHAnsi" w:cstheme="minorHAnsi"/>
        </w:rPr>
        <w:t xml:space="preserve"> </w:t>
      </w:r>
      <w:r w:rsidR="001C290E" w:rsidRPr="009631AD">
        <w:rPr>
          <w:rFonts w:asciiTheme="minorHAnsi" w:hAnsiTheme="minorHAnsi" w:cstheme="minorHAnsi"/>
        </w:rPr>
        <w:t xml:space="preserve">Si les résultats indiquent une clairance anormale de la créatinine de &lt;60 </w:t>
      </w:r>
      <w:proofErr w:type="spellStart"/>
      <w:r w:rsidR="001C290E" w:rsidRPr="009631AD">
        <w:rPr>
          <w:rFonts w:asciiTheme="minorHAnsi" w:hAnsiTheme="minorHAnsi" w:cstheme="minorHAnsi"/>
        </w:rPr>
        <w:t>mL</w:t>
      </w:r>
      <w:proofErr w:type="spellEnd"/>
      <w:r w:rsidR="001C290E" w:rsidRPr="009631AD">
        <w:rPr>
          <w:rFonts w:asciiTheme="minorHAnsi" w:hAnsiTheme="minorHAnsi" w:cstheme="minorHAnsi"/>
        </w:rPr>
        <w:t>/min, le test doit être répété un jour distinct avant l’arrêt de la PrEP orale, et la PrEP orale doit être arrêtée si le résultat de la répétition de l’essai est également anormal.</w:t>
      </w:r>
      <w:r w:rsidR="00E7184E" w:rsidRPr="009631AD">
        <w:rPr>
          <w:rFonts w:asciiTheme="minorHAnsi" w:hAnsiTheme="minorHAnsi" w:cstheme="minorHAnsi"/>
        </w:rPr>
        <w:t xml:space="preserve"> </w:t>
      </w:r>
      <w:r w:rsidR="00C24DDE" w:rsidRPr="009631AD">
        <w:rPr>
          <w:rFonts w:asciiTheme="minorHAnsi" w:hAnsiTheme="minorHAnsi" w:cstheme="minorHAnsi"/>
        </w:rPr>
        <w:t xml:space="preserve">La clairance de la créatinine revient habituellement à des niveaux normaux après l’arrêt de la PrEP. </w:t>
      </w:r>
      <w:r w:rsidR="00E7184E" w:rsidRPr="009631AD">
        <w:rPr>
          <w:rFonts w:asciiTheme="minorHAnsi" w:hAnsiTheme="minorHAnsi" w:cstheme="minorHAnsi"/>
        </w:rPr>
        <w:t xml:space="preserve">La PrEP orale peut être relancée si </w:t>
      </w:r>
      <w:r w:rsidR="00AD7674" w:rsidRPr="009631AD">
        <w:rPr>
          <w:rFonts w:asciiTheme="minorHAnsi" w:hAnsiTheme="minorHAnsi" w:cstheme="minorHAnsi"/>
        </w:rPr>
        <w:t>les résultats sont</w:t>
      </w:r>
      <w:r w:rsidR="00E7184E" w:rsidRPr="009631AD">
        <w:rPr>
          <w:rFonts w:asciiTheme="minorHAnsi" w:hAnsiTheme="minorHAnsi" w:cstheme="minorHAnsi"/>
        </w:rPr>
        <w:t xml:space="preserve"> confirmé</w:t>
      </w:r>
      <w:r w:rsidR="00AD7674" w:rsidRPr="009631AD">
        <w:rPr>
          <w:rFonts w:asciiTheme="minorHAnsi" w:hAnsiTheme="minorHAnsi" w:cstheme="minorHAnsi"/>
        </w:rPr>
        <w:t>s</w:t>
      </w:r>
      <w:r w:rsidR="00E7184E" w:rsidRPr="009631AD">
        <w:rPr>
          <w:rFonts w:asciiTheme="minorHAnsi" w:hAnsiTheme="minorHAnsi" w:cstheme="minorHAnsi"/>
        </w:rPr>
        <w:t xml:space="preserve"> comme étant de ≥60 </w:t>
      </w:r>
      <w:proofErr w:type="spellStart"/>
      <w:r w:rsidR="00E7184E" w:rsidRPr="009631AD">
        <w:rPr>
          <w:rFonts w:asciiTheme="minorHAnsi" w:hAnsiTheme="minorHAnsi" w:cstheme="minorHAnsi"/>
        </w:rPr>
        <w:t>mL</w:t>
      </w:r>
      <w:proofErr w:type="spellEnd"/>
      <w:r w:rsidR="00E7184E" w:rsidRPr="009631AD">
        <w:rPr>
          <w:rFonts w:asciiTheme="minorHAnsi" w:hAnsiTheme="minorHAnsi" w:cstheme="minorHAnsi"/>
        </w:rPr>
        <w:t xml:space="preserve">/min </w:t>
      </w:r>
      <w:r w:rsidR="00373A0C" w:rsidRPr="009631AD">
        <w:rPr>
          <w:rFonts w:asciiTheme="minorHAnsi" w:hAnsiTheme="minorHAnsi" w:cstheme="minorHAnsi"/>
        </w:rPr>
        <w:t>dans un délai d’un à trois mois après l’arrêt de la PrEP orale</w:t>
      </w:r>
      <w:r w:rsidR="00E7184E" w:rsidRPr="009631AD">
        <w:rPr>
          <w:rFonts w:asciiTheme="minorHAnsi" w:hAnsiTheme="minorHAnsi" w:cstheme="minorHAnsi"/>
        </w:rPr>
        <w:t>.</w:t>
      </w:r>
    </w:p>
    <w:p w14:paraId="470F33A3" w14:textId="77777777" w:rsidR="007A5C59" w:rsidRPr="009631AD" w:rsidRDefault="007A5C59">
      <w:pPr>
        <w:spacing w:after="0" w:line="240" w:lineRule="auto"/>
        <w:rPr>
          <w:rFonts w:asciiTheme="minorHAnsi" w:hAnsiTheme="minorHAnsi" w:cstheme="minorHAnsi"/>
        </w:rPr>
      </w:pPr>
    </w:p>
    <w:p w14:paraId="2D3CD014" w14:textId="77777777" w:rsidR="007A5C59" w:rsidRPr="009631AD" w:rsidRDefault="00E7184E">
      <w:pPr>
        <w:spacing w:after="0" w:line="240" w:lineRule="auto"/>
        <w:rPr>
          <w:rFonts w:asciiTheme="minorHAnsi" w:hAnsiTheme="minorHAnsi" w:cstheme="minorHAnsi"/>
          <w:b/>
        </w:rPr>
      </w:pPr>
      <w:r w:rsidRPr="009631AD">
        <w:rPr>
          <w:rFonts w:asciiTheme="minorHAnsi" w:hAnsiTheme="minorHAnsi" w:cstheme="minorHAnsi"/>
          <w:b/>
        </w:rPr>
        <w:t>Hépatite B</w:t>
      </w:r>
    </w:p>
    <w:p w14:paraId="11075D45" w14:textId="35198E49" w:rsidR="007A5C59" w:rsidRPr="009631AD" w:rsidRDefault="00E7184E">
      <w:pPr>
        <w:spacing w:after="0" w:line="240" w:lineRule="auto"/>
        <w:rPr>
          <w:rFonts w:asciiTheme="minorHAnsi" w:hAnsiTheme="minorHAnsi" w:cstheme="minorHAnsi"/>
          <w:color w:val="000000"/>
        </w:rPr>
      </w:pPr>
      <w:r w:rsidRPr="009631AD">
        <w:rPr>
          <w:rFonts w:asciiTheme="minorHAnsi" w:hAnsiTheme="minorHAnsi" w:cstheme="minorHAnsi"/>
          <w:color w:val="000000"/>
        </w:rPr>
        <w:t xml:space="preserve">Le </w:t>
      </w:r>
      <w:r w:rsidR="00115B57" w:rsidRPr="009631AD">
        <w:rPr>
          <w:rFonts w:asciiTheme="minorHAnsi" w:hAnsiTheme="minorHAnsi" w:cstheme="minorHAnsi"/>
          <w:color w:val="000000"/>
        </w:rPr>
        <w:t>dépistage de l’antigène de surface de l’hépatite B (</w:t>
      </w:r>
      <w:proofErr w:type="spellStart"/>
      <w:r w:rsidR="00115B57" w:rsidRPr="009631AD">
        <w:rPr>
          <w:rFonts w:asciiTheme="minorHAnsi" w:hAnsiTheme="minorHAnsi" w:cstheme="minorHAnsi"/>
          <w:color w:val="000000"/>
        </w:rPr>
        <w:t>HBsAg</w:t>
      </w:r>
      <w:proofErr w:type="spellEnd"/>
      <w:r w:rsidR="00115B57" w:rsidRPr="009631AD">
        <w:rPr>
          <w:rFonts w:asciiTheme="minorHAnsi" w:hAnsiTheme="minorHAnsi" w:cstheme="minorHAnsi"/>
          <w:color w:val="000000"/>
        </w:rPr>
        <w:t>)</w:t>
      </w:r>
      <w:r w:rsidRPr="009631AD">
        <w:rPr>
          <w:rFonts w:asciiTheme="minorHAnsi" w:hAnsiTheme="minorHAnsi" w:cstheme="minorHAnsi"/>
          <w:color w:val="000000"/>
        </w:rPr>
        <w:t>, une fois au début ou dans les trois mois suivant l’introduction, est fortement encouragé, mais n’est pas requis pour l’utilisation de la PrEP</w:t>
      </w:r>
      <w:r w:rsidR="00D54A37" w:rsidRPr="009631AD">
        <w:rPr>
          <w:rFonts w:asciiTheme="minorHAnsi" w:hAnsiTheme="minorHAnsi" w:cstheme="minorHAnsi"/>
          <w:color w:val="000000"/>
        </w:rPr>
        <w:t xml:space="preserve"> orale</w:t>
      </w:r>
      <w:r w:rsidRPr="009631AD">
        <w:rPr>
          <w:rFonts w:asciiTheme="minorHAnsi" w:hAnsiTheme="minorHAnsi" w:cstheme="minorHAnsi"/>
          <w:color w:val="000000"/>
        </w:rPr>
        <w:t xml:space="preserve">. L’infection par l’hépatite B n’est pas une contre-indication à l’utilisation de la PrEP </w:t>
      </w:r>
      <w:r w:rsidR="00D54A37" w:rsidRPr="009631AD">
        <w:rPr>
          <w:rFonts w:asciiTheme="minorHAnsi" w:hAnsiTheme="minorHAnsi" w:cstheme="minorHAnsi"/>
          <w:color w:val="000000"/>
        </w:rPr>
        <w:t xml:space="preserve">orale </w:t>
      </w:r>
      <w:r w:rsidRPr="009631AD">
        <w:rPr>
          <w:rFonts w:asciiTheme="minorHAnsi" w:hAnsiTheme="minorHAnsi" w:cstheme="minorHAnsi"/>
          <w:color w:val="000000"/>
        </w:rPr>
        <w:t xml:space="preserve">(quotidienne ou </w:t>
      </w:r>
      <w:r w:rsidR="00D25BB2" w:rsidRPr="009631AD">
        <w:rPr>
          <w:rFonts w:asciiTheme="minorHAnsi" w:hAnsiTheme="minorHAnsi" w:cstheme="minorHAnsi"/>
          <w:color w:val="000000"/>
        </w:rPr>
        <w:t>à</w:t>
      </w:r>
      <w:r w:rsidR="009B7113" w:rsidRPr="009631AD">
        <w:rPr>
          <w:rFonts w:asciiTheme="minorHAnsi" w:hAnsiTheme="minorHAnsi" w:cstheme="minorHAnsi"/>
          <w:color w:val="000000"/>
        </w:rPr>
        <w:t xml:space="preserve"> la demande</w:t>
      </w:r>
      <w:r w:rsidRPr="009631AD">
        <w:rPr>
          <w:rFonts w:asciiTheme="minorHAnsi" w:hAnsiTheme="minorHAnsi" w:cstheme="minorHAnsi"/>
          <w:color w:val="000000"/>
        </w:rPr>
        <w:t>), et la PrEP orale peut être offerte en toute sécurité à une personne infectée par l’hépatite B.</w:t>
      </w:r>
    </w:p>
    <w:p w14:paraId="6291D6EA" w14:textId="713F59B8" w:rsidR="007A5C59" w:rsidRPr="009631AD" w:rsidRDefault="00DA790C">
      <w:pPr>
        <w:spacing w:after="0" w:line="240" w:lineRule="auto"/>
        <w:rPr>
          <w:rFonts w:asciiTheme="minorHAnsi" w:hAnsiTheme="minorHAnsi" w:cstheme="minorHAnsi"/>
          <w:bCs/>
          <w:color w:val="000000"/>
        </w:rPr>
      </w:pPr>
      <w:r w:rsidRPr="009631AD">
        <w:rPr>
          <w:rFonts w:asciiTheme="minorHAnsi" w:hAnsiTheme="minorHAnsi" w:cstheme="minorHAnsi"/>
          <w:bCs/>
          <w:color w:val="000000"/>
        </w:rPr>
        <w:t xml:space="preserve">Les </w:t>
      </w:r>
      <w:r w:rsidR="007054AC" w:rsidRPr="009631AD">
        <w:rPr>
          <w:rFonts w:asciiTheme="minorHAnsi" w:hAnsiTheme="minorHAnsi" w:cstheme="minorHAnsi"/>
          <w:bCs/>
          <w:color w:val="000000"/>
        </w:rPr>
        <w:t>individus</w:t>
      </w:r>
      <w:r w:rsidRPr="009631AD">
        <w:rPr>
          <w:rFonts w:asciiTheme="minorHAnsi" w:hAnsiTheme="minorHAnsi" w:cstheme="minorHAnsi"/>
          <w:bCs/>
          <w:color w:val="000000"/>
        </w:rPr>
        <w:t xml:space="preserve"> atteints d’</w:t>
      </w:r>
      <w:proofErr w:type="spellStart"/>
      <w:r w:rsidR="00213F9E" w:rsidRPr="009631AD">
        <w:rPr>
          <w:rFonts w:asciiTheme="minorHAnsi" w:hAnsiTheme="minorHAnsi" w:cstheme="minorHAnsi"/>
          <w:bCs/>
          <w:color w:val="000000"/>
        </w:rPr>
        <w:t>HBsAg</w:t>
      </w:r>
      <w:proofErr w:type="spellEnd"/>
      <w:r w:rsidRPr="009631AD">
        <w:rPr>
          <w:rFonts w:asciiTheme="minorHAnsi" w:hAnsiTheme="minorHAnsi" w:cstheme="minorHAnsi"/>
          <w:bCs/>
          <w:color w:val="000000"/>
        </w:rPr>
        <w:t xml:space="preserve"> détectable doivent être envisagés pour le traitement. Les </w:t>
      </w:r>
      <w:r w:rsidR="00F80064" w:rsidRPr="009631AD">
        <w:rPr>
          <w:rFonts w:asciiTheme="minorHAnsi" w:hAnsiTheme="minorHAnsi" w:cstheme="minorHAnsi"/>
          <w:bCs/>
          <w:color w:val="000000"/>
        </w:rPr>
        <w:t>individu</w:t>
      </w:r>
      <w:r w:rsidRPr="009631AD">
        <w:rPr>
          <w:rFonts w:asciiTheme="minorHAnsi" w:hAnsiTheme="minorHAnsi" w:cstheme="minorHAnsi"/>
          <w:bCs/>
          <w:color w:val="000000"/>
        </w:rPr>
        <w:t xml:space="preserve">s ayant un test </w:t>
      </w:r>
      <w:proofErr w:type="spellStart"/>
      <w:r w:rsidRPr="009631AD">
        <w:rPr>
          <w:rFonts w:asciiTheme="minorHAnsi" w:hAnsiTheme="minorHAnsi" w:cstheme="minorHAnsi"/>
          <w:bCs/>
          <w:color w:val="000000"/>
        </w:rPr>
        <w:t>HBsAg</w:t>
      </w:r>
      <w:proofErr w:type="spellEnd"/>
      <w:r w:rsidRPr="009631AD">
        <w:rPr>
          <w:rFonts w:asciiTheme="minorHAnsi" w:hAnsiTheme="minorHAnsi" w:cstheme="minorHAnsi"/>
          <w:bCs/>
          <w:color w:val="000000"/>
        </w:rPr>
        <w:t xml:space="preserve"> non réactif peuvent être envisagés pour la vaccination contre l’hépatite B.</w:t>
      </w:r>
    </w:p>
    <w:p w14:paraId="51DBD01D" w14:textId="77777777" w:rsidR="00DA790C" w:rsidRPr="009631AD" w:rsidRDefault="00DA790C">
      <w:pPr>
        <w:spacing w:after="0" w:line="240" w:lineRule="auto"/>
        <w:rPr>
          <w:rFonts w:asciiTheme="minorHAnsi" w:hAnsiTheme="minorHAnsi" w:cstheme="minorHAnsi"/>
          <w:b/>
          <w:color w:val="000000"/>
        </w:rPr>
      </w:pPr>
    </w:p>
    <w:p w14:paraId="0FEEA75A" w14:textId="77777777" w:rsidR="007A5C59" w:rsidRPr="009631AD" w:rsidRDefault="00E7184E">
      <w:pPr>
        <w:spacing w:after="0" w:line="240" w:lineRule="auto"/>
        <w:rPr>
          <w:rFonts w:asciiTheme="minorHAnsi" w:hAnsiTheme="minorHAnsi" w:cstheme="minorHAnsi"/>
          <w:b/>
          <w:color w:val="000000"/>
        </w:rPr>
      </w:pPr>
      <w:r w:rsidRPr="009631AD">
        <w:rPr>
          <w:rFonts w:asciiTheme="minorHAnsi" w:hAnsiTheme="minorHAnsi" w:cstheme="minorHAnsi"/>
          <w:b/>
        </w:rPr>
        <w:t>Hépatite</w:t>
      </w:r>
      <w:r w:rsidRPr="009631AD">
        <w:rPr>
          <w:rFonts w:asciiTheme="minorHAnsi" w:hAnsiTheme="minorHAnsi" w:cstheme="minorHAnsi"/>
          <w:b/>
          <w:color w:val="000000"/>
        </w:rPr>
        <w:t xml:space="preserve"> C</w:t>
      </w:r>
    </w:p>
    <w:p w14:paraId="5196E117" w14:textId="68974190" w:rsidR="007A5C59" w:rsidRPr="009631AD" w:rsidRDefault="006A381E">
      <w:pPr>
        <w:spacing w:after="0" w:line="240" w:lineRule="auto"/>
        <w:rPr>
          <w:rFonts w:asciiTheme="minorHAnsi" w:hAnsiTheme="minorHAnsi" w:cstheme="minorHAnsi"/>
          <w:color w:val="000000"/>
        </w:rPr>
      </w:pPr>
      <w:r w:rsidRPr="009631AD">
        <w:rPr>
          <w:rFonts w:asciiTheme="minorHAnsi" w:hAnsiTheme="minorHAnsi" w:cstheme="minorHAnsi"/>
          <w:color w:val="000000"/>
        </w:rPr>
        <w:t>Le d</w:t>
      </w:r>
      <w:r w:rsidR="000B6D03" w:rsidRPr="009631AD">
        <w:rPr>
          <w:rFonts w:asciiTheme="minorHAnsi" w:hAnsiTheme="minorHAnsi" w:cstheme="minorHAnsi"/>
          <w:color w:val="000000"/>
        </w:rPr>
        <w:t xml:space="preserve">épistage des anticorps anti-hépatite C </w:t>
      </w:r>
      <w:r w:rsidR="00E7184E" w:rsidRPr="009631AD">
        <w:rPr>
          <w:rFonts w:asciiTheme="minorHAnsi" w:hAnsiTheme="minorHAnsi" w:cstheme="minorHAnsi"/>
          <w:color w:val="000000"/>
        </w:rPr>
        <w:t xml:space="preserve">au début ou </w:t>
      </w:r>
      <w:r w:rsidR="00A31A93" w:rsidRPr="009631AD">
        <w:rPr>
          <w:rFonts w:asciiTheme="minorHAnsi" w:hAnsiTheme="minorHAnsi" w:cstheme="minorHAnsi"/>
          <w:color w:val="000000"/>
        </w:rPr>
        <w:t xml:space="preserve">dans les trois premiers mois suivant l’initiation </w:t>
      </w:r>
      <w:r w:rsidR="00E7184E" w:rsidRPr="009631AD">
        <w:rPr>
          <w:rFonts w:asciiTheme="minorHAnsi" w:hAnsiTheme="minorHAnsi" w:cstheme="minorHAnsi"/>
          <w:color w:val="000000"/>
        </w:rPr>
        <w:t>et tous les 12 mois par la suite est fortement encouragé en fonction du contexte épidémiologique local, mais n’est pas requis pour l’utilisation de la PrEP</w:t>
      </w:r>
      <w:r w:rsidR="0089208A" w:rsidRPr="009631AD">
        <w:rPr>
          <w:rFonts w:asciiTheme="minorHAnsi" w:hAnsiTheme="minorHAnsi" w:cstheme="minorHAnsi"/>
          <w:color w:val="000000"/>
        </w:rPr>
        <w:t xml:space="preserve"> orale</w:t>
      </w:r>
      <w:r w:rsidR="00E7184E" w:rsidRPr="009631AD">
        <w:rPr>
          <w:rFonts w:asciiTheme="minorHAnsi" w:hAnsiTheme="minorHAnsi" w:cstheme="minorHAnsi"/>
          <w:color w:val="000000"/>
        </w:rPr>
        <w:t xml:space="preserve">. L’infection par l’hépatite C n’est pas une contre-indication à l’utilisation de la PrEP </w:t>
      </w:r>
      <w:r w:rsidR="0089208A" w:rsidRPr="009631AD">
        <w:rPr>
          <w:rFonts w:asciiTheme="minorHAnsi" w:hAnsiTheme="minorHAnsi" w:cstheme="minorHAnsi"/>
          <w:color w:val="000000"/>
        </w:rPr>
        <w:t xml:space="preserve">orale </w:t>
      </w:r>
      <w:r w:rsidR="00E7184E" w:rsidRPr="009631AD">
        <w:rPr>
          <w:rFonts w:asciiTheme="minorHAnsi" w:hAnsiTheme="minorHAnsi" w:cstheme="minorHAnsi"/>
          <w:color w:val="000000"/>
        </w:rPr>
        <w:t xml:space="preserve">(quotidienne ou </w:t>
      </w:r>
      <w:r w:rsidR="0089208A" w:rsidRPr="009631AD">
        <w:rPr>
          <w:rFonts w:asciiTheme="minorHAnsi" w:hAnsiTheme="minorHAnsi" w:cstheme="minorHAnsi"/>
          <w:color w:val="000000"/>
        </w:rPr>
        <w:t>à la demande</w:t>
      </w:r>
      <w:r w:rsidR="00E7184E" w:rsidRPr="009631AD">
        <w:rPr>
          <w:rFonts w:asciiTheme="minorHAnsi" w:hAnsiTheme="minorHAnsi" w:cstheme="minorHAnsi"/>
          <w:color w:val="000000"/>
        </w:rPr>
        <w:t xml:space="preserve">), et la PrEP orale peut être offerte en toute sécurité à une personne infectée par l’hépatite C. </w:t>
      </w:r>
      <w:r w:rsidR="00594FC8" w:rsidRPr="009631AD">
        <w:rPr>
          <w:rFonts w:asciiTheme="minorHAnsi" w:hAnsiTheme="minorHAnsi" w:cstheme="minorHAnsi"/>
          <w:color w:val="000000"/>
        </w:rPr>
        <w:t xml:space="preserve">Les </w:t>
      </w:r>
      <w:r w:rsidR="000F0A50" w:rsidRPr="009631AD">
        <w:rPr>
          <w:rFonts w:asciiTheme="minorHAnsi" w:hAnsiTheme="minorHAnsi" w:cstheme="minorHAnsi"/>
          <w:color w:val="000000"/>
        </w:rPr>
        <w:t>individus</w:t>
      </w:r>
      <w:r w:rsidR="00594FC8" w:rsidRPr="009631AD">
        <w:rPr>
          <w:rFonts w:asciiTheme="minorHAnsi" w:hAnsiTheme="minorHAnsi" w:cstheme="minorHAnsi"/>
          <w:color w:val="000000"/>
        </w:rPr>
        <w:t xml:space="preserve"> atteints de sérologie réactive devraient être évalués pour le traitement de l’hépatite C.</w:t>
      </w:r>
    </w:p>
    <w:p w14:paraId="24460E71" w14:textId="77777777" w:rsidR="007A5C59" w:rsidRPr="009631AD" w:rsidRDefault="007A5C59">
      <w:pPr>
        <w:spacing w:after="0" w:line="240" w:lineRule="auto"/>
        <w:rPr>
          <w:rFonts w:asciiTheme="minorHAnsi" w:hAnsiTheme="minorHAnsi" w:cstheme="minorHAnsi"/>
          <w:color w:val="000000"/>
        </w:rPr>
      </w:pPr>
    </w:p>
    <w:p w14:paraId="2EA4CBC9" w14:textId="2E5CEC58" w:rsidR="007A5C59" w:rsidRPr="009631AD" w:rsidRDefault="00E7184E">
      <w:pPr>
        <w:spacing w:after="0" w:line="240" w:lineRule="auto"/>
        <w:rPr>
          <w:rFonts w:asciiTheme="minorHAnsi" w:hAnsiTheme="minorHAnsi" w:cstheme="minorHAnsi"/>
          <w:b/>
        </w:rPr>
      </w:pPr>
      <w:r w:rsidRPr="009631AD">
        <w:rPr>
          <w:rFonts w:asciiTheme="minorHAnsi" w:hAnsiTheme="minorHAnsi" w:cstheme="minorHAnsi"/>
          <w:b/>
        </w:rPr>
        <w:t>ED-PrEP</w:t>
      </w:r>
      <w:r w:rsidR="00ED4A5D" w:rsidRPr="009631AD">
        <w:rPr>
          <w:rFonts w:asciiTheme="minorHAnsi" w:hAnsiTheme="minorHAnsi" w:cstheme="minorHAnsi"/>
          <w:b/>
        </w:rPr>
        <w:t xml:space="preserve"> (P</w:t>
      </w:r>
      <w:r w:rsidR="009073BA" w:rsidRPr="009631AD">
        <w:rPr>
          <w:rFonts w:asciiTheme="minorHAnsi" w:hAnsiTheme="minorHAnsi" w:cstheme="minorHAnsi"/>
          <w:b/>
        </w:rPr>
        <w:t xml:space="preserve">rEP </w:t>
      </w:r>
      <w:r w:rsidR="009073BA" w:rsidRPr="009631AD">
        <w:rPr>
          <w:rFonts w:asciiTheme="minorHAnsi" w:hAnsiTheme="minorHAnsi" w:cstheme="minorHAnsi"/>
          <w:b/>
          <w:bCs/>
          <w:color w:val="000000"/>
        </w:rPr>
        <w:t>à</w:t>
      </w:r>
      <w:r w:rsidR="009073BA" w:rsidRPr="009631AD">
        <w:rPr>
          <w:rFonts w:asciiTheme="minorHAnsi" w:hAnsiTheme="minorHAnsi" w:cstheme="minorHAnsi"/>
          <w:b/>
        </w:rPr>
        <w:t xml:space="preserve"> la demande)</w:t>
      </w:r>
    </w:p>
    <w:p w14:paraId="032AA37B" w14:textId="55A1F6B8" w:rsidR="007A5C59" w:rsidRPr="009631AD" w:rsidRDefault="00E7184E">
      <w:pPr>
        <w:spacing w:after="0" w:line="240" w:lineRule="auto"/>
        <w:rPr>
          <w:rFonts w:asciiTheme="minorHAnsi" w:hAnsiTheme="minorHAnsi" w:cstheme="minorHAnsi"/>
        </w:rPr>
      </w:pPr>
      <w:r w:rsidRPr="009631AD">
        <w:rPr>
          <w:rFonts w:asciiTheme="minorHAnsi" w:hAnsiTheme="minorHAnsi" w:cstheme="minorHAnsi"/>
        </w:rPr>
        <w:t xml:space="preserve">ED-PrEP peut être utilisée pour prévenir l’acquisition du VIH pendant les rapports sexuels par toutes les </w:t>
      </w:r>
      <w:r w:rsidR="009267D4" w:rsidRPr="009631AD">
        <w:rPr>
          <w:rFonts w:asciiTheme="minorHAnsi" w:hAnsiTheme="minorHAnsi" w:cstheme="minorHAnsi"/>
        </w:rPr>
        <w:t xml:space="preserve">personnes assignées mâle à la naissance </w:t>
      </w:r>
      <w:r w:rsidRPr="009631AD">
        <w:rPr>
          <w:rFonts w:asciiTheme="minorHAnsi" w:hAnsiTheme="minorHAnsi" w:cstheme="minorHAnsi"/>
        </w:rPr>
        <w:t xml:space="preserve">(AMAB) </w:t>
      </w:r>
      <w:r w:rsidR="009F5F50" w:rsidRPr="009631AD">
        <w:rPr>
          <w:rFonts w:asciiTheme="minorHAnsi" w:hAnsiTheme="minorHAnsi" w:cstheme="minorHAnsi"/>
        </w:rPr>
        <w:t>qui n’utilisent pas d’hormones exogènes à base d’œstradiol</w:t>
      </w:r>
      <w:r w:rsidRPr="009631AD">
        <w:rPr>
          <w:rFonts w:asciiTheme="minorHAnsi" w:hAnsiTheme="minorHAnsi" w:cstheme="minorHAnsi"/>
        </w:rPr>
        <w:t xml:space="preserve">, telles que les hormones d’affirmation de genre. Cela inclura tous les hommes cisgenres, les femmes transgenres et les personnes non binaires </w:t>
      </w:r>
      <w:r w:rsidR="009E268D" w:rsidRPr="009631AD">
        <w:rPr>
          <w:rFonts w:asciiTheme="minorHAnsi" w:hAnsiTheme="minorHAnsi" w:cstheme="minorHAnsi"/>
        </w:rPr>
        <w:t>qui ne prennent pas d’hormones exogènes à base d’œstradiol</w:t>
      </w:r>
      <w:r w:rsidRPr="009631AD">
        <w:rPr>
          <w:rFonts w:asciiTheme="minorHAnsi" w:hAnsiTheme="minorHAnsi" w:cstheme="minorHAnsi"/>
        </w:rPr>
        <w:t>. L’infection chronique par l’hépatite B n’est pas une contre-indication à ED-PrEP ; par conséquent, il n’est pas nécessaire de faire un dépistage de l’hépatite B avant d’initier ED-PrEP</w:t>
      </w:r>
      <w:r w:rsidR="00F83731" w:rsidRPr="009631AD">
        <w:rPr>
          <w:rFonts w:asciiTheme="minorHAnsi" w:hAnsiTheme="minorHAnsi" w:cstheme="minorHAnsi"/>
        </w:rPr>
        <w:t xml:space="preserve"> (mais fortement encouragé, voir ci-dessus).</w:t>
      </w:r>
      <w:r w:rsidRPr="009631AD">
        <w:rPr>
          <w:rFonts w:asciiTheme="minorHAnsi" w:hAnsiTheme="minorHAnsi" w:cstheme="minorHAnsi"/>
        </w:rPr>
        <w:t xml:space="preserve"> </w:t>
      </w:r>
      <w:r w:rsidR="00012E4C" w:rsidRPr="009631AD">
        <w:rPr>
          <w:rFonts w:asciiTheme="minorHAnsi" w:hAnsiTheme="minorHAnsi" w:cstheme="minorHAnsi"/>
        </w:rPr>
        <w:t>Pour commencer Ed</w:t>
      </w:r>
      <w:r w:rsidR="00A17E4C" w:rsidRPr="009631AD">
        <w:rPr>
          <w:rFonts w:asciiTheme="minorHAnsi" w:hAnsiTheme="minorHAnsi" w:cstheme="minorHAnsi"/>
        </w:rPr>
        <w:t>-</w:t>
      </w:r>
      <w:r w:rsidR="00012E4C" w:rsidRPr="009631AD">
        <w:rPr>
          <w:rFonts w:asciiTheme="minorHAnsi" w:hAnsiTheme="minorHAnsi" w:cstheme="minorHAnsi"/>
        </w:rPr>
        <w:t>PrEP, une double dose doit être prise deux à 24 heures avant l’exposition sexuelle potentielle</w:t>
      </w:r>
      <w:r w:rsidR="00A17E4C" w:rsidRPr="009631AD">
        <w:rPr>
          <w:rFonts w:asciiTheme="minorHAnsi" w:hAnsiTheme="minorHAnsi" w:cstheme="minorHAnsi"/>
        </w:rPr>
        <w:t>.</w:t>
      </w:r>
      <w:r w:rsidR="00012E4C" w:rsidRPr="009631AD">
        <w:rPr>
          <w:rFonts w:asciiTheme="minorHAnsi" w:hAnsiTheme="minorHAnsi" w:cstheme="minorHAnsi"/>
        </w:rPr>
        <w:t xml:space="preserve"> </w:t>
      </w:r>
      <w:r w:rsidRPr="009631AD">
        <w:rPr>
          <w:rFonts w:asciiTheme="minorHAnsi" w:hAnsiTheme="minorHAnsi" w:cstheme="minorHAnsi"/>
        </w:rPr>
        <w:t xml:space="preserve">Les clients devraient être encouragés à prendre la dose de charge </w:t>
      </w:r>
      <w:r w:rsidR="004D792C" w:rsidRPr="009631AD">
        <w:rPr>
          <w:rFonts w:asciiTheme="minorHAnsi" w:hAnsiTheme="minorHAnsi" w:cstheme="minorHAnsi"/>
        </w:rPr>
        <w:t>aussi près que possible de 24 heures avant l’exposition</w:t>
      </w:r>
      <w:r w:rsidRPr="009631AD">
        <w:rPr>
          <w:rFonts w:asciiTheme="minorHAnsi" w:hAnsiTheme="minorHAnsi" w:cstheme="minorHAnsi"/>
        </w:rPr>
        <w:t>.</w:t>
      </w:r>
    </w:p>
    <w:p w14:paraId="15CE67C6" w14:textId="77777777" w:rsidR="007A5C59" w:rsidRPr="009631AD" w:rsidRDefault="007A5C59">
      <w:pPr>
        <w:spacing w:after="0" w:line="240" w:lineRule="auto"/>
        <w:rPr>
          <w:rFonts w:asciiTheme="minorHAnsi" w:hAnsiTheme="minorHAnsi" w:cstheme="minorHAnsi"/>
        </w:rPr>
      </w:pPr>
    </w:p>
    <w:p w14:paraId="2A6FD25A" w14:textId="3105B9DF" w:rsidR="007A5C59" w:rsidRPr="009631AD" w:rsidRDefault="00A653A0">
      <w:pPr>
        <w:spacing w:after="0" w:line="240" w:lineRule="auto"/>
        <w:rPr>
          <w:rFonts w:asciiTheme="minorHAnsi" w:hAnsiTheme="minorHAnsi" w:cstheme="minorHAnsi"/>
          <w:b/>
        </w:rPr>
      </w:pPr>
      <w:r w:rsidRPr="009631AD">
        <w:rPr>
          <w:rFonts w:asciiTheme="minorHAnsi" w:hAnsiTheme="minorHAnsi" w:cstheme="minorHAnsi"/>
          <w:b/>
        </w:rPr>
        <w:t>Initiation</w:t>
      </w:r>
      <w:r w:rsidR="00E7184E" w:rsidRPr="009631AD">
        <w:rPr>
          <w:rFonts w:asciiTheme="minorHAnsi" w:hAnsiTheme="minorHAnsi" w:cstheme="minorHAnsi"/>
          <w:b/>
        </w:rPr>
        <w:t xml:space="preserve"> et arrêt de la PrEP orale en toute sécurité</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3105"/>
        <w:gridCol w:w="3486"/>
      </w:tblGrid>
      <w:tr w:rsidR="007A5C59" w:rsidRPr="009631AD" w14:paraId="3425C0F8" w14:textId="77777777">
        <w:tc>
          <w:tcPr>
            <w:tcW w:w="3865" w:type="dxa"/>
          </w:tcPr>
          <w:p w14:paraId="1EE592C0" w14:textId="77777777" w:rsidR="007A5C59" w:rsidRPr="009631AD" w:rsidRDefault="00E7184E">
            <w:pPr>
              <w:rPr>
                <w:rFonts w:asciiTheme="minorHAnsi" w:hAnsiTheme="minorHAnsi" w:cstheme="minorHAnsi"/>
                <w:b/>
              </w:rPr>
            </w:pPr>
            <w:r w:rsidRPr="009631AD">
              <w:rPr>
                <w:rFonts w:asciiTheme="minorHAnsi" w:hAnsiTheme="minorHAnsi" w:cstheme="minorHAnsi"/>
                <w:b/>
              </w:rPr>
              <w:t>Population</w:t>
            </w:r>
          </w:p>
        </w:tc>
        <w:tc>
          <w:tcPr>
            <w:tcW w:w="3105" w:type="dxa"/>
          </w:tcPr>
          <w:p w14:paraId="683B913C" w14:textId="77777777" w:rsidR="007A5C59" w:rsidRPr="009631AD" w:rsidRDefault="00E7184E">
            <w:pPr>
              <w:rPr>
                <w:rFonts w:asciiTheme="minorHAnsi" w:hAnsiTheme="minorHAnsi" w:cstheme="minorHAnsi"/>
                <w:b/>
              </w:rPr>
            </w:pPr>
            <w:r w:rsidRPr="009631AD">
              <w:rPr>
                <w:rFonts w:asciiTheme="minorHAnsi" w:hAnsiTheme="minorHAnsi" w:cstheme="minorHAnsi"/>
                <w:b/>
              </w:rPr>
              <w:t>Initiation de la PrEP orale</w:t>
            </w:r>
          </w:p>
        </w:tc>
        <w:tc>
          <w:tcPr>
            <w:tcW w:w="3486" w:type="dxa"/>
          </w:tcPr>
          <w:p w14:paraId="503FA18F" w14:textId="77777777" w:rsidR="007A5C59" w:rsidRPr="009631AD" w:rsidRDefault="00E7184E">
            <w:pPr>
              <w:rPr>
                <w:rFonts w:asciiTheme="minorHAnsi" w:hAnsiTheme="minorHAnsi" w:cstheme="minorHAnsi"/>
                <w:b/>
              </w:rPr>
            </w:pPr>
            <w:r w:rsidRPr="009631AD">
              <w:rPr>
                <w:rFonts w:asciiTheme="minorHAnsi" w:hAnsiTheme="minorHAnsi" w:cstheme="minorHAnsi"/>
                <w:b/>
              </w:rPr>
              <w:t>Arrêt de la PrEP orale</w:t>
            </w:r>
          </w:p>
        </w:tc>
      </w:tr>
      <w:tr w:rsidR="007A5C59" w:rsidRPr="009631AD" w14:paraId="018C55DF" w14:textId="77777777">
        <w:tc>
          <w:tcPr>
            <w:tcW w:w="3865" w:type="dxa"/>
          </w:tcPr>
          <w:p w14:paraId="2768B1A7" w14:textId="4080FBA0" w:rsidR="007A5C59" w:rsidRPr="009631AD" w:rsidRDefault="00240036">
            <w:pPr>
              <w:rPr>
                <w:rFonts w:asciiTheme="minorHAnsi" w:hAnsiTheme="minorHAnsi" w:cstheme="minorHAnsi"/>
              </w:rPr>
            </w:pPr>
            <w:r w:rsidRPr="009631AD">
              <w:rPr>
                <w:rFonts w:asciiTheme="minorHAnsi" w:hAnsiTheme="minorHAnsi" w:cstheme="minorHAnsi"/>
              </w:rPr>
              <w:t>Les p</w:t>
            </w:r>
            <w:r w:rsidR="00E7184E" w:rsidRPr="009631AD">
              <w:rPr>
                <w:rFonts w:asciiTheme="minorHAnsi" w:hAnsiTheme="minorHAnsi" w:cstheme="minorHAnsi"/>
              </w:rPr>
              <w:t xml:space="preserve">ersonnes assignées mâles à la naissance utilisant la PrEP pour prévenir l’acquisition du VIH pendant les rapports sexuels </w:t>
            </w:r>
            <w:r w:rsidR="00413676" w:rsidRPr="009631AD">
              <w:rPr>
                <w:rFonts w:asciiTheme="minorHAnsi" w:hAnsiTheme="minorHAnsi" w:cstheme="minorHAnsi"/>
              </w:rPr>
              <w:t>qui n’utilisent pas d’hormones exogènes à base d’œstradiol</w:t>
            </w:r>
          </w:p>
        </w:tc>
        <w:tc>
          <w:tcPr>
            <w:tcW w:w="3105" w:type="dxa"/>
          </w:tcPr>
          <w:p w14:paraId="7674190C" w14:textId="4143C40D" w:rsidR="007A5C59" w:rsidRPr="009631AD" w:rsidRDefault="00E7184E">
            <w:pPr>
              <w:rPr>
                <w:rFonts w:asciiTheme="minorHAnsi" w:hAnsiTheme="minorHAnsi" w:cstheme="minorHAnsi"/>
              </w:rPr>
            </w:pPr>
            <w:r w:rsidRPr="009631AD">
              <w:rPr>
                <w:rFonts w:asciiTheme="minorHAnsi" w:hAnsiTheme="minorHAnsi" w:cstheme="minorHAnsi"/>
              </w:rPr>
              <w:t xml:space="preserve">Prendre deux </w:t>
            </w:r>
            <w:r w:rsidR="003572C9" w:rsidRPr="009631AD">
              <w:rPr>
                <w:rFonts w:asciiTheme="minorHAnsi" w:hAnsiTheme="minorHAnsi" w:cstheme="minorHAnsi"/>
              </w:rPr>
              <w:t>doses</w:t>
            </w:r>
            <w:r w:rsidRPr="009631AD">
              <w:rPr>
                <w:rFonts w:asciiTheme="minorHAnsi" w:hAnsiTheme="minorHAnsi" w:cstheme="minorHAnsi"/>
              </w:rPr>
              <w:t xml:space="preserve"> deux à 24 heures avant </w:t>
            </w:r>
            <w:r w:rsidR="00B81754" w:rsidRPr="009631AD">
              <w:rPr>
                <w:rFonts w:asciiTheme="minorHAnsi" w:hAnsiTheme="minorHAnsi" w:cstheme="minorHAnsi"/>
              </w:rPr>
              <w:t>l’exposition sexuelle potentielle</w:t>
            </w:r>
            <w:r w:rsidRPr="009631AD">
              <w:rPr>
                <w:rFonts w:asciiTheme="minorHAnsi" w:hAnsiTheme="minorHAnsi" w:cstheme="minorHAnsi"/>
              </w:rPr>
              <w:t xml:space="preserve">, que l’intention soit d’utiliser quotidiennement la PrEP ou ED-PrEP. </w:t>
            </w:r>
            <w:r w:rsidR="00EF4EC7" w:rsidRPr="009631AD">
              <w:rPr>
                <w:rFonts w:asciiTheme="minorHAnsi" w:hAnsiTheme="minorHAnsi" w:cstheme="minorHAnsi"/>
              </w:rPr>
              <w:t>Idéalement, cette dose de charge doit être prise plus près de 24 heures avant l’exposition potentielle</w:t>
            </w:r>
            <w:r w:rsidRPr="009631AD">
              <w:rPr>
                <w:rFonts w:asciiTheme="minorHAnsi" w:hAnsiTheme="minorHAnsi" w:cstheme="minorHAnsi"/>
              </w:rPr>
              <w:t>.</w:t>
            </w:r>
          </w:p>
        </w:tc>
        <w:tc>
          <w:tcPr>
            <w:tcW w:w="3486" w:type="dxa"/>
          </w:tcPr>
          <w:p w14:paraId="5EF1E934" w14:textId="38098FD2" w:rsidR="007A5C59" w:rsidRPr="009631AD" w:rsidRDefault="00E7184E">
            <w:pPr>
              <w:rPr>
                <w:rFonts w:asciiTheme="minorHAnsi" w:hAnsiTheme="minorHAnsi" w:cstheme="minorHAnsi"/>
                <w:b/>
              </w:rPr>
            </w:pPr>
            <w:r w:rsidRPr="009631AD">
              <w:rPr>
                <w:rFonts w:asciiTheme="minorHAnsi" w:hAnsiTheme="minorHAnsi" w:cstheme="minorHAnsi"/>
              </w:rPr>
              <w:t xml:space="preserve">Prendre une seule </w:t>
            </w:r>
            <w:r w:rsidR="0099260D" w:rsidRPr="009631AD">
              <w:rPr>
                <w:rFonts w:asciiTheme="minorHAnsi" w:hAnsiTheme="minorHAnsi" w:cstheme="minorHAnsi"/>
              </w:rPr>
              <w:t>dose</w:t>
            </w:r>
            <w:r w:rsidRPr="009631AD">
              <w:rPr>
                <w:rFonts w:asciiTheme="minorHAnsi" w:hAnsiTheme="minorHAnsi" w:cstheme="minorHAnsi"/>
              </w:rPr>
              <w:t xml:space="preserve"> par jour pendant deux jours après la dernière exposition potentielle,</w:t>
            </w:r>
            <w:r w:rsidRPr="009631AD">
              <w:rPr>
                <w:rFonts w:asciiTheme="minorHAnsi" w:hAnsiTheme="minorHAnsi" w:cstheme="minorHAnsi"/>
                <w:b/>
              </w:rPr>
              <w:t xml:space="preserve"> </w:t>
            </w:r>
            <w:r w:rsidRPr="009631AD">
              <w:rPr>
                <w:rFonts w:asciiTheme="minorHAnsi" w:hAnsiTheme="minorHAnsi" w:cstheme="minorHAnsi"/>
              </w:rPr>
              <w:t>que la personne utilise quotidiennement ou ED-PrEP.</w:t>
            </w:r>
          </w:p>
        </w:tc>
      </w:tr>
      <w:tr w:rsidR="007A5C59" w:rsidRPr="009631AD" w14:paraId="4D379885" w14:textId="77777777">
        <w:tc>
          <w:tcPr>
            <w:tcW w:w="3865" w:type="dxa"/>
          </w:tcPr>
          <w:p w14:paraId="7FC707A7" w14:textId="1522FC28" w:rsidR="007A5C59" w:rsidRPr="009631AD" w:rsidRDefault="0099260D">
            <w:pPr>
              <w:rPr>
                <w:rFonts w:asciiTheme="minorHAnsi" w:hAnsiTheme="minorHAnsi" w:cstheme="minorHAnsi"/>
              </w:rPr>
            </w:pPr>
            <w:r w:rsidRPr="009631AD">
              <w:rPr>
                <w:rFonts w:asciiTheme="minorHAnsi" w:hAnsiTheme="minorHAnsi" w:cstheme="minorHAnsi"/>
              </w:rPr>
              <w:t>Les p</w:t>
            </w:r>
            <w:r w:rsidR="00E7184E" w:rsidRPr="009631AD">
              <w:rPr>
                <w:rFonts w:asciiTheme="minorHAnsi" w:hAnsiTheme="minorHAnsi" w:cstheme="minorHAnsi"/>
              </w:rPr>
              <w:t>ersonnes utilisant la PrEP orale pour prévenir l’acquisition du VIH à partir d’expositions non sexuelles</w:t>
            </w:r>
          </w:p>
          <w:p w14:paraId="117D81FD" w14:textId="77777777" w:rsidR="007A5C59" w:rsidRPr="009631AD" w:rsidRDefault="007A5C59">
            <w:pPr>
              <w:rPr>
                <w:rFonts w:asciiTheme="minorHAnsi" w:hAnsiTheme="minorHAnsi" w:cstheme="minorHAnsi"/>
              </w:rPr>
            </w:pPr>
          </w:p>
          <w:p w14:paraId="16F090B8" w14:textId="687D8472" w:rsidR="007A5C59" w:rsidRPr="009631AD" w:rsidRDefault="00216168">
            <w:pPr>
              <w:rPr>
                <w:rFonts w:asciiTheme="minorHAnsi" w:hAnsiTheme="minorHAnsi" w:cstheme="minorHAnsi"/>
              </w:rPr>
            </w:pPr>
            <w:r w:rsidRPr="009631AD">
              <w:rPr>
                <w:rFonts w:asciiTheme="minorHAnsi" w:hAnsiTheme="minorHAnsi" w:cstheme="minorHAnsi"/>
              </w:rPr>
              <w:t>Les p</w:t>
            </w:r>
            <w:r w:rsidR="00E7184E" w:rsidRPr="009631AD">
              <w:rPr>
                <w:rFonts w:asciiTheme="minorHAnsi" w:hAnsiTheme="minorHAnsi" w:cstheme="minorHAnsi"/>
              </w:rPr>
              <w:t>ersonnes assignées femelles à la naissance</w:t>
            </w:r>
          </w:p>
          <w:p w14:paraId="25EC9319" w14:textId="77777777" w:rsidR="007A5C59" w:rsidRPr="009631AD" w:rsidRDefault="007A5C59">
            <w:pPr>
              <w:rPr>
                <w:rFonts w:asciiTheme="minorHAnsi" w:hAnsiTheme="minorHAnsi" w:cstheme="minorHAnsi"/>
              </w:rPr>
            </w:pPr>
          </w:p>
          <w:p w14:paraId="7FD3FF05" w14:textId="125BBC68" w:rsidR="007A5C59" w:rsidRPr="009631AD" w:rsidRDefault="00216168">
            <w:pPr>
              <w:rPr>
                <w:rFonts w:asciiTheme="minorHAnsi" w:hAnsiTheme="minorHAnsi" w:cstheme="minorHAnsi"/>
              </w:rPr>
            </w:pPr>
            <w:r w:rsidRPr="009631AD">
              <w:rPr>
                <w:rFonts w:asciiTheme="minorHAnsi" w:hAnsiTheme="minorHAnsi" w:cstheme="minorHAnsi"/>
              </w:rPr>
              <w:t>Les p</w:t>
            </w:r>
            <w:r w:rsidR="00E7184E" w:rsidRPr="009631AD">
              <w:rPr>
                <w:rFonts w:asciiTheme="minorHAnsi" w:hAnsiTheme="minorHAnsi" w:cstheme="minorHAnsi"/>
              </w:rPr>
              <w:t xml:space="preserve">ersonnes assignées mâles à la naissance </w:t>
            </w:r>
            <w:r w:rsidR="00DF0800" w:rsidRPr="009631AD">
              <w:rPr>
                <w:rFonts w:asciiTheme="minorHAnsi" w:hAnsiTheme="minorHAnsi" w:cstheme="minorHAnsi"/>
              </w:rPr>
              <w:t>qui utilisent des hormones exogènes à base d’œstradiol</w:t>
            </w:r>
          </w:p>
        </w:tc>
        <w:tc>
          <w:tcPr>
            <w:tcW w:w="3105" w:type="dxa"/>
          </w:tcPr>
          <w:p w14:paraId="02EB53F6" w14:textId="1B13F8C8" w:rsidR="007A5C59" w:rsidRPr="009631AD" w:rsidRDefault="00E7184E">
            <w:pPr>
              <w:rPr>
                <w:rFonts w:asciiTheme="minorHAnsi" w:hAnsiTheme="minorHAnsi" w:cstheme="minorHAnsi"/>
              </w:rPr>
            </w:pPr>
            <w:r w:rsidRPr="009631AD">
              <w:rPr>
                <w:rFonts w:asciiTheme="minorHAnsi" w:hAnsiTheme="minorHAnsi" w:cstheme="minorHAnsi"/>
              </w:rPr>
              <w:t xml:space="preserve">Prendre une seule </w:t>
            </w:r>
            <w:r w:rsidR="0099260D" w:rsidRPr="009631AD">
              <w:rPr>
                <w:rFonts w:asciiTheme="minorHAnsi" w:hAnsiTheme="minorHAnsi" w:cstheme="minorHAnsi"/>
              </w:rPr>
              <w:t>dos</w:t>
            </w:r>
            <w:r w:rsidRPr="009631AD">
              <w:rPr>
                <w:rFonts w:asciiTheme="minorHAnsi" w:hAnsiTheme="minorHAnsi" w:cstheme="minorHAnsi"/>
              </w:rPr>
              <w:t>e par jour pendant sept jours avant une exposition potentielle.</w:t>
            </w:r>
          </w:p>
        </w:tc>
        <w:tc>
          <w:tcPr>
            <w:tcW w:w="3486" w:type="dxa"/>
          </w:tcPr>
          <w:p w14:paraId="1900C2A3" w14:textId="2CF165F1" w:rsidR="007A5C59" w:rsidRPr="009631AD" w:rsidRDefault="00E7184E">
            <w:pPr>
              <w:rPr>
                <w:rFonts w:asciiTheme="minorHAnsi" w:hAnsiTheme="minorHAnsi" w:cstheme="minorHAnsi"/>
              </w:rPr>
            </w:pPr>
            <w:r w:rsidRPr="009631AD">
              <w:rPr>
                <w:rFonts w:asciiTheme="minorHAnsi" w:hAnsiTheme="minorHAnsi" w:cstheme="minorHAnsi"/>
              </w:rPr>
              <w:t xml:space="preserve">Prendre une seule </w:t>
            </w:r>
            <w:r w:rsidR="0099260D" w:rsidRPr="009631AD">
              <w:rPr>
                <w:rFonts w:asciiTheme="minorHAnsi" w:hAnsiTheme="minorHAnsi" w:cstheme="minorHAnsi"/>
              </w:rPr>
              <w:t>dos</w:t>
            </w:r>
            <w:r w:rsidRPr="009631AD">
              <w:rPr>
                <w:rFonts w:asciiTheme="minorHAnsi" w:hAnsiTheme="minorHAnsi" w:cstheme="minorHAnsi"/>
              </w:rPr>
              <w:t>e par jour pendant sept jours après la dernière exposition potentielle.</w:t>
            </w:r>
          </w:p>
        </w:tc>
      </w:tr>
    </w:tbl>
    <w:p w14:paraId="68E304B9" w14:textId="77777777" w:rsidR="007A5C59" w:rsidRDefault="007A5C59">
      <w:pPr>
        <w:spacing w:after="0" w:line="240" w:lineRule="auto"/>
        <w:rPr>
          <w:b/>
          <w:sz w:val="24"/>
          <w:szCs w:val="24"/>
        </w:rPr>
      </w:pPr>
    </w:p>
    <w:sectPr w:rsidR="007A5C59">
      <w:footerReference w:type="default" r:id="rId9"/>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4B33" w14:textId="77777777" w:rsidR="00296019" w:rsidRDefault="00E7184E">
      <w:pPr>
        <w:spacing w:after="0" w:line="240" w:lineRule="auto"/>
      </w:pPr>
      <w:r>
        <w:separator/>
      </w:r>
    </w:p>
  </w:endnote>
  <w:endnote w:type="continuationSeparator" w:id="0">
    <w:p w14:paraId="63A40D33" w14:textId="77777777" w:rsidR="00296019" w:rsidRDefault="00E7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Pro-Condensed">
    <w:altName w:val="Yu Gothic"/>
    <w:panose1 w:val="00000000000000000000"/>
    <w:charset w:val="00"/>
    <w:family w:val="roman"/>
    <w:notTrueType/>
    <w:pitch w:val="default"/>
  </w:font>
  <w:font w:name="FrutigerLTCom-CondensedIt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241E" w14:textId="6150F5D4" w:rsidR="007A5C59" w:rsidRDefault="00E7184E">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t xml:space="preserve">Page </w:t>
    </w:r>
    <w:r>
      <w:rPr>
        <w:rFonts w:cs="Calibri"/>
        <w:color w:val="000000"/>
      </w:rPr>
      <w:fldChar w:fldCharType="begin"/>
    </w:r>
    <w:r>
      <w:rPr>
        <w:rFonts w:cs="Calibri"/>
        <w:color w:val="000000"/>
      </w:rPr>
      <w:instrText>PAGE</w:instrText>
    </w:r>
    <w:r>
      <w:rPr>
        <w:rFonts w:cs="Calibri"/>
        <w:color w:val="000000"/>
      </w:rPr>
      <w:fldChar w:fldCharType="separate"/>
    </w:r>
    <w:r w:rsidR="00A75B33">
      <w:rPr>
        <w:rFonts w:cs="Calibri"/>
        <w:noProof/>
        <w:color w:val="000000"/>
      </w:rPr>
      <w:t>1</w:t>
    </w:r>
    <w:r>
      <w:rPr>
        <w:rFonts w:cs="Calibri"/>
        <w:color w:val="000000"/>
      </w:rPr>
      <w:fldChar w:fldCharType="end"/>
    </w:r>
    <w:r>
      <w:rPr>
        <w:rFonts w:cs="Calibri"/>
        <w:color w:val="000000"/>
      </w:rPr>
      <w:t xml:space="preserve"> sur </w:t>
    </w:r>
    <w:r w:rsidR="00A653A0">
      <w:rPr>
        <w:rFonts w:cs="Calibri"/>
        <w:color w:val="000000"/>
      </w:rPr>
      <w:t>2</w:t>
    </w:r>
  </w:p>
  <w:p w14:paraId="5CF548C5" w14:textId="77777777" w:rsidR="007A5C59" w:rsidRDefault="007A5C59">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2850" w14:textId="77777777" w:rsidR="00296019" w:rsidRDefault="00E7184E">
      <w:pPr>
        <w:spacing w:after="0" w:line="240" w:lineRule="auto"/>
      </w:pPr>
      <w:r>
        <w:separator/>
      </w:r>
    </w:p>
  </w:footnote>
  <w:footnote w:type="continuationSeparator" w:id="0">
    <w:p w14:paraId="04E298C1" w14:textId="77777777" w:rsidR="00296019" w:rsidRDefault="00E71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59"/>
    <w:rsid w:val="00012E4C"/>
    <w:rsid w:val="000515FF"/>
    <w:rsid w:val="000B6D03"/>
    <w:rsid w:val="000E6444"/>
    <w:rsid w:val="000F0A50"/>
    <w:rsid w:val="00115B57"/>
    <w:rsid w:val="00116096"/>
    <w:rsid w:val="001578D6"/>
    <w:rsid w:val="001C290E"/>
    <w:rsid w:val="00213F9E"/>
    <w:rsid w:val="00216168"/>
    <w:rsid w:val="00240036"/>
    <w:rsid w:val="00296019"/>
    <w:rsid w:val="003011E2"/>
    <w:rsid w:val="003113EB"/>
    <w:rsid w:val="003572C9"/>
    <w:rsid w:val="00373A0C"/>
    <w:rsid w:val="00413676"/>
    <w:rsid w:val="00424942"/>
    <w:rsid w:val="004D792C"/>
    <w:rsid w:val="00594FC8"/>
    <w:rsid w:val="00597F8A"/>
    <w:rsid w:val="005A4384"/>
    <w:rsid w:val="00601461"/>
    <w:rsid w:val="006244A7"/>
    <w:rsid w:val="0062616D"/>
    <w:rsid w:val="006A381E"/>
    <w:rsid w:val="007054AC"/>
    <w:rsid w:val="00727F89"/>
    <w:rsid w:val="00781B2B"/>
    <w:rsid w:val="007A5C59"/>
    <w:rsid w:val="00863916"/>
    <w:rsid w:val="0089208A"/>
    <w:rsid w:val="008E41AC"/>
    <w:rsid w:val="009073BA"/>
    <w:rsid w:val="009267D4"/>
    <w:rsid w:val="00957F1F"/>
    <w:rsid w:val="009631AD"/>
    <w:rsid w:val="00972660"/>
    <w:rsid w:val="0099260D"/>
    <w:rsid w:val="009A32B5"/>
    <w:rsid w:val="009B7113"/>
    <w:rsid w:val="009E268D"/>
    <w:rsid w:val="009F5F50"/>
    <w:rsid w:val="00A17E4C"/>
    <w:rsid w:val="00A31A93"/>
    <w:rsid w:val="00A653A0"/>
    <w:rsid w:val="00A75B33"/>
    <w:rsid w:val="00AD7674"/>
    <w:rsid w:val="00AE21FE"/>
    <w:rsid w:val="00B81754"/>
    <w:rsid w:val="00C24DDE"/>
    <w:rsid w:val="00C26DB7"/>
    <w:rsid w:val="00C8693B"/>
    <w:rsid w:val="00D15A48"/>
    <w:rsid w:val="00D25BB2"/>
    <w:rsid w:val="00D54A37"/>
    <w:rsid w:val="00DA7289"/>
    <w:rsid w:val="00DA790C"/>
    <w:rsid w:val="00DF0800"/>
    <w:rsid w:val="00E038D4"/>
    <w:rsid w:val="00E528A3"/>
    <w:rsid w:val="00E7184E"/>
    <w:rsid w:val="00EC2715"/>
    <w:rsid w:val="00ED4A5D"/>
    <w:rsid w:val="00EF4EC7"/>
    <w:rsid w:val="00F80064"/>
    <w:rsid w:val="00F8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4EE2"/>
  <w15:docId w15:val="{4DA1309E-44CF-4BC2-9275-BA35DECE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B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6BB1"/>
    <w:rPr>
      <w:color w:val="0563C1" w:themeColor="hyperlink"/>
      <w:u w:val="single"/>
    </w:r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666BB1"/>
    <w:pPr>
      <w:ind w:left="720"/>
      <w:contextualSpacing/>
    </w:pPr>
    <w:rPr>
      <w:rFonts w:cs="Calibri"/>
    </w:r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qFormat/>
    <w:locked/>
    <w:rsid w:val="00666BB1"/>
    <w:rPr>
      <w:rFonts w:ascii="Calibri" w:eastAsia="Calibri" w:hAnsi="Calibri" w:cs="Calibri"/>
    </w:rPr>
  </w:style>
  <w:style w:type="character" w:customStyle="1" w:styleId="fontstyle01">
    <w:name w:val="fontstyle01"/>
    <w:basedOn w:val="DefaultParagraphFont"/>
    <w:rsid w:val="00D63C5E"/>
    <w:rPr>
      <w:rFonts w:ascii="FrutigerLTPro-Condensed" w:hAnsi="FrutigerLTPro-Condensed" w:hint="default"/>
      <w:b w:val="0"/>
      <w:bCs w:val="0"/>
      <w:i w:val="0"/>
      <w:iCs w:val="0"/>
      <w:color w:val="58595B"/>
      <w:sz w:val="20"/>
      <w:szCs w:val="20"/>
    </w:rPr>
  </w:style>
  <w:style w:type="character" w:customStyle="1" w:styleId="fontstyle21">
    <w:name w:val="fontstyle21"/>
    <w:basedOn w:val="DefaultParagraphFont"/>
    <w:rsid w:val="00D63C5E"/>
    <w:rPr>
      <w:rFonts w:ascii="FrutigerLTCom-CondensedIta" w:hAnsi="FrutigerLTCom-CondensedIta" w:hint="default"/>
      <w:b w:val="0"/>
      <w:bCs w:val="0"/>
      <w:i/>
      <w:iCs/>
      <w:color w:val="58595B"/>
      <w:sz w:val="20"/>
      <w:szCs w:val="20"/>
    </w:rPr>
  </w:style>
  <w:style w:type="table" w:styleId="TableGrid">
    <w:name w:val="Table Grid"/>
    <w:basedOn w:val="TableNormal"/>
    <w:uiPriority w:val="39"/>
    <w:rsid w:val="00D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1421"/>
    <w:rPr>
      <w:color w:val="605E5C"/>
      <w:shd w:val="clear" w:color="auto" w:fill="E1DFDD"/>
    </w:rPr>
  </w:style>
  <w:style w:type="paragraph" w:styleId="BalloonText">
    <w:name w:val="Balloon Text"/>
    <w:basedOn w:val="Normal"/>
    <w:link w:val="BalloonTextChar"/>
    <w:uiPriority w:val="99"/>
    <w:semiHidden/>
    <w:unhideWhenUsed/>
    <w:rsid w:val="004B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4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B074E"/>
    <w:rPr>
      <w:sz w:val="16"/>
      <w:szCs w:val="16"/>
    </w:rPr>
  </w:style>
  <w:style w:type="paragraph" w:styleId="CommentText">
    <w:name w:val="annotation text"/>
    <w:basedOn w:val="Normal"/>
    <w:link w:val="CommentTextChar"/>
    <w:uiPriority w:val="99"/>
    <w:unhideWhenUsed/>
    <w:rsid w:val="004B074E"/>
    <w:pPr>
      <w:spacing w:line="240" w:lineRule="auto"/>
    </w:pPr>
    <w:rPr>
      <w:sz w:val="20"/>
      <w:szCs w:val="20"/>
    </w:rPr>
  </w:style>
  <w:style w:type="character" w:customStyle="1" w:styleId="CommentTextChar">
    <w:name w:val="Comment Text Char"/>
    <w:basedOn w:val="DefaultParagraphFont"/>
    <w:link w:val="CommentText"/>
    <w:uiPriority w:val="99"/>
    <w:rsid w:val="004B07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74E"/>
    <w:rPr>
      <w:b/>
      <w:bCs/>
    </w:rPr>
  </w:style>
  <w:style w:type="character" w:customStyle="1" w:styleId="CommentSubjectChar">
    <w:name w:val="Comment Subject Char"/>
    <w:basedOn w:val="CommentTextChar"/>
    <w:link w:val="CommentSubject"/>
    <w:uiPriority w:val="99"/>
    <w:semiHidden/>
    <w:rsid w:val="004B074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1100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E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EC4"/>
    <w:rPr>
      <w:rFonts w:cs="Times New Roman"/>
    </w:rPr>
  </w:style>
  <w:style w:type="paragraph" w:styleId="Footer">
    <w:name w:val="footer"/>
    <w:basedOn w:val="Normal"/>
    <w:link w:val="FooterChar"/>
    <w:uiPriority w:val="99"/>
    <w:unhideWhenUsed/>
    <w:rsid w:val="005E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C4"/>
    <w:rPr>
      <w:rFonts w:cs="Times New Roman"/>
    </w:rPr>
  </w:style>
  <w:style w:type="character" w:styleId="UnresolvedMention">
    <w:name w:val="Unresolved Mention"/>
    <w:basedOn w:val="DefaultParagraphFont"/>
    <w:uiPriority w:val="99"/>
    <w:semiHidden/>
    <w:unhideWhenUsed/>
    <w:rsid w:val="003F2F5F"/>
    <w:rPr>
      <w:color w:val="605E5C"/>
      <w:shd w:val="clear" w:color="auto" w:fill="E1DFDD"/>
    </w:rPr>
  </w:style>
  <w:style w:type="paragraph" w:styleId="Revision">
    <w:name w:val="Revision"/>
    <w:hidden/>
    <w:uiPriority w:val="99"/>
    <w:semiHidden/>
    <w:rsid w:val="00FA58EB"/>
    <w:pPr>
      <w:spacing w:after="0" w:line="240" w:lineRule="auto"/>
    </w:pPr>
    <w:rPr>
      <w:rFonts w:cs="Times New Roman"/>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aids-my.sharepoint.com/personal/zembel_unaids_org/_layouts/15/onedrive.aspx?id=%2Fpersonal%2Fzembel%5Funaids%5Forg%2FDocuments%2FDocuments%2FGPC%20Monitoring%2F2021%2FPrEP%2FPrEP%20webinar%2FPrEP%20Webinar%2027%20October%202021%2FGPCwebinar%5FWHOupdatesPrEP%2Epdf&amp;parent=%2Fpersonal%2Fzembel%5Funaids%5Forg%2FDocuments%2FDocuments%2FGPC%20Monitoring%2F2021%2FPrEP%2FPrEP%20webinar%2FPrEP%20Webinar%2027%20October%202021" TargetMode="External"/><Relationship Id="rId3" Type="http://schemas.openxmlformats.org/officeDocument/2006/relationships/settings" Target="settings.xml"/><Relationship Id="rId7" Type="http://schemas.openxmlformats.org/officeDocument/2006/relationships/hyperlink" Target="https://www.who.int/publications/i/item/97892400315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HdBNrfsa2Tpv9DFTHr+oslVGw==">AMUW2mW/5WCizy71cWyDtToosEJyCpc5clkuHKu6MJ8Wejqgf9BzD479ux8baIRaZyM0CMvQv4VIuSghregGw29NcOaPZfv9VHq/whgJBIy0CJC+Jey8XJc=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Obermeyer</dc:creator>
  <cp:lastModifiedBy>Chris Obermeyer</cp:lastModifiedBy>
  <cp:revision>2</cp:revision>
  <dcterms:created xsi:type="dcterms:W3CDTF">2022-01-19T22:13:00Z</dcterms:created>
  <dcterms:modified xsi:type="dcterms:W3CDTF">2022-01-19T22:13:00Z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0x0101009C7D8C6C4E1112438DD08413DBFD7380</vt:lpwstr>
  </property>
</Properties>
</file>