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1E19" w14:textId="7F36DB02" w:rsidR="00B736FE" w:rsidRPr="00D20C32" w:rsidRDefault="005A7623" w:rsidP="008E4FDF">
      <w:pPr>
        <w:pStyle w:val="Heading1"/>
        <w:ind w:left="720"/>
        <w:rPr>
          <w:rFonts w:cs="Arial"/>
          <w:noProof w:val="0"/>
          <w:color w:val="E75F0B"/>
          <w:sz w:val="32"/>
          <w:szCs w:val="32"/>
          <w:lang w:val="en-GB"/>
        </w:rPr>
      </w:pPr>
      <w:r w:rsidRPr="00B73E09">
        <w:rPr>
          <w:lang w:eastAsia="en-US"/>
        </w:rPr>
        <mc:AlternateContent>
          <mc:Choice Requires="wps">
            <w:drawing>
              <wp:anchor distT="45720" distB="45720" distL="114300" distR="114300" simplePos="0" relativeHeight="251658241" behindDoc="0" locked="0" layoutInCell="1" allowOverlap="1" wp14:anchorId="3995D63B" wp14:editId="08AD2F3B">
                <wp:simplePos x="0" y="0"/>
                <wp:positionH relativeFrom="margin">
                  <wp:posOffset>457200</wp:posOffset>
                </wp:positionH>
                <wp:positionV relativeFrom="paragraph">
                  <wp:posOffset>1333500</wp:posOffset>
                </wp:positionV>
                <wp:extent cx="5584825" cy="3543300"/>
                <wp:effectExtent l="0" t="0" r="158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3543300"/>
                        </a:xfrm>
                        <a:prstGeom prst="rect">
                          <a:avLst/>
                        </a:prstGeom>
                        <a:solidFill>
                          <a:srgbClr val="DEEBF6"/>
                        </a:solidFill>
                        <a:ln>
                          <a:solidFill>
                            <a:schemeClr val="tx1"/>
                          </a:solidFill>
                        </a:ln>
                      </wps:spPr>
                      <wps:txbx>
                        <w:txbxContent>
                          <w:p w14:paraId="5F45B7FE" w14:textId="32CA5274" w:rsidR="002C1EAA" w:rsidRPr="002C1EAA" w:rsidRDefault="002C1EAA" w:rsidP="005A7623">
                            <w:pPr>
                              <w:pStyle w:val="RiseBulletLevel1bl1"/>
                              <w:numPr>
                                <w:ilvl w:val="0"/>
                                <w:numId w:val="0"/>
                              </w:numPr>
                              <w:rPr>
                                <w:b/>
                                <w:bCs/>
                                <w:color w:val="auto"/>
                              </w:rPr>
                            </w:pPr>
                            <w:r w:rsidRPr="002C1EAA">
                              <w:rPr>
                                <w:b/>
                                <w:bCs/>
                                <w:color w:val="auto"/>
                              </w:rPr>
                              <w:t>About this Document</w:t>
                            </w:r>
                          </w:p>
                          <w:p w14:paraId="3A1E9617" w14:textId="2077001C" w:rsidR="005A7623" w:rsidRPr="00FE6874" w:rsidRDefault="005A7623" w:rsidP="005A7623">
                            <w:pPr>
                              <w:pStyle w:val="RiseBulletLevel1bl1"/>
                              <w:numPr>
                                <w:ilvl w:val="0"/>
                                <w:numId w:val="0"/>
                              </w:numPr>
                            </w:pPr>
                            <w:r w:rsidRPr="00ED5490">
                              <w:rPr>
                                <w:color w:val="auto"/>
                              </w:rPr>
                              <w:t>The intent of this</w:t>
                            </w:r>
                            <w:r>
                              <w:rPr>
                                <w:color w:val="auto"/>
                              </w:rPr>
                              <w:t xml:space="preserve"> document</w:t>
                            </w:r>
                            <w:r w:rsidRPr="00ED5490">
                              <w:rPr>
                                <w:color w:val="auto"/>
                              </w:rPr>
                              <w:t xml:space="preserve"> is to provide adaptable guidelines for </w:t>
                            </w:r>
                            <w:r w:rsidR="00BA277F">
                              <w:rPr>
                                <w:color w:val="auto"/>
                              </w:rPr>
                              <w:t xml:space="preserve">the design of </w:t>
                            </w:r>
                            <w:proofErr w:type="spellStart"/>
                            <w:r>
                              <w:rPr>
                                <w:color w:val="auto"/>
                              </w:rPr>
                              <w:t>dapivirine</w:t>
                            </w:r>
                            <w:proofErr w:type="spellEnd"/>
                            <w:r w:rsidR="007278DB">
                              <w:rPr>
                                <w:color w:val="auto"/>
                              </w:rPr>
                              <w:t xml:space="preserve"> vaginal</w:t>
                            </w:r>
                            <w:r>
                              <w:rPr>
                                <w:color w:val="auto"/>
                              </w:rPr>
                              <w:t xml:space="preserve"> ring</w:t>
                            </w:r>
                            <w:r w:rsidR="007278DB">
                              <w:rPr>
                                <w:color w:val="auto"/>
                              </w:rPr>
                              <w:t>, also known as the PrEP ring,</w:t>
                            </w:r>
                            <w:r>
                              <w:rPr>
                                <w:color w:val="auto"/>
                              </w:rPr>
                              <w:t xml:space="preserve"> pilot implementation or post-introduction operations stud</w:t>
                            </w:r>
                            <w:r w:rsidR="00BA277F">
                              <w:rPr>
                                <w:color w:val="auto"/>
                              </w:rPr>
                              <w:t>ies</w:t>
                            </w:r>
                            <w:r>
                              <w:rPr>
                                <w:color w:val="auto"/>
                              </w:rPr>
                              <w:t xml:space="preserve"> to help shape national ring</w:t>
                            </w:r>
                            <w:r w:rsidRPr="00ED5490">
                              <w:rPr>
                                <w:color w:val="auto"/>
                              </w:rPr>
                              <w:t xml:space="preserve"> guidelines. </w:t>
                            </w:r>
                            <w:r>
                              <w:rPr>
                                <w:color w:val="auto"/>
                              </w:rPr>
                              <w:t>T</w:t>
                            </w:r>
                            <w:r w:rsidRPr="00ED5490">
                              <w:rPr>
                                <w:color w:val="auto"/>
                              </w:rPr>
                              <w:t>he content</w:t>
                            </w:r>
                            <w:r w:rsidR="00D20C32">
                              <w:rPr>
                                <w:color w:val="auto"/>
                              </w:rPr>
                              <w:t>s</w:t>
                            </w:r>
                            <w:r w:rsidRPr="00ED5490">
                              <w:rPr>
                                <w:color w:val="auto"/>
                              </w:rPr>
                              <w:t xml:space="preserve"> here align </w:t>
                            </w:r>
                            <w:r>
                              <w:rPr>
                                <w:color w:val="auto"/>
                              </w:rPr>
                              <w:t>a set of</w:t>
                            </w:r>
                            <w:r w:rsidR="00D20C32">
                              <w:rPr>
                                <w:color w:val="auto"/>
                              </w:rPr>
                              <w:t xml:space="preserve"> study </w:t>
                            </w:r>
                            <w:r>
                              <w:rPr>
                                <w:color w:val="auto"/>
                              </w:rPr>
                              <w:t xml:space="preserve">objectives </w:t>
                            </w:r>
                            <w:r w:rsidR="00D20C32">
                              <w:rPr>
                                <w:color w:val="auto"/>
                              </w:rPr>
                              <w:t>and measures to consider for</w:t>
                            </w:r>
                            <w:r>
                              <w:rPr>
                                <w:color w:val="auto"/>
                              </w:rPr>
                              <w:t xml:space="preserve"> use across multiple contexts to foster building an evidence base </w:t>
                            </w:r>
                            <w:r w:rsidR="00FB2355">
                              <w:rPr>
                                <w:color w:val="auto"/>
                              </w:rPr>
                              <w:t>on</w:t>
                            </w:r>
                            <w:r>
                              <w:rPr>
                                <w:color w:val="auto"/>
                              </w:rPr>
                              <w:t xml:space="preserve"> best implementation practices </w:t>
                            </w:r>
                            <w:r w:rsidR="00EA343C">
                              <w:rPr>
                                <w:color w:val="auto"/>
                              </w:rPr>
                              <w:t>for</w:t>
                            </w:r>
                            <w:r>
                              <w:rPr>
                                <w:color w:val="auto"/>
                              </w:rPr>
                              <w:t xml:space="preserve"> ring use</w:t>
                            </w:r>
                            <w:r w:rsidRPr="00ED5490">
                              <w:rPr>
                                <w:color w:val="auto"/>
                              </w:rPr>
                              <w:t xml:space="preserve">. The document includes prompts for national-level consideration during the </w:t>
                            </w:r>
                            <w:r>
                              <w:rPr>
                                <w:color w:val="auto"/>
                              </w:rPr>
                              <w:t>study protocol development</w:t>
                            </w:r>
                            <w:r w:rsidRPr="00ED5490">
                              <w:rPr>
                                <w:color w:val="auto"/>
                              </w:rPr>
                              <w:t xml:space="preserve"> process. Areas specifically requiring national </w:t>
                            </w:r>
                            <w:r>
                              <w:rPr>
                                <w:color w:val="auto"/>
                              </w:rPr>
                              <w:t>input</w:t>
                            </w:r>
                            <w:r w:rsidRPr="00ED5490">
                              <w:rPr>
                                <w:color w:val="auto"/>
                              </w:rPr>
                              <w:t xml:space="preserve"> are </w:t>
                            </w:r>
                            <w:r w:rsidR="00DC387A" w:rsidRPr="00DA2B08">
                              <w:rPr>
                                <w:color w:val="auto"/>
                                <w:highlight w:val="yellow"/>
                              </w:rPr>
                              <w:t>highlighted in y</w:t>
                            </w:r>
                            <w:r w:rsidRPr="00DA2B08">
                              <w:rPr>
                                <w:color w:val="auto"/>
                                <w:highlight w:val="yellow"/>
                              </w:rPr>
                              <w:t>ellow</w:t>
                            </w:r>
                            <w:r w:rsidRPr="00FE6874">
                              <w:t xml:space="preserve">. </w:t>
                            </w:r>
                          </w:p>
                          <w:p w14:paraId="63A84B0B" w14:textId="27FD608B" w:rsidR="002C1EAA" w:rsidRDefault="005A7623" w:rsidP="005A7623">
                            <w:pPr>
                              <w:pStyle w:val="RiseBulletLevel1bl1"/>
                              <w:numPr>
                                <w:ilvl w:val="0"/>
                                <w:numId w:val="0"/>
                              </w:numPr>
                              <w:spacing w:before="240"/>
                            </w:pPr>
                            <w:r w:rsidRPr="00ED5490">
                              <w:rPr>
                                <w:color w:val="auto"/>
                              </w:rPr>
                              <w:t xml:space="preserve">This document was developed by the </w:t>
                            </w:r>
                            <w:r>
                              <w:rPr>
                                <w:color w:val="auto"/>
                              </w:rPr>
                              <w:t xml:space="preserve">PROMISE </w:t>
                            </w:r>
                            <w:r w:rsidRPr="00ED5490">
                              <w:rPr>
                                <w:color w:val="auto"/>
                              </w:rPr>
                              <w:t>Collaboration in close collaboration with the U.S. Agency for International Development (USAID).</w:t>
                            </w:r>
                            <w:r>
                              <w:rPr>
                                <w:color w:val="auto"/>
                              </w:rPr>
                              <w:t xml:space="preserve"> </w:t>
                            </w:r>
                            <w:r w:rsidR="002C1EAA" w:rsidRPr="002C1EAA">
                              <w:rPr>
                                <w:color w:val="auto"/>
                              </w:rPr>
                              <w:t xml:space="preserve">PROMISE is made possible by the generous support of the American people through the U.S. Agency for International Development (USAID) and the U.S. President’s Emergency Plan for AIDS Relief (PEPFAR) through the terms of </w:t>
                            </w:r>
                            <w:r w:rsidR="005A2B2F">
                              <w:rPr>
                                <w:color w:val="auto"/>
                              </w:rPr>
                              <w:t xml:space="preserve">the Envision FP </w:t>
                            </w:r>
                            <w:r w:rsidR="002C1EAA" w:rsidRPr="002C1EAA">
                              <w:rPr>
                                <w:color w:val="auto"/>
                              </w:rPr>
                              <w:t>cooperative agreement AID-OAA-A-15-00045. The contents are the responsibility of Envision FP and do not necessarily reflect the views of USAID, PEPFAR, or the U.S. Government.</w:t>
                            </w:r>
                          </w:p>
                          <w:p w14:paraId="4270CCF8" w14:textId="0835D02F" w:rsidR="005A7623" w:rsidRPr="002C1EAA" w:rsidRDefault="005A7623" w:rsidP="005A7623">
                            <w:pPr>
                              <w:pStyle w:val="RiseBulletLevel1bl1"/>
                              <w:numPr>
                                <w:ilvl w:val="0"/>
                                <w:numId w:val="0"/>
                              </w:numPr>
                              <w:spacing w:before="240"/>
                              <w:rPr>
                                <w:b/>
                                <w:bCs/>
                                <w:i/>
                                <w:iCs/>
                                <w:color w:val="auto"/>
                              </w:rPr>
                            </w:pPr>
                            <w:r w:rsidRPr="002C1EAA">
                              <w:rPr>
                                <w:b/>
                                <w:bCs/>
                                <w:i/>
                                <w:iCs/>
                                <w:color w:val="auto"/>
                              </w:rPr>
                              <w:t>Countries should use this module as appropriate for their needs and setting</w:t>
                            </w:r>
                            <w:r w:rsidR="009B0403">
                              <w:rPr>
                                <w:b/>
                                <w:bCs/>
                                <w:i/>
                                <w:iCs/>
                                <w:color w:val="auto"/>
                              </w:rPr>
                              <w:t>s</w:t>
                            </w:r>
                            <w:r w:rsidRPr="002C1EAA">
                              <w:rPr>
                                <w:b/>
                                <w:bCs/>
                                <w:i/>
                                <w:iCs/>
                                <w:color w:val="auto"/>
                              </w:rPr>
                              <w:t>; use of PROMISE branding or acknowledg</w:t>
                            </w:r>
                            <w:r w:rsidR="00BA40A5">
                              <w:rPr>
                                <w:b/>
                                <w:bCs/>
                                <w:i/>
                                <w:iCs/>
                                <w:color w:val="auto"/>
                              </w:rPr>
                              <w:t>e</w:t>
                            </w:r>
                            <w:r w:rsidRPr="002C1EAA">
                              <w:rPr>
                                <w:b/>
                                <w:bCs/>
                                <w:i/>
                                <w:iCs/>
                                <w:color w:val="auto"/>
                              </w:rPr>
                              <w:t xml:space="preserve">ment is optional. </w:t>
                            </w:r>
                          </w:p>
                          <w:p w14:paraId="7C740D0C" w14:textId="77777777" w:rsidR="005A7623" w:rsidRDefault="005A7623" w:rsidP="005A7623">
                            <w:pPr>
                              <w:pStyle w:val="RiseBulletLevel1bl1"/>
                              <w:numPr>
                                <w:ilvl w:val="0"/>
                                <w:numId w:val="0"/>
                              </w:num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5D63B" id="_x0000_t202" coordsize="21600,21600" o:spt="202" path="m,l,21600r21600,l21600,xe">
                <v:stroke joinstyle="miter"/>
                <v:path gradientshapeok="t" o:connecttype="rect"/>
              </v:shapetype>
              <v:shape id="Text Box 2" o:spid="_x0000_s1026" type="#_x0000_t202" style="position:absolute;left:0;text-align:left;margin-left:36pt;margin-top:105pt;width:439.75pt;height:27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" fillcolor="#deebf6" strokecolor="#01526c [3213]">
                <v:textbox>
                  <w:txbxContent>
                    <w:p w14:paraId="5F45B7FE" w14:textId="32CA5274" w:rsidR="002C1EAA" w:rsidRPr="002C1EAA" w:rsidRDefault="002C1EAA" w:rsidP="005A7623">
                      <w:pPr>
                        <w:pStyle w:val="RiseBulletLevel1bl1"/>
                        <w:numPr>
                          <w:ilvl w:val="0"/>
                          <w:numId w:val="0"/>
                        </w:numPr>
                        <w:rPr>
                          <w:b/>
                          <w:bCs/>
                          <w:color w:val="auto"/>
                        </w:rPr>
                      </w:pPr>
                      <w:r w:rsidRPr="002C1EAA">
                        <w:rPr>
                          <w:b/>
                          <w:bCs/>
                          <w:color w:val="auto"/>
                        </w:rPr>
                        <w:t>About this Document</w:t>
                      </w:r>
                    </w:p>
                    <w:p w14:paraId="3A1E9617" w14:textId="2077001C" w:rsidR="005A7623" w:rsidRPr="00FE6874" w:rsidRDefault="005A7623" w:rsidP="005A7623">
                      <w:pPr>
                        <w:pStyle w:val="RiseBulletLevel1bl1"/>
                        <w:numPr>
                          <w:ilvl w:val="0"/>
                          <w:numId w:val="0"/>
                        </w:numPr>
                      </w:pPr>
                      <w:r w:rsidRPr="00ED5490">
                        <w:rPr>
                          <w:color w:val="auto"/>
                        </w:rPr>
                        <w:t>The intent of this</w:t>
                      </w:r>
                      <w:r>
                        <w:rPr>
                          <w:color w:val="auto"/>
                        </w:rPr>
                        <w:t xml:space="preserve"> document</w:t>
                      </w:r>
                      <w:r w:rsidRPr="00ED5490">
                        <w:rPr>
                          <w:color w:val="auto"/>
                        </w:rPr>
                        <w:t xml:space="preserve"> is to provide adaptable guidelines for </w:t>
                      </w:r>
                      <w:r w:rsidR="00BA277F">
                        <w:rPr>
                          <w:color w:val="auto"/>
                        </w:rPr>
                        <w:t xml:space="preserve">the design of </w:t>
                      </w:r>
                      <w:r>
                        <w:rPr>
                          <w:color w:val="auto"/>
                        </w:rPr>
                        <w:t>dapivirine</w:t>
                      </w:r>
                      <w:r w:rsidR="007278DB">
                        <w:rPr>
                          <w:color w:val="auto"/>
                        </w:rPr>
                        <w:t xml:space="preserve"> vaginal</w:t>
                      </w:r>
                      <w:r>
                        <w:rPr>
                          <w:color w:val="auto"/>
                        </w:rPr>
                        <w:t xml:space="preserve"> ring</w:t>
                      </w:r>
                      <w:r w:rsidR="007278DB">
                        <w:rPr>
                          <w:color w:val="auto"/>
                        </w:rPr>
                        <w:t>, also known as the PrEP ring,</w:t>
                      </w:r>
                      <w:r>
                        <w:rPr>
                          <w:color w:val="auto"/>
                        </w:rPr>
                        <w:t xml:space="preserve"> pilot implementation or post-introduction operations stud</w:t>
                      </w:r>
                      <w:r w:rsidR="00BA277F">
                        <w:rPr>
                          <w:color w:val="auto"/>
                        </w:rPr>
                        <w:t>ies</w:t>
                      </w:r>
                      <w:r>
                        <w:rPr>
                          <w:color w:val="auto"/>
                        </w:rPr>
                        <w:t xml:space="preserve"> to help shape national ring</w:t>
                      </w:r>
                      <w:r w:rsidRPr="00ED5490">
                        <w:rPr>
                          <w:color w:val="auto"/>
                        </w:rPr>
                        <w:t xml:space="preserve"> guidelines. </w:t>
                      </w:r>
                      <w:r>
                        <w:rPr>
                          <w:color w:val="auto"/>
                        </w:rPr>
                        <w:t>T</w:t>
                      </w:r>
                      <w:r w:rsidRPr="00ED5490">
                        <w:rPr>
                          <w:color w:val="auto"/>
                        </w:rPr>
                        <w:t>he content</w:t>
                      </w:r>
                      <w:r w:rsidR="00D20C32">
                        <w:rPr>
                          <w:color w:val="auto"/>
                        </w:rPr>
                        <w:t>s</w:t>
                      </w:r>
                      <w:r w:rsidRPr="00ED5490">
                        <w:rPr>
                          <w:color w:val="auto"/>
                        </w:rPr>
                        <w:t xml:space="preserve"> here align </w:t>
                      </w:r>
                      <w:r>
                        <w:rPr>
                          <w:color w:val="auto"/>
                        </w:rPr>
                        <w:t>a set of</w:t>
                      </w:r>
                      <w:r w:rsidR="00D20C32">
                        <w:rPr>
                          <w:color w:val="auto"/>
                        </w:rPr>
                        <w:t xml:space="preserve"> study </w:t>
                      </w:r>
                      <w:r>
                        <w:rPr>
                          <w:color w:val="auto"/>
                        </w:rPr>
                        <w:t xml:space="preserve">objectives </w:t>
                      </w:r>
                      <w:r w:rsidR="00D20C32">
                        <w:rPr>
                          <w:color w:val="auto"/>
                        </w:rPr>
                        <w:t>and measures to consider for</w:t>
                      </w:r>
                      <w:r>
                        <w:rPr>
                          <w:color w:val="auto"/>
                        </w:rPr>
                        <w:t xml:space="preserve"> use across multiple contexts to foster building an evidence base </w:t>
                      </w:r>
                      <w:r w:rsidR="00FB2355">
                        <w:rPr>
                          <w:color w:val="auto"/>
                        </w:rPr>
                        <w:t>on</w:t>
                      </w:r>
                      <w:r>
                        <w:rPr>
                          <w:color w:val="auto"/>
                        </w:rPr>
                        <w:t xml:space="preserve"> best implementation practices </w:t>
                      </w:r>
                      <w:r w:rsidR="00EA343C">
                        <w:rPr>
                          <w:color w:val="auto"/>
                        </w:rPr>
                        <w:t>for</w:t>
                      </w:r>
                      <w:r>
                        <w:rPr>
                          <w:color w:val="auto"/>
                        </w:rPr>
                        <w:t xml:space="preserve"> ring use</w:t>
                      </w:r>
                      <w:r w:rsidRPr="00ED5490">
                        <w:rPr>
                          <w:color w:val="auto"/>
                        </w:rPr>
                        <w:t xml:space="preserve">. The document includes prompts for national-level consideration during the </w:t>
                      </w:r>
                      <w:r>
                        <w:rPr>
                          <w:color w:val="auto"/>
                        </w:rPr>
                        <w:t>study protocol development</w:t>
                      </w:r>
                      <w:r w:rsidRPr="00ED5490">
                        <w:rPr>
                          <w:color w:val="auto"/>
                        </w:rPr>
                        <w:t xml:space="preserve"> process. Areas specifically requiring national </w:t>
                      </w:r>
                      <w:r>
                        <w:rPr>
                          <w:color w:val="auto"/>
                        </w:rPr>
                        <w:t>input</w:t>
                      </w:r>
                      <w:r w:rsidRPr="00ED5490">
                        <w:rPr>
                          <w:color w:val="auto"/>
                        </w:rPr>
                        <w:t xml:space="preserve"> are </w:t>
                      </w:r>
                      <w:r w:rsidR="00DC387A" w:rsidRPr="00DA2B08">
                        <w:rPr>
                          <w:color w:val="auto"/>
                          <w:highlight w:val="yellow"/>
                        </w:rPr>
                        <w:t>highlighted in y</w:t>
                      </w:r>
                      <w:r w:rsidRPr="00DA2B08">
                        <w:rPr>
                          <w:color w:val="auto"/>
                          <w:highlight w:val="yellow"/>
                        </w:rPr>
                        <w:t>ellow</w:t>
                      </w:r>
                      <w:r w:rsidRPr="00FE6874">
                        <w:t xml:space="preserve">. </w:t>
                      </w:r>
                    </w:p>
                    <w:p w14:paraId="63A84B0B" w14:textId="27FD608B" w:rsidR="002C1EAA" w:rsidRDefault="005A7623" w:rsidP="005A7623">
                      <w:pPr>
                        <w:pStyle w:val="RiseBulletLevel1bl1"/>
                        <w:numPr>
                          <w:ilvl w:val="0"/>
                          <w:numId w:val="0"/>
                        </w:numPr>
                        <w:spacing w:before="240"/>
                      </w:pPr>
                      <w:r w:rsidRPr="00ED5490">
                        <w:rPr>
                          <w:color w:val="auto"/>
                        </w:rPr>
                        <w:t xml:space="preserve">This document was developed by the </w:t>
                      </w:r>
                      <w:r>
                        <w:rPr>
                          <w:color w:val="auto"/>
                        </w:rPr>
                        <w:t xml:space="preserve">PROMISE </w:t>
                      </w:r>
                      <w:r w:rsidRPr="00ED5490">
                        <w:rPr>
                          <w:color w:val="auto"/>
                        </w:rPr>
                        <w:t>Collaboration in close collaboration with the U.S. Agency for International Development (USAID).</w:t>
                      </w:r>
                      <w:r>
                        <w:rPr>
                          <w:color w:val="auto"/>
                        </w:rPr>
                        <w:t xml:space="preserve"> </w:t>
                      </w:r>
                      <w:r w:rsidR="002C1EAA" w:rsidRPr="002C1EAA">
                        <w:rPr>
                          <w:color w:val="auto"/>
                        </w:rPr>
                        <w:t xml:space="preserve">PROMISE is made possible by the generous support of the American people through the U.S. Agency for International Development (USAID) and the U.S. President’s Emergency Plan for AIDS Relief (PEPFAR) through the terms of </w:t>
                      </w:r>
                      <w:r w:rsidR="005A2B2F">
                        <w:rPr>
                          <w:color w:val="auto"/>
                        </w:rPr>
                        <w:t xml:space="preserve">the Envision FP </w:t>
                      </w:r>
                      <w:r w:rsidR="002C1EAA" w:rsidRPr="002C1EAA">
                        <w:rPr>
                          <w:color w:val="auto"/>
                        </w:rPr>
                        <w:t>cooperative agreement AID-OAA-A-15-00045. The contents are the responsibility of Envision FP and do not necessarily reflect the views of USAID, PEPFAR, or the U.S. Government.</w:t>
                      </w:r>
                    </w:p>
                    <w:p w14:paraId="4270CCF8" w14:textId="0835D02F" w:rsidR="005A7623" w:rsidRPr="002C1EAA" w:rsidRDefault="005A7623" w:rsidP="005A7623">
                      <w:pPr>
                        <w:pStyle w:val="RiseBulletLevel1bl1"/>
                        <w:numPr>
                          <w:ilvl w:val="0"/>
                          <w:numId w:val="0"/>
                        </w:numPr>
                        <w:spacing w:before="240"/>
                        <w:rPr>
                          <w:b/>
                          <w:bCs/>
                          <w:i/>
                          <w:iCs/>
                          <w:color w:val="auto"/>
                        </w:rPr>
                      </w:pPr>
                      <w:r w:rsidRPr="002C1EAA">
                        <w:rPr>
                          <w:b/>
                          <w:bCs/>
                          <w:i/>
                          <w:iCs/>
                          <w:color w:val="auto"/>
                        </w:rPr>
                        <w:t>Countries should use this module as appropriate for their needs and setting</w:t>
                      </w:r>
                      <w:r w:rsidR="009B0403">
                        <w:rPr>
                          <w:b/>
                          <w:bCs/>
                          <w:i/>
                          <w:iCs/>
                          <w:color w:val="auto"/>
                        </w:rPr>
                        <w:t>s</w:t>
                      </w:r>
                      <w:r w:rsidRPr="002C1EAA">
                        <w:rPr>
                          <w:b/>
                          <w:bCs/>
                          <w:i/>
                          <w:iCs/>
                          <w:color w:val="auto"/>
                        </w:rPr>
                        <w:t>; use of PROMISE branding or acknowledg</w:t>
                      </w:r>
                      <w:r w:rsidR="00BA40A5">
                        <w:rPr>
                          <w:b/>
                          <w:bCs/>
                          <w:i/>
                          <w:iCs/>
                          <w:color w:val="auto"/>
                        </w:rPr>
                        <w:t>e</w:t>
                      </w:r>
                      <w:r w:rsidRPr="002C1EAA">
                        <w:rPr>
                          <w:b/>
                          <w:bCs/>
                          <w:i/>
                          <w:iCs/>
                          <w:color w:val="auto"/>
                        </w:rPr>
                        <w:t xml:space="preserve">ment is optional. </w:t>
                      </w:r>
                    </w:p>
                    <w:p w14:paraId="7C740D0C" w14:textId="77777777" w:rsidR="005A7623" w:rsidRDefault="005A7623" w:rsidP="005A7623">
                      <w:pPr>
                        <w:pStyle w:val="RiseBulletLevel1bl1"/>
                        <w:numPr>
                          <w:ilvl w:val="0"/>
                          <w:numId w:val="0"/>
                        </w:numPr>
                      </w:pPr>
                    </w:p>
                  </w:txbxContent>
                </v:textbox>
                <w10:wrap type="square" anchorx="margin"/>
              </v:shape>
            </w:pict>
          </mc:Fallback>
        </mc:AlternateContent>
      </w:r>
      <w:r w:rsidRPr="00D20C32">
        <w:rPr>
          <w:noProof w:val="0"/>
          <w:lang w:val="en-GB"/>
        </w:rPr>
        <w:t xml:space="preserve">Guidelines for </w:t>
      </w:r>
      <w:proofErr w:type="spellStart"/>
      <w:r w:rsidRPr="00D20C32">
        <w:rPr>
          <w:noProof w:val="0"/>
          <w:lang w:val="en-GB"/>
        </w:rPr>
        <w:t>Dapivirine</w:t>
      </w:r>
      <w:proofErr w:type="spellEnd"/>
      <w:r w:rsidRPr="00D20C32">
        <w:rPr>
          <w:noProof w:val="0"/>
          <w:lang w:val="en-GB"/>
        </w:rPr>
        <w:t xml:space="preserve"> Ring Pilot Implementation Studies: </w:t>
      </w:r>
      <w:r w:rsidR="00296221">
        <w:rPr>
          <w:noProof w:val="0"/>
          <w:lang w:val="en-GB"/>
        </w:rPr>
        <w:br/>
      </w:r>
      <w:r w:rsidR="00140E4C" w:rsidRPr="00D20C32">
        <w:rPr>
          <w:noProof w:val="0"/>
          <w:lang w:val="en-GB"/>
        </w:rPr>
        <w:t>Template Language for National-Level Guidance &amp; Protocol Development</w:t>
      </w:r>
      <w:r w:rsidR="00140E4C" w:rsidRPr="00D20C32" w:rsidDel="005A7623">
        <w:rPr>
          <w:noProof w:val="0"/>
          <w:lang w:val="en-GB"/>
        </w:rPr>
        <w:t xml:space="preserve"> </w:t>
      </w:r>
      <w:r w:rsidR="00363A14" w:rsidRPr="00D20C32">
        <w:rPr>
          <w:noProof w:val="0"/>
          <w:lang w:val="en-GB"/>
        </w:rPr>
        <w:br/>
      </w:r>
      <w:r w:rsidR="00363A14" w:rsidRPr="00D20C32">
        <w:rPr>
          <w:noProof w:val="0"/>
          <w:lang w:val="en-GB"/>
        </w:rPr>
        <w:br/>
      </w:r>
      <w:r w:rsidR="00363A14" w:rsidRPr="00D20C32">
        <w:rPr>
          <w:noProof w:val="0"/>
          <w:lang w:val="en-GB"/>
        </w:rPr>
        <w:br/>
      </w:r>
      <w:r w:rsidR="00363A14" w:rsidRPr="00D20C32">
        <w:rPr>
          <w:noProof w:val="0"/>
          <w:lang w:val="en-GB"/>
        </w:rPr>
        <w:br/>
      </w:r>
      <w:r w:rsidR="00B91EA6" w:rsidRPr="00D20C32">
        <w:rPr>
          <w:rFonts w:cs="Arial"/>
          <w:b/>
          <w:bCs w:val="0"/>
          <w:color w:val="E75F0B"/>
          <w:sz w:val="32"/>
          <w:szCs w:val="32"/>
          <w:lang w:eastAsia="en-US"/>
        </w:rPr>
        <w:drawing>
          <wp:anchor distT="0" distB="0" distL="114300" distR="114300" simplePos="0" relativeHeight="251658240" behindDoc="0" locked="0" layoutInCell="1" allowOverlap="1" wp14:anchorId="3B768D25" wp14:editId="39C1772B">
            <wp:simplePos x="0" y="0"/>
            <wp:positionH relativeFrom="column">
              <wp:posOffset>-920751</wp:posOffset>
            </wp:positionH>
            <wp:positionV relativeFrom="paragraph">
              <wp:posOffset>-901700</wp:posOffset>
            </wp:positionV>
            <wp:extent cx="1122045" cy="9448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rot="10800000">
                      <a:off x="0" y="0"/>
                      <a:ext cx="1134637" cy="9554838"/>
                    </a:xfrm>
                    <a:prstGeom prst="rect">
                      <a:avLst/>
                    </a:prstGeom>
                  </pic:spPr>
                </pic:pic>
              </a:graphicData>
            </a:graphic>
            <wp14:sizeRelH relativeFrom="margin">
              <wp14:pctWidth>0</wp14:pctWidth>
            </wp14:sizeRelH>
            <wp14:sizeRelV relativeFrom="margin">
              <wp14:pctHeight>0</wp14:pctHeight>
            </wp14:sizeRelV>
          </wp:anchor>
        </w:drawing>
      </w:r>
    </w:p>
    <w:p w14:paraId="4F898B34" w14:textId="0F817C51" w:rsidR="00B91EA6" w:rsidRDefault="00B91EA6" w:rsidP="00863844">
      <w:pPr>
        <w:pStyle w:val="CHOICEacronym"/>
        <w:jc w:val="center"/>
        <w:rPr>
          <w:rFonts w:ascii="Arial" w:hAnsi="Arial" w:cs="Arial"/>
          <w:b w:val="0"/>
          <w:bCs w:val="0"/>
          <w:color w:val="E75F0B"/>
          <w:sz w:val="32"/>
          <w:szCs w:val="32"/>
          <w:lang w:val="en-GB"/>
        </w:rPr>
      </w:pPr>
    </w:p>
    <w:p w14:paraId="758AF076" w14:textId="6E37DDAE" w:rsidR="002C1EAA" w:rsidRDefault="002C1EAA" w:rsidP="00863844">
      <w:pPr>
        <w:pStyle w:val="CHOICEacronym"/>
        <w:jc w:val="center"/>
        <w:rPr>
          <w:rFonts w:ascii="Arial" w:hAnsi="Arial" w:cs="Arial"/>
          <w:b w:val="0"/>
          <w:bCs w:val="0"/>
          <w:color w:val="E75F0B"/>
          <w:sz w:val="32"/>
          <w:szCs w:val="32"/>
          <w:lang w:val="en-GB"/>
        </w:rPr>
      </w:pPr>
    </w:p>
    <w:p w14:paraId="704059B7" w14:textId="77777777" w:rsidR="002C1EAA" w:rsidRPr="00D20C32" w:rsidRDefault="002C1EAA" w:rsidP="00863844">
      <w:pPr>
        <w:pStyle w:val="CHOICEacronym"/>
        <w:jc w:val="center"/>
        <w:rPr>
          <w:rFonts w:ascii="Arial" w:hAnsi="Arial" w:cs="Arial"/>
          <w:b w:val="0"/>
          <w:bCs w:val="0"/>
          <w:color w:val="E75F0B"/>
          <w:sz w:val="32"/>
          <w:szCs w:val="32"/>
          <w:lang w:val="en-GB"/>
        </w:rPr>
      </w:pPr>
    </w:p>
    <w:p w14:paraId="35AECDD5" w14:textId="429EB70D" w:rsidR="00B91EA6" w:rsidRPr="00D20C32" w:rsidRDefault="00B91EA6" w:rsidP="00863844">
      <w:pPr>
        <w:pStyle w:val="CHOICEacronym"/>
        <w:jc w:val="center"/>
        <w:rPr>
          <w:rFonts w:ascii="Arial" w:hAnsi="Arial" w:cs="Arial"/>
          <w:b w:val="0"/>
          <w:bCs w:val="0"/>
          <w:color w:val="E75F0B"/>
          <w:sz w:val="32"/>
          <w:szCs w:val="32"/>
          <w:lang w:val="en-GB"/>
        </w:rPr>
      </w:pPr>
    </w:p>
    <w:p w14:paraId="4268E778" w14:textId="7255EC9D" w:rsidR="00B91EA6" w:rsidRPr="00D20C32" w:rsidRDefault="00B91EA6" w:rsidP="00863844">
      <w:pPr>
        <w:pStyle w:val="CHOICEacronym"/>
        <w:jc w:val="center"/>
        <w:rPr>
          <w:rFonts w:ascii="Arial" w:hAnsi="Arial" w:cs="Arial"/>
          <w:b w:val="0"/>
          <w:bCs w:val="0"/>
          <w:color w:val="E75F0B"/>
          <w:sz w:val="32"/>
          <w:szCs w:val="32"/>
          <w:lang w:val="en-GB"/>
        </w:rPr>
      </w:pPr>
    </w:p>
    <w:p w14:paraId="794FEE90" w14:textId="7FC959FB" w:rsidR="00B91EA6" w:rsidRPr="00D20C32" w:rsidRDefault="00B91EA6" w:rsidP="00863844">
      <w:pPr>
        <w:pStyle w:val="CHOICEacronym"/>
        <w:jc w:val="center"/>
        <w:rPr>
          <w:rFonts w:ascii="Arial" w:hAnsi="Arial" w:cs="Arial"/>
          <w:b w:val="0"/>
          <w:bCs w:val="0"/>
          <w:color w:val="E75F0B"/>
          <w:sz w:val="32"/>
          <w:szCs w:val="32"/>
          <w:lang w:val="en-GB"/>
        </w:rPr>
      </w:pPr>
    </w:p>
    <w:p w14:paraId="6A1DDE5B" w14:textId="318DE360" w:rsidR="00B91EA6" w:rsidRPr="00D20C32" w:rsidRDefault="00B91EA6" w:rsidP="00863844">
      <w:pPr>
        <w:pStyle w:val="CHOICEacronym"/>
        <w:jc w:val="center"/>
        <w:rPr>
          <w:rFonts w:ascii="Arial" w:hAnsi="Arial" w:cs="Arial"/>
          <w:b w:val="0"/>
          <w:bCs w:val="0"/>
          <w:color w:val="E75F0B"/>
          <w:sz w:val="32"/>
          <w:szCs w:val="32"/>
          <w:lang w:val="en-GB"/>
        </w:rPr>
      </w:pPr>
    </w:p>
    <w:p w14:paraId="24556A98" w14:textId="77777777" w:rsidR="003A712F" w:rsidRDefault="003A712F">
      <w:pPr>
        <w:spacing w:before="0" w:line="240" w:lineRule="auto"/>
        <w:rPr>
          <w:rFonts w:eastAsiaTheme="majorEastAsia" w:cstheme="majorBidi"/>
          <w:b/>
          <w:color w:val="01526C" w:themeColor="text1"/>
          <w:sz w:val="26"/>
          <w:szCs w:val="26"/>
          <w:lang w:val="en-GB"/>
        </w:rPr>
      </w:pPr>
      <w:r>
        <w:rPr>
          <w:lang w:val="en-GB"/>
        </w:rPr>
        <w:br w:type="page"/>
      </w:r>
    </w:p>
    <w:p w14:paraId="62B46446" w14:textId="395F9EA1" w:rsidR="008F3CA8" w:rsidRPr="00D20C32" w:rsidRDefault="008F3CA8" w:rsidP="008F3CA8">
      <w:pPr>
        <w:pStyle w:val="Heading2"/>
        <w:rPr>
          <w:lang w:val="en-GB"/>
        </w:rPr>
      </w:pPr>
      <w:r w:rsidRPr="0EE2F083">
        <w:rPr>
          <w:lang w:val="en-GB"/>
        </w:rPr>
        <w:lastRenderedPageBreak/>
        <w:t>Overview and how to use this tool</w:t>
      </w:r>
    </w:p>
    <w:p w14:paraId="50DA1C4E" w14:textId="3824D20F" w:rsidR="007E27C8" w:rsidRPr="00D20C32" w:rsidRDefault="008F3CA8" w:rsidP="008F3CA8">
      <w:pPr>
        <w:rPr>
          <w:lang w:val="en-GB"/>
        </w:rPr>
      </w:pPr>
      <w:r w:rsidRPr="0EE2F083">
        <w:rPr>
          <w:lang w:val="en-GB"/>
        </w:rPr>
        <w:t xml:space="preserve">As new </w:t>
      </w:r>
      <w:r w:rsidR="00F925F7" w:rsidRPr="0EE2F083">
        <w:rPr>
          <w:lang w:val="en-GB"/>
        </w:rPr>
        <w:t xml:space="preserve">HIV pre-exposure prophylaxis (PrEP) methods become available for use, </w:t>
      </w:r>
      <w:r w:rsidR="00053AB7" w:rsidRPr="0EE2F083">
        <w:rPr>
          <w:lang w:val="en-GB"/>
        </w:rPr>
        <w:t xml:space="preserve">determining </w:t>
      </w:r>
      <w:r w:rsidR="00F925F7" w:rsidRPr="0EE2F083">
        <w:rPr>
          <w:lang w:val="en-GB"/>
        </w:rPr>
        <w:t>how best to integrate the</w:t>
      </w:r>
      <w:r w:rsidR="00053AB7" w:rsidRPr="0EE2F083">
        <w:rPr>
          <w:lang w:val="en-GB"/>
        </w:rPr>
        <w:t>m</w:t>
      </w:r>
      <w:r w:rsidR="00F925F7" w:rsidRPr="0EE2F083">
        <w:rPr>
          <w:lang w:val="en-GB"/>
        </w:rPr>
        <w:t xml:space="preserve"> within the existing health system will be of paramount importance. </w:t>
      </w:r>
      <w:r w:rsidR="007E27C8" w:rsidRPr="0EE2F083">
        <w:rPr>
          <w:lang w:val="en-GB"/>
        </w:rPr>
        <w:t>Implementation studies conducted as part of</w:t>
      </w:r>
      <w:r w:rsidR="00F925F7" w:rsidRPr="0EE2F083">
        <w:rPr>
          <w:lang w:val="en-GB"/>
        </w:rPr>
        <w:t xml:space="preserve"> oral PrEP introduction</w:t>
      </w:r>
      <w:r w:rsidR="007E27C8" w:rsidRPr="0EE2F083">
        <w:rPr>
          <w:lang w:val="en-GB"/>
        </w:rPr>
        <w:t xml:space="preserve"> </w:t>
      </w:r>
      <w:r w:rsidR="00F925F7" w:rsidRPr="0EE2F083">
        <w:rPr>
          <w:lang w:val="en-GB"/>
        </w:rPr>
        <w:t xml:space="preserve">have revealed opportunities to strengthen health system components, test new approaches </w:t>
      </w:r>
      <w:r w:rsidR="007E27C8" w:rsidRPr="0EE2F083">
        <w:rPr>
          <w:lang w:val="en-GB"/>
        </w:rPr>
        <w:t>t</w:t>
      </w:r>
      <w:r w:rsidR="00F925F7" w:rsidRPr="0EE2F083">
        <w:rPr>
          <w:lang w:val="en-GB"/>
        </w:rPr>
        <w:t>o service provision, and improve provider training to optimi</w:t>
      </w:r>
      <w:r w:rsidR="009D0A1F">
        <w:rPr>
          <w:lang w:val="en-GB"/>
        </w:rPr>
        <w:t>s</w:t>
      </w:r>
      <w:r w:rsidR="00F925F7" w:rsidRPr="0EE2F083">
        <w:rPr>
          <w:lang w:val="en-GB"/>
        </w:rPr>
        <w:t xml:space="preserve">e oral PrEP delivery and follow-up. </w:t>
      </w:r>
      <w:r w:rsidR="00CB4357" w:rsidRPr="0EE2F083">
        <w:rPr>
          <w:lang w:val="en-GB"/>
        </w:rPr>
        <w:t>These lessons can inform the introduction of n</w:t>
      </w:r>
      <w:r w:rsidR="00F925F7" w:rsidRPr="0EE2F083">
        <w:rPr>
          <w:lang w:val="en-GB"/>
        </w:rPr>
        <w:t>ew PrEP methods</w:t>
      </w:r>
      <w:r w:rsidR="00CB4357" w:rsidRPr="0EE2F083">
        <w:rPr>
          <w:lang w:val="en-GB"/>
        </w:rPr>
        <w:t>,</w:t>
      </w:r>
      <w:r w:rsidR="00F925F7" w:rsidRPr="0EE2F083">
        <w:rPr>
          <w:lang w:val="en-GB"/>
        </w:rPr>
        <w:t xml:space="preserve"> such as the </w:t>
      </w:r>
      <w:proofErr w:type="spellStart"/>
      <w:r w:rsidR="00F925F7" w:rsidRPr="0EE2F083">
        <w:rPr>
          <w:lang w:val="en-GB"/>
        </w:rPr>
        <w:t>dapivirine</w:t>
      </w:r>
      <w:proofErr w:type="spellEnd"/>
      <w:r w:rsidR="007278DB">
        <w:rPr>
          <w:lang w:val="en-GB"/>
        </w:rPr>
        <w:t xml:space="preserve"> vaginal</w:t>
      </w:r>
      <w:r w:rsidR="00F925F7" w:rsidRPr="0EE2F083">
        <w:rPr>
          <w:lang w:val="en-GB"/>
        </w:rPr>
        <w:t xml:space="preserve"> ring </w:t>
      </w:r>
      <w:r w:rsidR="007278DB">
        <w:rPr>
          <w:lang w:val="en-GB"/>
        </w:rPr>
        <w:t xml:space="preserve">(also known as the PrEP ring and referred to as </w:t>
      </w:r>
      <w:r w:rsidR="00F925F7" w:rsidRPr="0EE2F083">
        <w:rPr>
          <w:lang w:val="en-GB"/>
        </w:rPr>
        <w:t>“the ring”</w:t>
      </w:r>
      <w:r w:rsidR="007278DB">
        <w:rPr>
          <w:lang w:val="en-GB"/>
        </w:rPr>
        <w:t xml:space="preserve"> for the remainder of the document</w:t>
      </w:r>
      <w:r w:rsidR="00F925F7" w:rsidRPr="0EE2F083">
        <w:rPr>
          <w:lang w:val="en-GB"/>
        </w:rPr>
        <w:t>)</w:t>
      </w:r>
      <w:r w:rsidR="00CB4357" w:rsidRPr="0EE2F083">
        <w:rPr>
          <w:lang w:val="en-GB"/>
        </w:rPr>
        <w:t>, which</w:t>
      </w:r>
      <w:r w:rsidR="00F925F7" w:rsidRPr="0EE2F083">
        <w:rPr>
          <w:lang w:val="en-GB"/>
        </w:rPr>
        <w:t xml:space="preserve"> may have different intended user groups</w:t>
      </w:r>
      <w:r w:rsidR="00053AB7" w:rsidRPr="0EE2F083">
        <w:rPr>
          <w:lang w:val="en-GB"/>
        </w:rPr>
        <w:t>,</w:t>
      </w:r>
      <w:r w:rsidR="00F925F7" w:rsidRPr="0EE2F083">
        <w:rPr>
          <w:lang w:val="en-GB"/>
        </w:rPr>
        <w:t xml:space="preserve"> and thus </w:t>
      </w:r>
      <w:r w:rsidR="007E27C8" w:rsidRPr="0EE2F083">
        <w:rPr>
          <w:lang w:val="en-GB"/>
        </w:rPr>
        <w:t xml:space="preserve">may </w:t>
      </w:r>
      <w:r w:rsidR="00F925F7" w:rsidRPr="0EE2F083">
        <w:rPr>
          <w:lang w:val="en-GB"/>
        </w:rPr>
        <w:t xml:space="preserve">require different approaches to service provision than those currently used for oral </w:t>
      </w:r>
      <w:proofErr w:type="spellStart"/>
      <w:r w:rsidR="00F925F7" w:rsidRPr="0EE2F083">
        <w:rPr>
          <w:lang w:val="en-GB"/>
        </w:rPr>
        <w:t>PrEP.</w:t>
      </w:r>
      <w:proofErr w:type="spellEnd"/>
      <w:r w:rsidR="00F925F7" w:rsidRPr="0EE2F083">
        <w:rPr>
          <w:lang w:val="en-GB"/>
        </w:rPr>
        <w:t xml:space="preserve"> </w:t>
      </w:r>
    </w:p>
    <w:p w14:paraId="7CDAA200" w14:textId="2F1682BC" w:rsidR="008F3CA8" w:rsidRPr="00D20C32" w:rsidRDefault="00F925F7" w:rsidP="008F3CA8">
      <w:pPr>
        <w:rPr>
          <w:lang w:val="en-GB"/>
        </w:rPr>
      </w:pPr>
      <w:r w:rsidRPr="00D20C32">
        <w:rPr>
          <w:lang w:val="en-GB"/>
        </w:rPr>
        <w:t xml:space="preserve">This </w:t>
      </w:r>
      <w:r w:rsidR="005A7623" w:rsidRPr="00D20C32">
        <w:rPr>
          <w:lang w:val="en-GB"/>
        </w:rPr>
        <w:t xml:space="preserve">template is based on a </w:t>
      </w:r>
      <w:r w:rsidRPr="00D20C32">
        <w:rPr>
          <w:lang w:val="en-GB"/>
        </w:rPr>
        <w:t>document</w:t>
      </w:r>
      <w:r w:rsidR="005A7623" w:rsidRPr="00D20C32">
        <w:rPr>
          <w:lang w:val="en-GB"/>
        </w:rPr>
        <w:t xml:space="preserve"> originally developed by the </w:t>
      </w:r>
      <w:proofErr w:type="spellStart"/>
      <w:r w:rsidR="005A7623" w:rsidRPr="00D20C32">
        <w:rPr>
          <w:lang w:val="en-GB"/>
        </w:rPr>
        <w:t>dapivirine</w:t>
      </w:r>
      <w:proofErr w:type="spellEnd"/>
      <w:r w:rsidR="005A7623" w:rsidRPr="00D20C32">
        <w:rPr>
          <w:lang w:val="en-GB"/>
        </w:rPr>
        <w:t xml:space="preserve"> ring </w:t>
      </w:r>
      <w:r w:rsidR="005A7623" w:rsidRPr="00EE3B47">
        <w:rPr>
          <w:lang w:val="en-GB"/>
        </w:rPr>
        <w:t>task</w:t>
      </w:r>
      <w:r w:rsidR="00EE3B47" w:rsidRPr="00DA2B08">
        <w:rPr>
          <w:lang w:val="en-GB"/>
        </w:rPr>
        <w:t xml:space="preserve"> </w:t>
      </w:r>
      <w:r w:rsidR="005A7623" w:rsidRPr="008F5168">
        <w:rPr>
          <w:lang w:val="en-GB"/>
        </w:rPr>
        <w:t>force</w:t>
      </w:r>
      <w:r w:rsidR="005A7623" w:rsidRPr="00D20C32">
        <w:rPr>
          <w:lang w:val="en-GB"/>
        </w:rPr>
        <w:t xml:space="preserve"> within the PrEP Technical Working Group, led by </w:t>
      </w:r>
      <w:r w:rsidR="007278DB">
        <w:rPr>
          <w:lang w:val="en-GB"/>
        </w:rPr>
        <w:t xml:space="preserve">the </w:t>
      </w:r>
      <w:r w:rsidR="005A7623" w:rsidRPr="00D20C32">
        <w:rPr>
          <w:lang w:val="en-GB"/>
        </w:rPr>
        <w:t xml:space="preserve">Ministry of Health of the Government of Zambia. </w:t>
      </w:r>
      <w:r w:rsidR="004421CC" w:rsidRPr="00D20C32">
        <w:rPr>
          <w:lang w:val="en-GB"/>
        </w:rPr>
        <w:t>This template</w:t>
      </w:r>
      <w:r w:rsidR="005A7623" w:rsidRPr="00D20C32">
        <w:rPr>
          <w:lang w:val="en-GB"/>
        </w:rPr>
        <w:t xml:space="preserve"> </w:t>
      </w:r>
      <w:r w:rsidRPr="00D20C32">
        <w:rPr>
          <w:lang w:val="en-GB"/>
        </w:rPr>
        <w:t xml:space="preserve">is </w:t>
      </w:r>
      <w:r w:rsidR="007E27C8" w:rsidRPr="00D20C32">
        <w:rPr>
          <w:lang w:val="en-GB"/>
        </w:rPr>
        <w:t>design</w:t>
      </w:r>
      <w:r w:rsidRPr="00D20C32">
        <w:rPr>
          <w:lang w:val="en-GB"/>
        </w:rPr>
        <w:t xml:space="preserve">ed for </w:t>
      </w:r>
      <w:r w:rsidR="00D20C32" w:rsidRPr="00D20C32">
        <w:rPr>
          <w:lang w:val="en-GB"/>
        </w:rPr>
        <w:t>policymakers</w:t>
      </w:r>
      <w:r w:rsidRPr="00D20C32">
        <w:rPr>
          <w:lang w:val="en-GB"/>
        </w:rPr>
        <w:t xml:space="preserve"> and government technical specialists to use </w:t>
      </w:r>
      <w:r w:rsidR="00D77863" w:rsidRPr="00D20C32">
        <w:rPr>
          <w:lang w:val="en-GB"/>
        </w:rPr>
        <w:t>to apply uniform objectives</w:t>
      </w:r>
      <w:r w:rsidR="003072F2" w:rsidRPr="00D20C32">
        <w:rPr>
          <w:lang w:val="en-GB"/>
        </w:rPr>
        <w:t>, study design features,</w:t>
      </w:r>
      <w:r w:rsidR="00D77863" w:rsidRPr="00D20C32">
        <w:rPr>
          <w:lang w:val="en-GB"/>
        </w:rPr>
        <w:t xml:space="preserve"> and measures across pilot implementation and other operations research studies for ring introduction</w:t>
      </w:r>
      <w:r w:rsidR="004421CC" w:rsidRPr="00D20C32">
        <w:rPr>
          <w:lang w:val="en-GB"/>
        </w:rPr>
        <w:t>,</w:t>
      </w:r>
      <w:r w:rsidR="00D77863" w:rsidRPr="00D20C32">
        <w:rPr>
          <w:lang w:val="en-GB"/>
        </w:rPr>
        <w:t xml:space="preserve"> in collaboration with investigator teams. These objectives, measures, and design features are proposed across countries to facilitate </w:t>
      </w:r>
      <w:r w:rsidR="00C922DE" w:rsidRPr="00D20C32">
        <w:rPr>
          <w:lang w:val="en-GB"/>
        </w:rPr>
        <w:t xml:space="preserve">the </w:t>
      </w:r>
      <w:r w:rsidR="00D77863" w:rsidRPr="00D20C32">
        <w:rPr>
          <w:lang w:val="en-GB"/>
        </w:rPr>
        <w:t>generati</w:t>
      </w:r>
      <w:r w:rsidR="00C922DE" w:rsidRPr="00D20C32">
        <w:rPr>
          <w:lang w:val="en-GB"/>
        </w:rPr>
        <w:t>o</w:t>
      </w:r>
      <w:r w:rsidR="00D77863" w:rsidRPr="00D20C32">
        <w:rPr>
          <w:lang w:val="en-GB"/>
        </w:rPr>
        <w:t>n</w:t>
      </w:r>
      <w:r w:rsidR="00C922DE" w:rsidRPr="00D20C32">
        <w:rPr>
          <w:lang w:val="en-GB"/>
        </w:rPr>
        <w:t xml:space="preserve"> of</w:t>
      </w:r>
      <w:r w:rsidR="00D77863" w:rsidRPr="00D20C32">
        <w:rPr>
          <w:lang w:val="en-GB"/>
        </w:rPr>
        <w:t xml:space="preserve"> a body of evidence to foster regional learning and program</w:t>
      </w:r>
      <w:r w:rsidR="004E4224">
        <w:rPr>
          <w:lang w:val="en-GB"/>
        </w:rPr>
        <w:t>me</w:t>
      </w:r>
      <w:r w:rsidR="00D77863" w:rsidRPr="00D20C32">
        <w:rPr>
          <w:lang w:val="en-GB"/>
        </w:rPr>
        <w:t xml:space="preserve"> refinement over time and </w:t>
      </w:r>
      <w:r w:rsidR="00C922DE" w:rsidRPr="00D20C32">
        <w:rPr>
          <w:lang w:val="en-GB"/>
        </w:rPr>
        <w:t xml:space="preserve">as additional </w:t>
      </w:r>
      <w:r w:rsidR="00D77863" w:rsidRPr="00D20C32">
        <w:rPr>
          <w:lang w:val="en-GB"/>
        </w:rPr>
        <w:t xml:space="preserve">PrEP methods </w:t>
      </w:r>
      <w:r w:rsidR="00C922DE" w:rsidRPr="00D20C32">
        <w:rPr>
          <w:lang w:val="en-GB"/>
        </w:rPr>
        <w:t>are introduced</w:t>
      </w:r>
      <w:r w:rsidR="00D77863" w:rsidRPr="00D20C32">
        <w:rPr>
          <w:lang w:val="en-GB"/>
        </w:rPr>
        <w:t>.</w:t>
      </w:r>
    </w:p>
    <w:p w14:paraId="1716A5AB" w14:textId="2165E6FB" w:rsidR="00C529CE" w:rsidRPr="00D20C32" w:rsidRDefault="00C529CE" w:rsidP="00C529CE">
      <w:pPr>
        <w:pStyle w:val="Heading2"/>
        <w:rPr>
          <w:lang w:val="en-GB"/>
        </w:rPr>
      </w:pPr>
      <w:r w:rsidRPr="00D20C32">
        <w:rPr>
          <w:lang w:val="en-GB"/>
        </w:rPr>
        <w:t xml:space="preserve">Introduction </w:t>
      </w:r>
      <w:r w:rsidR="007E27C8" w:rsidRPr="00D20C32">
        <w:rPr>
          <w:lang w:val="en-GB"/>
        </w:rPr>
        <w:t>and</w:t>
      </w:r>
      <w:r w:rsidRPr="00D20C32">
        <w:rPr>
          <w:lang w:val="en-GB"/>
        </w:rPr>
        <w:t xml:space="preserve"> rationale</w:t>
      </w:r>
    </w:p>
    <w:p w14:paraId="5ADE4558" w14:textId="38D17BF0" w:rsidR="00C529CE" w:rsidRPr="00D20C32" w:rsidRDefault="00C529CE" w:rsidP="7905B4F2">
      <w:pPr>
        <w:rPr>
          <w:rFonts w:cs="Arial"/>
          <w:lang w:val="en-GB"/>
        </w:rPr>
      </w:pPr>
      <w:r w:rsidRPr="00D20C32">
        <w:rPr>
          <w:rFonts w:cs="Arial"/>
          <w:lang w:val="en-GB"/>
        </w:rPr>
        <w:t xml:space="preserve">The </w:t>
      </w:r>
      <w:r w:rsidR="0081729C" w:rsidRPr="00D20C32">
        <w:rPr>
          <w:rFonts w:cs="Arial"/>
          <w:lang w:val="en-GB"/>
        </w:rPr>
        <w:t xml:space="preserve">government of </w:t>
      </w:r>
      <w:r w:rsidR="00CE4B76" w:rsidRPr="00D20C32">
        <w:rPr>
          <w:rFonts w:cs="Arial"/>
          <w:lang w:val="en-GB"/>
        </w:rPr>
        <w:t>[</w:t>
      </w:r>
      <w:r w:rsidR="00CE4B76" w:rsidRPr="00D20C32">
        <w:rPr>
          <w:rFonts w:cs="Arial"/>
          <w:highlight w:val="yellow"/>
          <w:lang w:val="en-GB"/>
        </w:rPr>
        <w:t>country name</w:t>
      </w:r>
      <w:r w:rsidR="00CE4B76" w:rsidRPr="00D20C32">
        <w:rPr>
          <w:rFonts w:cs="Arial"/>
          <w:lang w:val="en-GB"/>
        </w:rPr>
        <w:t>]</w:t>
      </w:r>
      <w:r w:rsidR="007E27C8" w:rsidRPr="00D20C32">
        <w:rPr>
          <w:rFonts w:cs="Arial"/>
          <w:lang w:val="en-GB"/>
        </w:rPr>
        <w:t>,</w:t>
      </w:r>
      <w:r w:rsidR="0081729C" w:rsidRPr="00D20C32">
        <w:rPr>
          <w:rFonts w:cs="Arial"/>
          <w:lang w:val="en-GB"/>
        </w:rPr>
        <w:t xml:space="preserve"> through the </w:t>
      </w:r>
      <w:r w:rsidRPr="00D20C32">
        <w:rPr>
          <w:rFonts w:cs="Arial"/>
          <w:lang w:val="en-GB"/>
        </w:rPr>
        <w:t>Ministry of Health (MOH)</w:t>
      </w:r>
      <w:r w:rsidR="00CE4B76" w:rsidRPr="00D20C32">
        <w:rPr>
          <w:rFonts w:cs="Arial"/>
          <w:lang w:val="en-GB"/>
        </w:rPr>
        <w:t xml:space="preserve"> [</w:t>
      </w:r>
      <w:r w:rsidR="00CE4B76" w:rsidRPr="00D20C32">
        <w:rPr>
          <w:rFonts w:cs="Arial"/>
          <w:highlight w:val="yellow"/>
          <w:lang w:val="en-GB"/>
        </w:rPr>
        <w:t>or other health authority</w:t>
      </w:r>
      <w:r w:rsidR="00CE4B76" w:rsidRPr="00D20C32">
        <w:rPr>
          <w:rFonts w:cs="Arial"/>
          <w:lang w:val="en-GB"/>
        </w:rPr>
        <w:t>]</w:t>
      </w:r>
      <w:r w:rsidR="007E27C8" w:rsidRPr="00D20C32">
        <w:rPr>
          <w:rFonts w:cs="Arial"/>
          <w:lang w:val="en-GB"/>
        </w:rPr>
        <w:t>,</w:t>
      </w:r>
      <w:r w:rsidRPr="00D20C32">
        <w:rPr>
          <w:rFonts w:cs="Arial"/>
          <w:lang w:val="en-GB"/>
        </w:rPr>
        <w:t xml:space="preserve"> recogni</w:t>
      </w:r>
      <w:r w:rsidR="002C5255">
        <w:rPr>
          <w:rFonts w:cs="Arial"/>
          <w:lang w:val="en-GB"/>
        </w:rPr>
        <w:t>s</w:t>
      </w:r>
      <w:r w:rsidRPr="00D20C32">
        <w:rPr>
          <w:rFonts w:cs="Arial"/>
          <w:lang w:val="en-GB"/>
        </w:rPr>
        <w:t xml:space="preserve">es the great burden that HIV has placed on the lives and wellbeing of </w:t>
      </w:r>
      <w:r w:rsidR="00CE4B76" w:rsidRPr="00D20C32">
        <w:rPr>
          <w:rFonts w:cs="Arial"/>
          <w:lang w:val="en-GB"/>
        </w:rPr>
        <w:t>[</w:t>
      </w:r>
      <w:r w:rsidR="00CE4B76" w:rsidRPr="00D20C32">
        <w:rPr>
          <w:rFonts w:cs="Arial"/>
          <w:highlight w:val="yellow"/>
          <w:lang w:val="en-GB"/>
        </w:rPr>
        <w:t>nationality</w:t>
      </w:r>
      <w:r w:rsidR="00CE4B76" w:rsidRPr="00D20C32">
        <w:rPr>
          <w:rFonts w:cs="Arial"/>
          <w:lang w:val="en-GB"/>
        </w:rPr>
        <w:t>]</w:t>
      </w:r>
      <w:r w:rsidRPr="00D20C32">
        <w:rPr>
          <w:rFonts w:cs="Arial"/>
          <w:lang w:val="en-GB"/>
        </w:rPr>
        <w:t xml:space="preserve"> families </w:t>
      </w:r>
      <w:r w:rsidR="006A7C11">
        <w:rPr>
          <w:rFonts w:cs="Arial"/>
          <w:lang w:val="en-GB"/>
        </w:rPr>
        <w:t>o</w:t>
      </w:r>
      <w:r w:rsidR="00E0576A">
        <w:rPr>
          <w:rFonts w:cs="Arial"/>
          <w:lang w:val="en-GB"/>
        </w:rPr>
        <w:t>ve</w:t>
      </w:r>
      <w:r w:rsidR="006A7C11">
        <w:rPr>
          <w:rFonts w:cs="Arial"/>
          <w:lang w:val="en-GB"/>
        </w:rPr>
        <w:t xml:space="preserve">r </w:t>
      </w:r>
      <w:r w:rsidRPr="00D20C32">
        <w:rPr>
          <w:rFonts w:cs="Arial"/>
          <w:lang w:val="en-GB"/>
        </w:rPr>
        <w:t xml:space="preserve">the last four decades. The MOH </w:t>
      </w:r>
      <w:r w:rsidR="00CE4B76" w:rsidRPr="00D20C32">
        <w:rPr>
          <w:rFonts w:cs="Arial"/>
          <w:lang w:val="en-GB"/>
        </w:rPr>
        <w:t>[</w:t>
      </w:r>
      <w:r w:rsidR="00CE4B76" w:rsidRPr="00D20C32">
        <w:rPr>
          <w:rFonts w:cs="Arial"/>
          <w:highlight w:val="yellow"/>
          <w:lang w:val="en-GB"/>
        </w:rPr>
        <w:t>or other health authority</w:t>
      </w:r>
      <w:r w:rsidR="00CE4B76" w:rsidRPr="00D20C32">
        <w:rPr>
          <w:rFonts w:cs="Arial"/>
          <w:lang w:val="en-GB"/>
        </w:rPr>
        <w:t xml:space="preserve">] </w:t>
      </w:r>
      <w:r w:rsidRPr="00D20C32">
        <w:rPr>
          <w:rFonts w:cs="Arial"/>
          <w:lang w:val="en-GB"/>
        </w:rPr>
        <w:t>strives to ensure HIV prevention measures, testing, and treatment are available to and reach all citizens, including provision of oral PrEP</w:t>
      </w:r>
      <w:r w:rsidR="007E27C8" w:rsidRPr="00D20C32">
        <w:rPr>
          <w:rFonts w:cs="Arial"/>
          <w:lang w:val="en-GB"/>
        </w:rPr>
        <w:t xml:space="preserve"> </w:t>
      </w:r>
      <w:r w:rsidRPr="00D20C32">
        <w:rPr>
          <w:rFonts w:cs="Arial"/>
          <w:lang w:val="en-GB"/>
        </w:rPr>
        <w:t xml:space="preserve">to prevent HIV. As new PrEP methods that have the potential to expand the HIV prevention toolbox become available with sound scientific evidence </w:t>
      </w:r>
      <w:r w:rsidR="007E27C8" w:rsidRPr="00D20C32">
        <w:rPr>
          <w:rFonts w:cs="Arial"/>
          <w:lang w:val="en-GB"/>
        </w:rPr>
        <w:t>o</w:t>
      </w:r>
      <w:r w:rsidRPr="00D20C32">
        <w:rPr>
          <w:rFonts w:cs="Arial"/>
          <w:lang w:val="en-GB"/>
        </w:rPr>
        <w:t>f their safety and efficacy, the MOH</w:t>
      </w:r>
      <w:r w:rsidR="00CE4B76" w:rsidRPr="00D20C32">
        <w:rPr>
          <w:rFonts w:cs="Arial"/>
          <w:lang w:val="en-GB"/>
        </w:rPr>
        <w:t xml:space="preserve"> [</w:t>
      </w:r>
      <w:r w:rsidR="00CE4B76" w:rsidRPr="00D20C32">
        <w:rPr>
          <w:rFonts w:cs="Arial"/>
          <w:highlight w:val="yellow"/>
          <w:lang w:val="en-GB"/>
        </w:rPr>
        <w:t>or other health authority</w:t>
      </w:r>
      <w:r w:rsidR="00CE4B76" w:rsidRPr="00D20C32">
        <w:rPr>
          <w:rFonts w:cs="Arial"/>
          <w:lang w:val="en-GB"/>
        </w:rPr>
        <w:t>]</w:t>
      </w:r>
      <w:r w:rsidRPr="00D20C32">
        <w:rPr>
          <w:rFonts w:cs="Arial"/>
          <w:lang w:val="en-GB"/>
        </w:rPr>
        <w:t xml:space="preserve"> will consider whether </w:t>
      </w:r>
      <w:r w:rsidR="007E27C8" w:rsidRPr="00D20C32">
        <w:rPr>
          <w:rFonts w:cs="Arial"/>
          <w:lang w:val="en-GB"/>
        </w:rPr>
        <w:t xml:space="preserve">introduction of </w:t>
      </w:r>
      <w:r w:rsidRPr="00D20C32">
        <w:rPr>
          <w:rFonts w:cs="Arial"/>
          <w:lang w:val="en-GB"/>
        </w:rPr>
        <w:t xml:space="preserve">each method </w:t>
      </w:r>
      <w:r w:rsidR="007E27C8" w:rsidRPr="00D20C32">
        <w:rPr>
          <w:rFonts w:cs="Arial"/>
          <w:lang w:val="en-GB"/>
        </w:rPr>
        <w:t xml:space="preserve">in the public sector </w:t>
      </w:r>
      <w:r w:rsidRPr="00D20C32">
        <w:rPr>
          <w:rFonts w:cs="Arial"/>
          <w:lang w:val="en-GB"/>
        </w:rPr>
        <w:t xml:space="preserve">is feasible and acceptable.  </w:t>
      </w:r>
    </w:p>
    <w:p w14:paraId="2C623FB9" w14:textId="3AB64B80" w:rsidR="009754D5" w:rsidRPr="00D20C32" w:rsidRDefault="706A3FEB" w:rsidP="36216FC4">
      <w:pPr>
        <w:spacing w:before="120"/>
        <w:rPr>
          <w:rFonts w:cs="Arial"/>
          <w:lang w:val="en-GB"/>
        </w:rPr>
      </w:pPr>
      <w:r w:rsidRPr="2104C340">
        <w:rPr>
          <w:rFonts w:cs="Arial"/>
          <w:lang w:val="en-GB"/>
        </w:rPr>
        <w:t xml:space="preserve">The ring is a flexible silicone ring inserted into the vagina that slowly releases the antiretroviral </w:t>
      </w:r>
      <w:r w:rsidR="37720E4D" w:rsidRPr="2104C340">
        <w:rPr>
          <w:rFonts w:cs="Arial"/>
          <w:lang w:val="en-GB"/>
        </w:rPr>
        <w:t xml:space="preserve">drug </w:t>
      </w:r>
      <w:proofErr w:type="spellStart"/>
      <w:r w:rsidRPr="2104C340">
        <w:rPr>
          <w:rFonts w:cs="Arial"/>
          <w:lang w:val="en-GB"/>
        </w:rPr>
        <w:t>dapivirine</w:t>
      </w:r>
      <w:proofErr w:type="spellEnd"/>
      <w:r w:rsidRPr="2104C340">
        <w:rPr>
          <w:rFonts w:cs="Arial"/>
          <w:lang w:val="en-GB"/>
        </w:rPr>
        <w:t xml:space="preserve"> over a </w:t>
      </w:r>
      <w:proofErr w:type="gramStart"/>
      <w:r w:rsidR="007278DB">
        <w:rPr>
          <w:rFonts w:cs="Arial"/>
          <w:lang w:val="en-GB"/>
        </w:rPr>
        <w:t>one month</w:t>
      </w:r>
      <w:proofErr w:type="gramEnd"/>
      <w:r w:rsidRPr="2104C340">
        <w:rPr>
          <w:rFonts w:cs="Arial"/>
          <w:lang w:val="en-GB"/>
        </w:rPr>
        <w:t xml:space="preserve"> period of continuous use, after which it is replaced with a new ring. </w:t>
      </w:r>
      <w:r w:rsidR="69EF6C6B" w:rsidRPr="2104C340">
        <w:rPr>
          <w:rFonts w:cs="Arial"/>
          <w:lang w:val="en-GB"/>
        </w:rPr>
        <w:t xml:space="preserve">The ring </w:t>
      </w:r>
      <w:r w:rsidR="13691F82" w:rsidRPr="2104C340">
        <w:rPr>
          <w:rFonts w:cs="Arial"/>
          <w:lang w:val="en-GB"/>
        </w:rPr>
        <w:t xml:space="preserve">protects against </w:t>
      </w:r>
      <w:r w:rsidR="69EF6C6B" w:rsidRPr="2104C340">
        <w:rPr>
          <w:rFonts w:cs="Arial"/>
          <w:lang w:val="en-GB"/>
        </w:rPr>
        <w:t>HIV acquisition</w:t>
      </w:r>
      <w:r w:rsidR="610157E8" w:rsidRPr="2104C340">
        <w:rPr>
          <w:rFonts w:cs="Arial"/>
          <w:lang w:val="en-GB"/>
        </w:rPr>
        <w:t xml:space="preserve"> in women</w:t>
      </w:r>
      <w:r w:rsidR="2D52A674" w:rsidRPr="2104C340">
        <w:rPr>
          <w:rFonts w:cs="Arial"/>
          <w:lang w:val="en-GB"/>
        </w:rPr>
        <w:t xml:space="preserve"> only </w:t>
      </w:r>
      <w:r w:rsidR="4F852D28" w:rsidRPr="2104C340">
        <w:rPr>
          <w:rFonts w:cs="Arial"/>
          <w:lang w:val="en-GB"/>
        </w:rPr>
        <w:t>during</w:t>
      </w:r>
      <w:r w:rsidR="610157E8" w:rsidRPr="2104C340">
        <w:rPr>
          <w:rFonts w:cs="Arial"/>
          <w:lang w:val="en-GB"/>
        </w:rPr>
        <w:t xml:space="preserve"> exposure </w:t>
      </w:r>
      <w:r w:rsidR="4F852D28" w:rsidRPr="2104C340">
        <w:rPr>
          <w:rFonts w:cs="Arial"/>
          <w:lang w:val="en-GB"/>
        </w:rPr>
        <w:t>from</w:t>
      </w:r>
      <w:r w:rsidR="37720E4D" w:rsidRPr="2104C340">
        <w:rPr>
          <w:rFonts w:cs="Arial"/>
          <w:lang w:val="en-GB"/>
        </w:rPr>
        <w:t xml:space="preserve"> </w:t>
      </w:r>
      <w:r w:rsidR="69EF6C6B" w:rsidRPr="2104C340">
        <w:rPr>
          <w:rFonts w:cs="Arial"/>
          <w:lang w:val="en-GB"/>
        </w:rPr>
        <w:t xml:space="preserve">receptive vaginal sex. </w:t>
      </w:r>
      <w:r w:rsidRPr="2104C340">
        <w:rPr>
          <w:rFonts w:cs="Arial"/>
          <w:lang w:val="en-GB"/>
        </w:rPr>
        <w:t>This method is user-initiated and</w:t>
      </w:r>
      <w:r w:rsidR="6BF480AD" w:rsidRPr="2104C340">
        <w:rPr>
          <w:rFonts w:cs="Arial"/>
          <w:lang w:val="en-GB"/>
        </w:rPr>
        <w:t>,</w:t>
      </w:r>
      <w:r w:rsidRPr="2104C340">
        <w:rPr>
          <w:rFonts w:cs="Arial"/>
          <w:lang w:val="en-GB"/>
        </w:rPr>
        <w:t xml:space="preserve"> </w:t>
      </w:r>
      <w:r w:rsidR="6EF8D8DF" w:rsidRPr="2104C340">
        <w:rPr>
          <w:rFonts w:cs="Arial"/>
          <w:lang w:val="en-GB"/>
        </w:rPr>
        <w:t xml:space="preserve">when </w:t>
      </w:r>
      <w:r w:rsidR="6BF480AD" w:rsidRPr="2104C340">
        <w:rPr>
          <w:rFonts w:cs="Arial"/>
          <w:lang w:val="en-GB"/>
        </w:rPr>
        <w:t xml:space="preserve">used in combination with other interventions to enhance HIV prevention, </w:t>
      </w:r>
      <w:r w:rsidRPr="2104C340">
        <w:rPr>
          <w:rFonts w:cs="Arial"/>
          <w:lang w:val="en-GB"/>
        </w:rPr>
        <w:t xml:space="preserve">may present an acceptable option for clients who cannot or do not wish to take oral </w:t>
      </w:r>
      <w:proofErr w:type="spellStart"/>
      <w:r w:rsidRPr="2104C340">
        <w:rPr>
          <w:rFonts w:cs="Arial"/>
          <w:lang w:val="en-GB"/>
        </w:rPr>
        <w:t>PrEP.</w:t>
      </w:r>
      <w:proofErr w:type="spellEnd"/>
      <w:r w:rsidRPr="2104C340">
        <w:rPr>
          <w:rFonts w:cs="Arial"/>
          <w:lang w:val="en-GB"/>
        </w:rPr>
        <w:t xml:space="preserve"> </w:t>
      </w:r>
      <w:r w:rsidR="6B323916" w:rsidRPr="2104C340">
        <w:rPr>
          <w:rFonts w:cs="Arial"/>
          <w:lang w:val="en-GB"/>
        </w:rPr>
        <w:t xml:space="preserve">Discrete choice studies </w:t>
      </w:r>
      <w:r w:rsidR="371F7C3A" w:rsidRPr="2104C340">
        <w:rPr>
          <w:rFonts w:cs="Arial"/>
          <w:lang w:val="en-GB"/>
        </w:rPr>
        <w:t>(T</w:t>
      </w:r>
      <w:r w:rsidR="005E46F9">
        <w:rPr>
          <w:rFonts w:cs="Arial"/>
          <w:lang w:val="en-GB"/>
        </w:rPr>
        <w:t>RIO</w:t>
      </w:r>
      <w:r w:rsidR="371F7C3A" w:rsidRPr="2104C340">
        <w:rPr>
          <w:rFonts w:cs="Arial"/>
          <w:lang w:val="en-GB"/>
        </w:rPr>
        <w:t xml:space="preserve">, Quatro) </w:t>
      </w:r>
      <w:r w:rsidR="3820B020" w:rsidRPr="2104C340">
        <w:rPr>
          <w:rFonts w:cs="Arial"/>
          <w:lang w:val="en-GB"/>
        </w:rPr>
        <w:t>have been conducted</w:t>
      </w:r>
      <w:r w:rsidR="31BA19BC" w:rsidRPr="2104C340">
        <w:rPr>
          <w:rFonts w:cs="Arial"/>
          <w:lang w:val="en-GB"/>
        </w:rPr>
        <w:t xml:space="preserve"> in Kenya, South Africa, and Zimbabwe</w:t>
      </w:r>
      <w:r w:rsidR="3820B020" w:rsidRPr="2104C340">
        <w:rPr>
          <w:rFonts w:cs="Arial"/>
          <w:lang w:val="en-GB"/>
        </w:rPr>
        <w:t xml:space="preserve"> to determine the best way to deliver PrEP for women</w:t>
      </w:r>
      <w:r w:rsidR="6D32D048" w:rsidRPr="2104C340">
        <w:rPr>
          <w:rFonts w:cs="Arial"/>
          <w:lang w:val="en-GB"/>
        </w:rPr>
        <w:t>, with participants trying several placebo methods</w:t>
      </w:r>
      <w:r w:rsidR="680E1AC3" w:rsidRPr="2104C340">
        <w:rPr>
          <w:rFonts w:cs="Arial"/>
          <w:lang w:val="en-GB"/>
        </w:rPr>
        <w:t xml:space="preserve"> and documenting their preferences</w:t>
      </w:r>
      <w:r w:rsidR="6D32D048" w:rsidRPr="2104C340">
        <w:rPr>
          <w:rFonts w:cs="Arial"/>
          <w:lang w:val="en-GB"/>
        </w:rPr>
        <w:t>.</w:t>
      </w:r>
      <w:r w:rsidR="3820B020" w:rsidRPr="2104C340">
        <w:rPr>
          <w:rFonts w:cs="Arial"/>
          <w:lang w:val="en-GB"/>
        </w:rPr>
        <w:t xml:space="preserve"> </w:t>
      </w:r>
      <w:r w:rsidR="69E0F432" w:rsidRPr="2104C340">
        <w:rPr>
          <w:rFonts w:cs="Arial"/>
          <w:lang w:val="en-GB"/>
        </w:rPr>
        <w:t xml:space="preserve">The </w:t>
      </w:r>
      <w:r w:rsidR="3820B020" w:rsidRPr="2104C340">
        <w:rPr>
          <w:rFonts w:cs="Arial"/>
          <w:lang w:val="en-GB"/>
        </w:rPr>
        <w:t>T</w:t>
      </w:r>
      <w:r w:rsidR="00DA2B08">
        <w:rPr>
          <w:rFonts w:cs="Arial"/>
          <w:lang w:val="en-GB"/>
        </w:rPr>
        <w:t>RIO</w:t>
      </w:r>
      <w:r w:rsidR="3820B020" w:rsidRPr="2104C340">
        <w:rPr>
          <w:rFonts w:cs="Arial"/>
          <w:lang w:val="en-GB"/>
        </w:rPr>
        <w:t xml:space="preserve"> </w:t>
      </w:r>
      <w:r w:rsidR="3FE17265" w:rsidRPr="2104C340">
        <w:rPr>
          <w:rFonts w:cs="Arial"/>
          <w:lang w:val="en-GB"/>
        </w:rPr>
        <w:t xml:space="preserve">study </w:t>
      </w:r>
      <w:r w:rsidR="3820B020" w:rsidRPr="2104C340">
        <w:rPr>
          <w:rFonts w:cs="Arial"/>
          <w:lang w:val="en-GB"/>
        </w:rPr>
        <w:t>compar</w:t>
      </w:r>
      <w:r w:rsidR="5861A227" w:rsidRPr="2104C340">
        <w:rPr>
          <w:rFonts w:cs="Arial"/>
          <w:lang w:val="en-GB"/>
        </w:rPr>
        <w:t>ed</w:t>
      </w:r>
      <w:r w:rsidR="3820B020" w:rsidRPr="2104C340">
        <w:rPr>
          <w:rFonts w:cs="Arial"/>
          <w:lang w:val="en-GB"/>
        </w:rPr>
        <w:t xml:space="preserve"> oral, injectable</w:t>
      </w:r>
      <w:r w:rsidR="00815D5E">
        <w:rPr>
          <w:rFonts w:cs="Arial"/>
          <w:lang w:val="en-GB"/>
        </w:rPr>
        <w:t>,</w:t>
      </w:r>
      <w:r w:rsidR="3820B020" w:rsidRPr="2104C340">
        <w:rPr>
          <w:rFonts w:cs="Arial"/>
          <w:lang w:val="en-GB"/>
        </w:rPr>
        <w:t xml:space="preserve"> and ring methods and</w:t>
      </w:r>
      <w:r w:rsidR="65B391A7" w:rsidRPr="2104C340">
        <w:rPr>
          <w:rFonts w:cs="Arial"/>
          <w:lang w:val="en-GB"/>
        </w:rPr>
        <w:t xml:space="preserve"> found that while injectables were most preferred,</w:t>
      </w:r>
      <w:r w:rsidR="3820B020" w:rsidRPr="2104C340">
        <w:rPr>
          <w:rFonts w:cs="Arial"/>
          <w:lang w:val="en-GB"/>
        </w:rPr>
        <w:t xml:space="preserve"> </w:t>
      </w:r>
      <w:r w:rsidR="25F55138" w:rsidRPr="2104C340">
        <w:rPr>
          <w:rFonts w:cs="Arial"/>
          <w:lang w:val="en-GB"/>
        </w:rPr>
        <w:t>ring continuation</w:t>
      </w:r>
      <w:r w:rsidR="063ADE01" w:rsidRPr="2104C340">
        <w:rPr>
          <w:rFonts w:cs="Arial"/>
          <w:lang w:val="en-GB"/>
        </w:rPr>
        <w:t xml:space="preserve"> rates </w:t>
      </w:r>
      <w:r w:rsidR="39BE3D80" w:rsidRPr="2104C340">
        <w:rPr>
          <w:rFonts w:cs="Arial"/>
          <w:lang w:val="en-GB"/>
        </w:rPr>
        <w:t xml:space="preserve">were high </w:t>
      </w:r>
      <w:r w:rsidR="063ADE01" w:rsidRPr="2104C340">
        <w:rPr>
          <w:rFonts w:cs="Arial"/>
          <w:lang w:val="en-GB"/>
        </w:rPr>
        <w:t>a</w:t>
      </w:r>
      <w:r w:rsidR="14A9F513" w:rsidRPr="2104C340">
        <w:rPr>
          <w:rFonts w:cs="Arial"/>
          <w:lang w:val="en-GB"/>
        </w:rPr>
        <w:t xml:space="preserve">mong women willing to try the ring compared to </w:t>
      </w:r>
      <w:r w:rsidR="00D227CC">
        <w:rPr>
          <w:rFonts w:cs="Arial"/>
          <w:lang w:val="en-GB"/>
        </w:rPr>
        <w:t xml:space="preserve">those for </w:t>
      </w:r>
      <w:r w:rsidR="14A9F513" w:rsidRPr="2104C340">
        <w:rPr>
          <w:rFonts w:cs="Arial"/>
          <w:lang w:val="en-GB"/>
        </w:rPr>
        <w:t>other PrEP delivery methods.</w:t>
      </w:r>
      <w:r w:rsidR="003A712F">
        <w:rPr>
          <w:rStyle w:val="EndnoteReference"/>
          <w:rFonts w:cs="Arial"/>
          <w:lang w:val="en-GB"/>
        </w:rPr>
        <w:endnoteReference w:id="2"/>
      </w:r>
      <w:r w:rsidR="552CA316" w:rsidRPr="2104C340">
        <w:rPr>
          <w:rFonts w:cs="Arial"/>
          <w:lang w:val="en-GB"/>
        </w:rPr>
        <w:t xml:space="preserve"> The Quatro study compared four different vaginal methods, including </w:t>
      </w:r>
      <w:r w:rsidR="009F513C">
        <w:rPr>
          <w:rFonts w:cs="Arial"/>
          <w:lang w:val="en-GB"/>
        </w:rPr>
        <w:t xml:space="preserve">the </w:t>
      </w:r>
      <w:r w:rsidR="552CA316" w:rsidRPr="2104C340">
        <w:rPr>
          <w:rFonts w:cs="Arial"/>
          <w:lang w:val="en-GB"/>
        </w:rPr>
        <w:t>ring, and found that</w:t>
      </w:r>
      <w:r w:rsidR="25D26ECF" w:rsidRPr="2104C340">
        <w:rPr>
          <w:rFonts w:cs="Arial"/>
          <w:lang w:val="en-GB"/>
        </w:rPr>
        <w:t xml:space="preserve"> </w:t>
      </w:r>
      <w:r w:rsidR="39137CF5" w:rsidRPr="2104C340">
        <w:rPr>
          <w:rFonts w:cs="Arial"/>
          <w:lang w:val="en-GB"/>
        </w:rPr>
        <w:t>initial preference for ring was low but increased with trial duration and product crossover with high ring adherence.</w:t>
      </w:r>
      <w:r w:rsidR="00720D87">
        <w:rPr>
          <w:rStyle w:val="EndnoteReference"/>
          <w:rFonts w:cs="Arial"/>
          <w:lang w:val="en-GB"/>
        </w:rPr>
        <w:endnoteReference w:id="3"/>
      </w:r>
      <w:r w:rsidR="063ADE01" w:rsidRPr="2104C340">
        <w:rPr>
          <w:rFonts w:cs="Arial"/>
          <w:lang w:val="en-GB"/>
        </w:rPr>
        <w:t xml:space="preserve"> </w:t>
      </w:r>
      <w:r w:rsidR="76B0EA05" w:rsidRPr="2104C340">
        <w:rPr>
          <w:rFonts w:cs="Arial"/>
          <w:lang w:val="en-GB"/>
        </w:rPr>
        <w:t>Tabl</w:t>
      </w:r>
      <w:r w:rsidR="19DD819C" w:rsidRPr="2104C340">
        <w:rPr>
          <w:rFonts w:cs="Arial"/>
          <w:lang w:val="en-GB"/>
        </w:rPr>
        <w:t>e 1 summari</w:t>
      </w:r>
      <w:r w:rsidR="7D7AE3D1" w:rsidRPr="2104C340">
        <w:rPr>
          <w:rFonts w:cs="Arial"/>
          <w:lang w:val="en-GB"/>
        </w:rPr>
        <w:t>s</w:t>
      </w:r>
      <w:r w:rsidR="19DD819C" w:rsidRPr="2104C340">
        <w:rPr>
          <w:rFonts w:cs="Arial"/>
          <w:lang w:val="en-GB"/>
        </w:rPr>
        <w:t>es evidence regarding ring efficacy and safety from clinical trials and open-label extension studies.</w:t>
      </w:r>
      <w:r w:rsidRPr="2104C340">
        <w:rPr>
          <w:rFonts w:cs="Arial"/>
          <w:lang w:val="en-GB"/>
        </w:rPr>
        <w:t xml:space="preserve"> </w:t>
      </w:r>
    </w:p>
    <w:p w14:paraId="61D38BD9" w14:textId="77777777" w:rsidR="00296221" w:rsidRDefault="00296221">
      <w:pPr>
        <w:spacing w:before="0" w:line="240" w:lineRule="auto"/>
        <w:rPr>
          <w:rFonts w:cs="Arial"/>
          <w:b/>
          <w:lang w:val="en-GB"/>
        </w:rPr>
      </w:pPr>
      <w:r>
        <w:rPr>
          <w:rFonts w:cs="Arial"/>
          <w:b/>
          <w:lang w:val="en-GB"/>
        </w:rPr>
        <w:br w:type="page"/>
      </w:r>
    </w:p>
    <w:p w14:paraId="650AF106" w14:textId="77777777" w:rsidR="00296221" w:rsidRDefault="00296221" w:rsidP="00140E4C">
      <w:pPr>
        <w:spacing w:before="120"/>
        <w:ind w:left="-720"/>
        <w:rPr>
          <w:rFonts w:cs="Arial"/>
          <w:b/>
          <w:lang w:val="en-GB"/>
        </w:rPr>
        <w:sectPr w:rsidR="00296221" w:rsidSect="00296221">
          <w:headerReference w:type="default" r:id="rId12"/>
          <w:footerReference w:type="default" r:id="rId13"/>
          <w:headerReference w:type="first" r:id="rId14"/>
          <w:footerReference w:type="first" r:id="rId15"/>
          <w:endnotePr>
            <w:numFmt w:val="decimal"/>
          </w:endnotePr>
          <w:pgSz w:w="12240" w:h="15840" w:code="1"/>
          <w:pgMar w:top="1440" w:right="1440" w:bottom="1440" w:left="1080" w:header="144" w:footer="144" w:gutter="0"/>
          <w:cols w:space="720"/>
          <w:titlePg/>
          <w:docGrid w:linePitch="360"/>
        </w:sectPr>
      </w:pPr>
    </w:p>
    <w:p w14:paraId="6B865180" w14:textId="4FCF76BC" w:rsidR="009754D5" w:rsidRPr="00D20C32" w:rsidRDefault="00D62B77" w:rsidP="00140E4C">
      <w:pPr>
        <w:spacing w:before="120"/>
        <w:ind w:left="-720"/>
        <w:rPr>
          <w:rFonts w:cs="Arial"/>
          <w:b/>
          <w:lang w:val="en-GB"/>
        </w:rPr>
      </w:pPr>
      <w:r w:rsidRPr="0EE2F083">
        <w:rPr>
          <w:rFonts w:cs="Arial"/>
          <w:b/>
          <w:lang w:val="en-GB"/>
        </w:rPr>
        <w:lastRenderedPageBreak/>
        <w:t xml:space="preserve">Table 1. Summary of </w:t>
      </w:r>
      <w:proofErr w:type="spellStart"/>
      <w:r w:rsidRPr="0EE2F083">
        <w:rPr>
          <w:rFonts w:cs="Arial"/>
          <w:b/>
          <w:lang w:val="en-GB"/>
        </w:rPr>
        <w:t>dapivirine</w:t>
      </w:r>
      <w:proofErr w:type="spellEnd"/>
      <w:r w:rsidRPr="0EE2F083">
        <w:rPr>
          <w:rFonts w:cs="Arial"/>
          <w:b/>
          <w:lang w:val="en-GB"/>
        </w:rPr>
        <w:t xml:space="preserve"> ring efficacy and safety findings from multi</w:t>
      </w:r>
      <w:r w:rsidR="00DA2B08">
        <w:rPr>
          <w:rFonts w:cs="Arial"/>
          <w:b/>
          <w:lang w:val="en-GB"/>
        </w:rPr>
        <w:t>-</w:t>
      </w:r>
      <w:r w:rsidRPr="0EE2F083">
        <w:rPr>
          <w:rFonts w:cs="Arial"/>
          <w:b/>
          <w:lang w:val="en-GB"/>
        </w:rPr>
        <w:t>country trials and open-label extension studies</w:t>
      </w:r>
    </w:p>
    <w:tbl>
      <w:tblPr>
        <w:tblStyle w:val="TableGrid"/>
        <w:tblW w:w="14400" w:type="dxa"/>
        <w:tblInd w:w="-725" w:type="dxa"/>
        <w:tblLook w:val="04A0" w:firstRow="1" w:lastRow="0" w:firstColumn="1" w:lastColumn="0" w:noHBand="0" w:noVBand="1"/>
      </w:tblPr>
      <w:tblGrid>
        <w:gridCol w:w="2957"/>
        <w:gridCol w:w="1406"/>
        <w:gridCol w:w="3435"/>
        <w:gridCol w:w="2304"/>
        <w:gridCol w:w="4298"/>
      </w:tblGrid>
      <w:tr w:rsidR="00BD7C28" w:rsidRPr="00D20C32" w14:paraId="4C649FB7" w14:textId="77777777" w:rsidTr="000B6DFF">
        <w:tc>
          <w:tcPr>
            <w:tcW w:w="2970" w:type="dxa"/>
            <w:shd w:val="clear" w:color="auto" w:fill="FCE2D2" w:themeFill="accent4" w:themeFillTint="33"/>
          </w:tcPr>
          <w:p w14:paraId="28902CCC" w14:textId="727050DC" w:rsidR="009754D5" w:rsidRPr="008E4FDF" w:rsidRDefault="009754D5" w:rsidP="36216FC4">
            <w:pPr>
              <w:spacing w:before="120"/>
              <w:rPr>
                <w:rFonts w:cs="Arial"/>
                <w:b/>
                <w:bCs w:val="0"/>
                <w:color w:val="F4711F" w:themeColor="accent4"/>
                <w:szCs w:val="20"/>
                <w:lang w:val="en-GB"/>
              </w:rPr>
            </w:pPr>
            <w:r w:rsidRPr="008E4FDF">
              <w:rPr>
                <w:rFonts w:cs="Arial"/>
                <w:b/>
                <w:bCs w:val="0"/>
                <w:color w:val="F4711F" w:themeColor="accent4"/>
                <w:szCs w:val="20"/>
                <w:lang w:val="en-GB"/>
              </w:rPr>
              <w:t>Study lead author</w:t>
            </w:r>
            <w:r w:rsidR="008F5168">
              <w:rPr>
                <w:rFonts w:cs="Arial"/>
                <w:b/>
                <w:bCs w:val="0"/>
                <w:color w:val="F4711F" w:themeColor="accent4"/>
                <w:szCs w:val="20"/>
                <w:lang w:val="en-GB"/>
              </w:rPr>
              <w:t>,</w:t>
            </w:r>
            <w:r w:rsidR="00D93992" w:rsidRPr="008E4FDF">
              <w:rPr>
                <w:rFonts w:cs="Arial"/>
                <w:b/>
                <w:bCs w:val="0"/>
                <w:color w:val="F4711F" w:themeColor="accent4"/>
                <w:szCs w:val="20"/>
                <w:lang w:val="en-GB"/>
              </w:rPr>
              <w:t xml:space="preserve"> name of study;</w:t>
            </w:r>
            <w:r w:rsidRPr="008E4FDF">
              <w:rPr>
                <w:rFonts w:cs="Arial"/>
                <w:b/>
                <w:bCs w:val="0"/>
                <w:color w:val="F4711F" w:themeColor="accent4"/>
                <w:szCs w:val="20"/>
                <w:lang w:val="en-GB"/>
              </w:rPr>
              <w:t xml:space="preserve"> sites</w:t>
            </w:r>
            <w:r w:rsidR="00D93992" w:rsidRPr="008E4FDF">
              <w:rPr>
                <w:rFonts w:cs="Arial"/>
                <w:b/>
                <w:bCs w:val="0"/>
                <w:color w:val="F4711F" w:themeColor="accent4"/>
                <w:szCs w:val="20"/>
                <w:lang w:val="en-GB"/>
              </w:rPr>
              <w:t>;</w:t>
            </w:r>
            <w:r w:rsidRPr="008E4FDF">
              <w:rPr>
                <w:rFonts w:cs="Arial"/>
                <w:b/>
                <w:bCs w:val="0"/>
                <w:color w:val="F4711F" w:themeColor="accent4"/>
                <w:szCs w:val="20"/>
                <w:lang w:val="en-GB"/>
              </w:rPr>
              <w:t xml:space="preserve"> sample size</w:t>
            </w:r>
          </w:p>
        </w:tc>
        <w:tc>
          <w:tcPr>
            <w:tcW w:w="1350" w:type="dxa"/>
            <w:shd w:val="clear" w:color="auto" w:fill="FCE2D2" w:themeFill="accent4" w:themeFillTint="33"/>
          </w:tcPr>
          <w:p w14:paraId="3E134DE0" w14:textId="1296B9A2" w:rsidR="009754D5" w:rsidRPr="008E4FDF" w:rsidRDefault="009754D5" w:rsidP="36216FC4">
            <w:pPr>
              <w:spacing w:before="120"/>
              <w:rPr>
                <w:rFonts w:cs="Arial"/>
                <w:b/>
                <w:bCs w:val="0"/>
                <w:color w:val="F4711F" w:themeColor="accent4"/>
                <w:szCs w:val="20"/>
                <w:lang w:val="en-GB"/>
              </w:rPr>
            </w:pPr>
            <w:r w:rsidRPr="008E4FDF">
              <w:rPr>
                <w:rFonts w:cs="Arial"/>
                <w:b/>
                <w:bCs w:val="0"/>
                <w:color w:val="F4711F" w:themeColor="accent4"/>
                <w:szCs w:val="20"/>
                <w:lang w:val="en-GB"/>
              </w:rPr>
              <w:t>Study design</w:t>
            </w:r>
          </w:p>
        </w:tc>
        <w:tc>
          <w:tcPr>
            <w:tcW w:w="3449" w:type="dxa"/>
            <w:shd w:val="clear" w:color="auto" w:fill="FCE2D2" w:themeFill="accent4" w:themeFillTint="33"/>
          </w:tcPr>
          <w:p w14:paraId="0F60D3F9" w14:textId="31BB6320" w:rsidR="009754D5" w:rsidRPr="008E4FDF" w:rsidRDefault="009754D5" w:rsidP="36216FC4">
            <w:pPr>
              <w:spacing w:before="120"/>
              <w:rPr>
                <w:rFonts w:cs="Arial"/>
                <w:b/>
                <w:bCs w:val="0"/>
                <w:color w:val="F4711F" w:themeColor="accent4"/>
                <w:szCs w:val="20"/>
                <w:lang w:val="en-GB"/>
              </w:rPr>
            </w:pPr>
            <w:r w:rsidRPr="008E4FDF">
              <w:rPr>
                <w:rFonts w:cs="Arial"/>
                <w:b/>
                <w:bCs w:val="0"/>
                <w:color w:val="F4711F" w:themeColor="accent4"/>
                <w:szCs w:val="20"/>
                <w:lang w:val="en-GB"/>
              </w:rPr>
              <w:t>Main safety finding(s)</w:t>
            </w:r>
          </w:p>
        </w:tc>
        <w:tc>
          <w:tcPr>
            <w:tcW w:w="2311" w:type="dxa"/>
            <w:shd w:val="clear" w:color="auto" w:fill="FCE2D2" w:themeFill="accent4" w:themeFillTint="33"/>
          </w:tcPr>
          <w:p w14:paraId="10B0C336" w14:textId="39BAA966" w:rsidR="009754D5" w:rsidRPr="008E4FDF" w:rsidRDefault="009754D5" w:rsidP="36216FC4">
            <w:pPr>
              <w:spacing w:before="120"/>
              <w:rPr>
                <w:rFonts w:cs="Arial"/>
                <w:b/>
                <w:bCs w:val="0"/>
                <w:color w:val="F4711F" w:themeColor="accent4"/>
                <w:szCs w:val="20"/>
                <w:lang w:val="en-GB"/>
              </w:rPr>
            </w:pPr>
            <w:r w:rsidRPr="008E4FDF">
              <w:rPr>
                <w:rFonts w:cs="Arial"/>
                <w:b/>
                <w:bCs w:val="0"/>
                <w:color w:val="F4711F" w:themeColor="accent4"/>
                <w:szCs w:val="20"/>
                <w:lang w:val="en-GB"/>
              </w:rPr>
              <w:t>Main effectiveness finding(s)</w:t>
            </w:r>
          </w:p>
        </w:tc>
        <w:tc>
          <w:tcPr>
            <w:tcW w:w="4320" w:type="dxa"/>
            <w:shd w:val="clear" w:color="auto" w:fill="FCE2D2" w:themeFill="accent4" w:themeFillTint="33"/>
          </w:tcPr>
          <w:p w14:paraId="059F53F5" w14:textId="6486B2E2" w:rsidR="009754D5" w:rsidRPr="008E4FDF" w:rsidRDefault="009754D5" w:rsidP="36216FC4">
            <w:pPr>
              <w:spacing w:before="120"/>
              <w:rPr>
                <w:rFonts w:cs="Arial"/>
                <w:b/>
                <w:bCs w:val="0"/>
                <w:color w:val="F4711F" w:themeColor="accent4"/>
                <w:szCs w:val="20"/>
                <w:lang w:val="en-GB"/>
              </w:rPr>
            </w:pPr>
            <w:r w:rsidRPr="008E4FDF">
              <w:rPr>
                <w:rFonts w:cs="Arial"/>
                <w:b/>
                <w:bCs w:val="0"/>
                <w:color w:val="F4711F" w:themeColor="accent4"/>
                <w:szCs w:val="20"/>
                <w:lang w:val="en-GB"/>
              </w:rPr>
              <w:t>Key limitations</w:t>
            </w:r>
            <w:r w:rsidR="00FE2384" w:rsidRPr="008E4FDF">
              <w:rPr>
                <w:rFonts w:cs="Arial"/>
                <w:b/>
                <w:bCs w:val="0"/>
                <w:color w:val="F4711F" w:themeColor="accent4"/>
                <w:szCs w:val="20"/>
                <w:lang w:val="en-GB"/>
              </w:rPr>
              <w:t xml:space="preserve"> reported by authors</w:t>
            </w:r>
          </w:p>
        </w:tc>
      </w:tr>
      <w:tr w:rsidR="00BD7C28" w:rsidRPr="00D20C32" w14:paraId="55376939" w14:textId="77777777" w:rsidTr="000B6DFF">
        <w:tc>
          <w:tcPr>
            <w:tcW w:w="2970" w:type="dxa"/>
            <w:tcBorders>
              <w:bottom w:val="single" w:sz="4" w:space="0" w:color="auto"/>
            </w:tcBorders>
          </w:tcPr>
          <w:p w14:paraId="4B5014C8" w14:textId="77728BBB" w:rsidR="00BD7C28" w:rsidRPr="00D20C32" w:rsidRDefault="002845C1" w:rsidP="36216FC4">
            <w:pPr>
              <w:spacing w:before="120"/>
              <w:rPr>
                <w:rFonts w:cs="Arial"/>
                <w:lang w:val="en-GB"/>
              </w:rPr>
            </w:pPr>
            <w:r w:rsidRPr="00D20C32">
              <w:rPr>
                <w:rFonts w:cs="Arial"/>
                <w:lang w:val="en-GB"/>
              </w:rPr>
              <w:t xml:space="preserve">Nel </w:t>
            </w:r>
            <w:r w:rsidRPr="00D20C32">
              <w:rPr>
                <w:rFonts w:cs="Arial"/>
                <w:i/>
                <w:iCs/>
                <w:lang w:val="en-GB"/>
              </w:rPr>
              <w:t>et al</w:t>
            </w:r>
            <w:r w:rsidRPr="00D20C32">
              <w:rPr>
                <w:rFonts w:cs="Arial"/>
                <w:lang w:val="en-GB"/>
              </w:rPr>
              <w:t>.,</w:t>
            </w:r>
            <w:r w:rsidR="00BD7C28" w:rsidRPr="00D20C32">
              <w:rPr>
                <w:rStyle w:val="EndnoteReference"/>
                <w:rFonts w:cs="Arial"/>
                <w:lang w:val="en-GB"/>
              </w:rPr>
              <w:endnoteReference w:id="4"/>
            </w:r>
            <w:r w:rsidR="00BD7C28" w:rsidRPr="00D20C32">
              <w:rPr>
                <w:rFonts w:cs="Arial"/>
                <w:lang w:val="en-GB"/>
              </w:rPr>
              <w:t xml:space="preserve"> </w:t>
            </w:r>
            <w:r w:rsidR="00BF0994">
              <w:rPr>
                <w:rFonts w:cs="Arial"/>
                <w:lang w:val="en-GB"/>
              </w:rPr>
              <w:t xml:space="preserve">The </w:t>
            </w:r>
            <w:r w:rsidR="00BD7C28" w:rsidRPr="00D20C32">
              <w:rPr>
                <w:rFonts w:cs="Arial"/>
                <w:lang w:val="en-GB"/>
              </w:rPr>
              <w:t xml:space="preserve">Ring Study; South Africa &amp; Uganda; 1959 women ages 18–45 years </w:t>
            </w:r>
          </w:p>
        </w:tc>
        <w:tc>
          <w:tcPr>
            <w:tcW w:w="1350" w:type="dxa"/>
            <w:tcBorders>
              <w:bottom w:val="single" w:sz="4" w:space="0" w:color="auto"/>
            </w:tcBorders>
          </w:tcPr>
          <w:p w14:paraId="5A3A2CAC" w14:textId="7DA039A0" w:rsidR="00BD7C28" w:rsidRPr="00D20C32" w:rsidRDefault="1CE342E6" w:rsidP="36216FC4">
            <w:pPr>
              <w:spacing w:before="120"/>
              <w:rPr>
                <w:rFonts w:cs="Arial"/>
                <w:lang w:val="en-GB"/>
              </w:rPr>
            </w:pPr>
            <w:r w:rsidRPr="2104C340">
              <w:rPr>
                <w:rFonts w:cs="Arial"/>
                <w:lang w:val="en-GB"/>
              </w:rPr>
              <w:t>Placebo-controlled, double-blind randomi</w:t>
            </w:r>
            <w:r w:rsidR="07CB1CE9" w:rsidRPr="2104C340">
              <w:rPr>
                <w:rFonts w:cs="Arial"/>
                <w:lang w:val="en-GB"/>
              </w:rPr>
              <w:t>s</w:t>
            </w:r>
            <w:r w:rsidRPr="2104C340">
              <w:rPr>
                <w:rFonts w:cs="Arial"/>
                <w:lang w:val="en-GB"/>
              </w:rPr>
              <w:t>ed controlled trial (RCT) (Phase III)</w:t>
            </w:r>
          </w:p>
        </w:tc>
        <w:tc>
          <w:tcPr>
            <w:tcW w:w="3449" w:type="dxa"/>
            <w:tcBorders>
              <w:bottom w:val="single" w:sz="4" w:space="0" w:color="auto"/>
            </w:tcBorders>
          </w:tcPr>
          <w:p w14:paraId="2318C013" w14:textId="3F80ABA7" w:rsidR="00BD7C28" w:rsidRPr="00D20C32" w:rsidRDefault="1CE342E6" w:rsidP="36216FC4">
            <w:pPr>
              <w:spacing w:before="120"/>
              <w:rPr>
                <w:rFonts w:cs="Arial"/>
                <w:lang w:val="en-GB"/>
              </w:rPr>
            </w:pPr>
            <w:r w:rsidRPr="2104C340">
              <w:rPr>
                <w:rFonts w:cs="Arial"/>
                <w:lang w:val="en-GB"/>
              </w:rPr>
              <w:t>Serious adverse events were rare but more common in women randomi</w:t>
            </w:r>
            <w:r w:rsidR="779B054D" w:rsidRPr="2104C340">
              <w:rPr>
                <w:rFonts w:cs="Arial"/>
                <w:lang w:val="en-GB"/>
              </w:rPr>
              <w:t>s</w:t>
            </w:r>
            <w:r w:rsidRPr="2104C340">
              <w:rPr>
                <w:rFonts w:cs="Arial"/>
                <w:lang w:val="en-GB"/>
              </w:rPr>
              <w:t xml:space="preserve">ed to ring (2.9% vs. 0.9%), with no detected pattern. Rates of adverse events were similar between groups, and product-related events were rare (0.4% for ring and 0.3% for placebo) and mild. No significant differences were detected in </w:t>
            </w:r>
            <w:r w:rsidR="00D227CC">
              <w:rPr>
                <w:rFonts w:cs="Arial"/>
                <w:lang w:val="en-GB"/>
              </w:rPr>
              <w:t xml:space="preserve">rates of </w:t>
            </w:r>
            <w:r w:rsidRPr="2104C340">
              <w:rPr>
                <w:rFonts w:cs="Arial"/>
                <w:lang w:val="en-GB"/>
              </w:rPr>
              <w:t>non-</w:t>
            </w:r>
            <w:r w:rsidR="00D20C32" w:rsidRPr="2104C340">
              <w:rPr>
                <w:rFonts w:cs="Arial"/>
                <w:lang w:val="en-GB"/>
              </w:rPr>
              <w:t>nucleoside</w:t>
            </w:r>
            <w:r w:rsidRPr="2104C340">
              <w:rPr>
                <w:rFonts w:cs="Arial"/>
                <w:lang w:val="en-GB"/>
              </w:rPr>
              <w:t xml:space="preserve"> reverse transcriptase inhibitor (NNRTI) resistance mutation</w:t>
            </w:r>
            <w:r w:rsidR="7D9C970B" w:rsidRPr="2104C340">
              <w:rPr>
                <w:rFonts w:cs="Arial"/>
                <w:lang w:val="en-GB"/>
              </w:rPr>
              <w:t xml:space="preserve"> </w:t>
            </w:r>
            <w:r w:rsidRPr="2104C340">
              <w:rPr>
                <w:rFonts w:cs="Arial"/>
                <w:lang w:val="en-GB"/>
              </w:rPr>
              <w:t>among women with new infections.</w:t>
            </w:r>
          </w:p>
        </w:tc>
        <w:tc>
          <w:tcPr>
            <w:tcW w:w="2311" w:type="dxa"/>
            <w:tcBorders>
              <w:bottom w:val="single" w:sz="4" w:space="0" w:color="auto"/>
            </w:tcBorders>
          </w:tcPr>
          <w:p w14:paraId="078D6A94" w14:textId="05E968C6" w:rsidR="00BD7C28" w:rsidRPr="00D20C32" w:rsidRDefault="00BD7C28" w:rsidP="36216FC4">
            <w:pPr>
              <w:spacing w:before="120"/>
              <w:rPr>
                <w:rFonts w:cs="Arial"/>
                <w:lang w:val="en-GB"/>
              </w:rPr>
            </w:pPr>
            <w:r w:rsidRPr="00D20C32">
              <w:rPr>
                <w:rFonts w:cs="Arial"/>
                <w:lang w:val="en-GB"/>
              </w:rPr>
              <w:t xml:space="preserve">Women receiving the ring had a 31% lower incidence of HIV infection (4.1 vs. 6.1 infections/100 person-years [p-y]); there was no significant difference in efficacy for women &lt;21 years compared to those </w:t>
            </w:r>
            <w:r w:rsidRPr="00D20C32">
              <w:rPr>
                <w:rFonts w:cs="Arial"/>
                <w:u w:val="single"/>
                <w:lang w:val="en-GB"/>
              </w:rPr>
              <w:t>&gt;</w:t>
            </w:r>
            <w:r w:rsidRPr="00D20C32">
              <w:rPr>
                <w:rFonts w:cs="Arial"/>
                <w:lang w:val="en-GB"/>
              </w:rPr>
              <w:t>21 years.</w:t>
            </w:r>
          </w:p>
        </w:tc>
        <w:tc>
          <w:tcPr>
            <w:tcW w:w="4320" w:type="dxa"/>
            <w:tcBorders>
              <w:bottom w:val="single" w:sz="4" w:space="0" w:color="auto"/>
            </w:tcBorders>
          </w:tcPr>
          <w:p w14:paraId="04D0B188" w14:textId="0A0B7DB8" w:rsidR="00BD7C28" w:rsidRPr="00D20C32" w:rsidRDefault="1CE342E6" w:rsidP="36216FC4">
            <w:pPr>
              <w:spacing w:before="120"/>
              <w:rPr>
                <w:rFonts w:cs="Arial"/>
                <w:lang w:val="en-GB"/>
              </w:rPr>
            </w:pPr>
            <w:r w:rsidRPr="2104C340">
              <w:rPr>
                <w:rFonts w:cs="Arial"/>
                <w:lang w:val="en-GB"/>
              </w:rPr>
              <w:t>Limitations include the lack of standardi</w:t>
            </w:r>
            <w:r w:rsidR="0ED66361" w:rsidRPr="2104C340">
              <w:rPr>
                <w:rFonts w:cs="Arial"/>
                <w:lang w:val="en-GB"/>
              </w:rPr>
              <w:t>s</w:t>
            </w:r>
            <w:r w:rsidRPr="2104C340">
              <w:rPr>
                <w:rFonts w:cs="Arial"/>
                <w:lang w:val="en-GB"/>
              </w:rPr>
              <w:t xml:space="preserve">ed criteria for measuring ring </w:t>
            </w:r>
            <w:r w:rsidR="00B4791B">
              <w:rPr>
                <w:rFonts w:cs="Arial"/>
                <w:lang w:val="en-GB"/>
              </w:rPr>
              <w:t>us</w:t>
            </w:r>
            <w:r w:rsidRPr="2104C340">
              <w:rPr>
                <w:rFonts w:cs="Arial"/>
                <w:lang w:val="en-GB"/>
              </w:rPr>
              <w:t xml:space="preserve">e based on </w:t>
            </w:r>
            <w:proofErr w:type="spellStart"/>
            <w:r w:rsidRPr="2104C340">
              <w:rPr>
                <w:rFonts w:cs="Arial"/>
                <w:lang w:val="en-GB"/>
              </w:rPr>
              <w:t>dapivirine</w:t>
            </w:r>
            <w:proofErr w:type="spellEnd"/>
            <w:r w:rsidRPr="2104C340">
              <w:rPr>
                <w:rFonts w:cs="Arial"/>
                <w:lang w:val="en-GB"/>
              </w:rPr>
              <w:t xml:space="preserve"> concentrations.</w:t>
            </w:r>
          </w:p>
        </w:tc>
      </w:tr>
      <w:tr w:rsidR="009754D5" w:rsidRPr="00D20C32" w14:paraId="61BF985E" w14:textId="77777777" w:rsidTr="000B6DFF">
        <w:tc>
          <w:tcPr>
            <w:tcW w:w="2970" w:type="dxa"/>
            <w:tcBorders>
              <w:bottom w:val="single" w:sz="4" w:space="0" w:color="auto"/>
            </w:tcBorders>
            <w:shd w:val="clear" w:color="auto" w:fill="auto"/>
          </w:tcPr>
          <w:p w14:paraId="49CCA019" w14:textId="251BCAB9" w:rsidR="009754D5" w:rsidRPr="00D20C32" w:rsidRDefault="00BD7C28" w:rsidP="36216FC4">
            <w:pPr>
              <w:spacing w:before="120"/>
              <w:rPr>
                <w:rFonts w:cs="Arial"/>
                <w:lang w:val="en-GB"/>
              </w:rPr>
            </w:pPr>
            <w:r w:rsidRPr="00D20C32">
              <w:rPr>
                <w:rFonts w:cs="Arial"/>
                <w:lang w:val="en-GB"/>
              </w:rPr>
              <w:t xml:space="preserve">Baeten </w:t>
            </w:r>
            <w:r w:rsidRPr="00D20C32">
              <w:rPr>
                <w:rFonts w:cs="Arial"/>
                <w:i/>
                <w:iCs/>
                <w:lang w:val="en-GB"/>
              </w:rPr>
              <w:t>et al</w:t>
            </w:r>
            <w:r w:rsidRPr="00D20C32">
              <w:rPr>
                <w:rFonts w:cs="Arial"/>
                <w:lang w:val="en-GB"/>
              </w:rPr>
              <w:t>.,</w:t>
            </w:r>
            <w:r w:rsidRPr="00D20C32">
              <w:rPr>
                <w:rStyle w:val="EndnoteReference"/>
                <w:rFonts w:cs="Arial"/>
                <w:lang w:val="en-GB"/>
              </w:rPr>
              <w:endnoteReference w:id="5"/>
            </w:r>
            <w:r w:rsidRPr="00D20C32">
              <w:rPr>
                <w:rFonts w:cs="Arial"/>
                <w:lang w:val="en-GB"/>
              </w:rPr>
              <w:t xml:space="preserve"> </w:t>
            </w:r>
            <w:r w:rsidR="005A4F91" w:rsidRPr="00D20C32">
              <w:rPr>
                <w:rFonts w:cs="Arial"/>
                <w:lang w:val="en-GB"/>
              </w:rPr>
              <w:t xml:space="preserve">ASPIRE trial; </w:t>
            </w:r>
            <w:r w:rsidR="007E61C6" w:rsidRPr="00D20C32">
              <w:rPr>
                <w:rFonts w:cs="Arial"/>
                <w:lang w:val="en-GB"/>
              </w:rPr>
              <w:t>Malawi, South Africa, Uganda, &amp; Zimbabwe; 2629 women age</w:t>
            </w:r>
            <w:r w:rsidR="00997A45" w:rsidRPr="00D20C32">
              <w:rPr>
                <w:rFonts w:cs="Arial"/>
                <w:lang w:val="en-GB"/>
              </w:rPr>
              <w:t>s</w:t>
            </w:r>
            <w:r w:rsidR="007E61C6" w:rsidRPr="00D20C32">
              <w:rPr>
                <w:rFonts w:cs="Arial"/>
                <w:lang w:val="en-GB"/>
              </w:rPr>
              <w:t xml:space="preserve"> 18–45 years</w:t>
            </w:r>
          </w:p>
        </w:tc>
        <w:tc>
          <w:tcPr>
            <w:tcW w:w="1350" w:type="dxa"/>
            <w:tcBorders>
              <w:bottom w:val="single" w:sz="4" w:space="0" w:color="auto"/>
            </w:tcBorders>
            <w:shd w:val="clear" w:color="auto" w:fill="auto"/>
          </w:tcPr>
          <w:p w14:paraId="4A26CA9B" w14:textId="63F3FBBF" w:rsidR="009754D5" w:rsidRPr="00D20C32" w:rsidRDefault="007E61C6" w:rsidP="36216FC4">
            <w:pPr>
              <w:spacing w:before="120"/>
              <w:rPr>
                <w:rFonts w:cs="Arial"/>
                <w:lang w:val="en-GB"/>
              </w:rPr>
            </w:pPr>
            <w:r w:rsidRPr="00D20C32">
              <w:rPr>
                <w:rFonts w:cs="Arial"/>
                <w:lang w:val="en-GB"/>
              </w:rPr>
              <w:t>Placebo-controlled</w:t>
            </w:r>
            <w:r w:rsidR="00997A45" w:rsidRPr="00D20C32">
              <w:rPr>
                <w:rFonts w:cs="Arial"/>
                <w:lang w:val="en-GB"/>
              </w:rPr>
              <w:t>,</w:t>
            </w:r>
            <w:r w:rsidRPr="00D20C32">
              <w:rPr>
                <w:rFonts w:cs="Arial"/>
                <w:lang w:val="en-GB"/>
              </w:rPr>
              <w:t xml:space="preserve"> double</w:t>
            </w:r>
            <w:r w:rsidR="00997A45" w:rsidRPr="00D20C32">
              <w:rPr>
                <w:rFonts w:cs="Arial"/>
                <w:lang w:val="en-GB"/>
              </w:rPr>
              <w:t>-</w:t>
            </w:r>
            <w:r w:rsidRPr="00D20C32">
              <w:rPr>
                <w:rFonts w:cs="Arial"/>
                <w:lang w:val="en-GB"/>
              </w:rPr>
              <w:t>blind RCT (Phase III)</w:t>
            </w:r>
          </w:p>
        </w:tc>
        <w:tc>
          <w:tcPr>
            <w:tcW w:w="3449" w:type="dxa"/>
            <w:tcBorders>
              <w:bottom w:val="single" w:sz="4" w:space="0" w:color="auto"/>
            </w:tcBorders>
            <w:shd w:val="clear" w:color="auto" w:fill="auto"/>
          </w:tcPr>
          <w:p w14:paraId="653ADEC2" w14:textId="4FA7E81D" w:rsidR="009754D5" w:rsidRPr="00D20C32" w:rsidRDefault="007E61C6" w:rsidP="36216FC4">
            <w:pPr>
              <w:spacing w:before="120"/>
              <w:rPr>
                <w:rFonts w:cs="Arial"/>
                <w:lang w:val="en-GB"/>
              </w:rPr>
            </w:pPr>
            <w:r w:rsidRPr="00D20C32">
              <w:rPr>
                <w:rFonts w:cs="Arial"/>
                <w:lang w:val="en-GB"/>
              </w:rPr>
              <w:t>Rates of serious adverse events</w:t>
            </w:r>
            <w:r w:rsidR="00997A45" w:rsidRPr="00D20C32">
              <w:rPr>
                <w:rFonts w:cs="Arial"/>
                <w:lang w:val="en-GB"/>
              </w:rPr>
              <w:t>,</w:t>
            </w:r>
            <w:r w:rsidRPr="00D20C32">
              <w:rPr>
                <w:rFonts w:cs="Arial"/>
                <w:lang w:val="en-GB"/>
              </w:rPr>
              <w:t xml:space="preserve"> adverse events overall, and NNRTI resistance in women with new HIV </w:t>
            </w:r>
            <w:r w:rsidR="006C4C93" w:rsidRPr="00D20C32">
              <w:rPr>
                <w:rFonts w:cs="Arial"/>
                <w:lang w:val="en-GB"/>
              </w:rPr>
              <w:t xml:space="preserve">seroconversions </w:t>
            </w:r>
            <w:r w:rsidRPr="00D20C32">
              <w:rPr>
                <w:rFonts w:cs="Arial"/>
                <w:lang w:val="en-GB"/>
              </w:rPr>
              <w:t xml:space="preserve">were similar between study arms. </w:t>
            </w:r>
          </w:p>
        </w:tc>
        <w:tc>
          <w:tcPr>
            <w:tcW w:w="2311" w:type="dxa"/>
            <w:tcBorders>
              <w:bottom w:val="single" w:sz="4" w:space="0" w:color="auto"/>
            </w:tcBorders>
            <w:shd w:val="clear" w:color="auto" w:fill="auto"/>
          </w:tcPr>
          <w:p w14:paraId="255E56F0" w14:textId="77777777" w:rsidR="009754D5" w:rsidRDefault="007E61C6" w:rsidP="36216FC4">
            <w:pPr>
              <w:spacing w:before="120"/>
              <w:rPr>
                <w:rFonts w:cs="Arial"/>
                <w:lang w:val="en-GB"/>
              </w:rPr>
            </w:pPr>
            <w:r w:rsidRPr="00D20C32">
              <w:rPr>
                <w:rFonts w:cs="Arial"/>
                <w:lang w:val="en-GB"/>
              </w:rPr>
              <w:t>Overall, women receiving</w:t>
            </w:r>
            <w:r w:rsidR="00997A45" w:rsidRPr="00D20C32">
              <w:rPr>
                <w:rFonts w:cs="Arial"/>
                <w:lang w:val="en-GB"/>
              </w:rPr>
              <w:t xml:space="preserve"> the</w:t>
            </w:r>
            <w:r w:rsidRPr="00D20C32">
              <w:rPr>
                <w:rFonts w:cs="Arial"/>
                <w:lang w:val="en-GB"/>
              </w:rPr>
              <w:t xml:space="preserve"> ring had </w:t>
            </w:r>
            <w:r w:rsidR="00997A45" w:rsidRPr="00D20C32">
              <w:rPr>
                <w:rFonts w:cs="Arial"/>
                <w:lang w:val="en-GB"/>
              </w:rPr>
              <w:t xml:space="preserve">a </w:t>
            </w:r>
            <w:r w:rsidRPr="00D20C32">
              <w:rPr>
                <w:rFonts w:cs="Arial"/>
                <w:lang w:val="en-GB"/>
              </w:rPr>
              <w:t xml:space="preserve">27% lower HIV incidence (3.3 vs. 4.5 infections/100 </w:t>
            </w:r>
            <w:r w:rsidR="00850B66" w:rsidRPr="00D20C32">
              <w:rPr>
                <w:rFonts w:cs="Arial"/>
                <w:lang w:val="en-GB"/>
              </w:rPr>
              <w:t>p-y</w:t>
            </w:r>
            <w:r w:rsidRPr="00D20C32">
              <w:rPr>
                <w:rFonts w:cs="Arial"/>
                <w:lang w:val="en-GB"/>
              </w:rPr>
              <w:t>); women age</w:t>
            </w:r>
            <w:r w:rsidR="00997A45" w:rsidRPr="00D20C32">
              <w:rPr>
                <w:rFonts w:cs="Arial"/>
                <w:lang w:val="en-GB"/>
              </w:rPr>
              <w:t>s</w:t>
            </w:r>
            <w:r w:rsidRPr="00D20C32">
              <w:rPr>
                <w:rFonts w:cs="Arial"/>
                <w:lang w:val="en-GB"/>
              </w:rPr>
              <w:t xml:space="preserve"> </w:t>
            </w:r>
            <w:r w:rsidR="00997A45" w:rsidRPr="00D20C32">
              <w:rPr>
                <w:rFonts w:cs="Arial"/>
                <w:lang w:val="en-GB"/>
              </w:rPr>
              <w:t>&gt;</w:t>
            </w:r>
            <w:r w:rsidRPr="00D20C32">
              <w:rPr>
                <w:rFonts w:cs="Arial"/>
                <w:lang w:val="en-GB"/>
              </w:rPr>
              <w:t xml:space="preserve">21 years had significantly higher (56%) protection compared to those </w:t>
            </w:r>
            <w:r w:rsidRPr="00D20C32">
              <w:rPr>
                <w:rFonts w:cs="Arial"/>
                <w:u w:val="single"/>
                <w:lang w:val="en-GB"/>
              </w:rPr>
              <w:t>&lt;</w:t>
            </w:r>
            <w:r w:rsidRPr="00D20C32">
              <w:rPr>
                <w:rFonts w:cs="Arial"/>
                <w:lang w:val="en-GB"/>
              </w:rPr>
              <w:t xml:space="preserve">21 years (27%), correlated to reduced adherence. </w:t>
            </w:r>
          </w:p>
          <w:p w14:paraId="5DA4FC26" w14:textId="77777777" w:rsidR="009F49AB" w:rsidRDefault="009F49AB" w:rsidP="36216FC4">
            <w:pPr>
              <w:spacing w:before="120"/>
              <w:rPr>
                <w:rFonts w:cs="Arial"/>
                <w:lang w:val="en-GB"/>
              </w:rPr>
            </w:pPr>
          </w:p>
          <w:p w14:paraId="1E80A25A" w14:textId="2F39F627" w:rsidR="009F49AB" w:rsidRPr="00D20C32" w:rsidRDefault="009F49AB" w:rsidP="36216FC4">
            <w:pPr>
              <w:spacing w:before="120"/>
              <w:rPr>
                <w:rFonts w:cs="Arial"/>
                <w:lang w:val="en-GB"/>
              </w:rPr>
            </w:pPr>
          </w:p>
        </w:tc>
        <w:tc>
          <w:tcPr>
            <w:tcW w:w="4320" w:type="dxa"/>
            <w:tcBorders>
              <w:bottom w:val="single" w:sz="4" w:space="0" w:color="auto"/>
            </w:tcBorders>
            <w:shd w:val="clear" w:color="auto" w:fill="auto"/>
          </w:tcPr>
          <w:p w14:paraId="279E1AE9" w14:textId="4C545533" w:rsidR="003D23CF" w:rsidRDefault="00B4791B" w:rsidP="36216FC4">
            <w:pPr>
              <w:spacing w:before="120"/>
              <w:rPr>
                <w:rFonts w:cs="Arial"/>
                <w:lang w:val="en-GB"/>
              </w:rPr>
            </w:pPr>
            <w:r>
              <w:rPr>
                <w:rFonts w:cs="Arial"/>
                <w:lang w:val="en-GB"/>
              </w:rPr>
              <w:t>R</w:t>
            </w:r>
            <w:r w:rsidR="00850B66" w:rsidRPr="00D20C32">
              <w:rPr>
                <w:rFonts w:cs="Arial"/>
                <w:lang w:val="en-GB"/>
              </w:rPr>
              <w:t xml:space="preserve">ing </w:t>
            </w:r>
            <w:r>
              <w:rPr>
                <w:rFonts w:cs="Arial"/>
                <w:lang w:val="en-GB"/>
              </w:rPr>
              <w:t>us</w:t>
            </w:r>
            <w:r w:rsidR="00850B66" w:rsidRPr="00D20C32">
              <w:rPr>
                <w:rFonts w:cs="Arial"/>
                <w:lang w:val="en-GB"/>
              </w:rPr>
              <w:t>e</w:t>
            </w:r>
            <w:r w:rsidR="007333FA" w:rsidRPr="00D20C32">
              <w:rPr>
                <w:rFonts w:cs="Arial"/>
                <w:lang w:val="en-GB"/>
              </w:rPr>
              <w:t xml:space="preserve"> as measured by plasma levels and residual drug in used rings may not have perfectly correlated with use patterns based on variability in both measures</w:t>
            </w:r>
          </w:p>
          <w:p w14:paraId="3E418DC1" w14:textId="77777777" w:rsidR="00981DA5" w:rsidRDefault="00981DA5" w:rsidP="36216FC4">
            <w:pPr>
              <w:spacing w:before="120"/>
              <w:rPr>
                <w:rFonts w:cs="Arial"/>
                <w:lang w:val="en-GB"/>
              </w:rPr>
            </w:pPr>
          </w:p>
          <w:p w14:paraId="263827CC" w14:textId="77777777" w:rsidR="00981DA5" w:rsidRDefault="00981DA5" w:rsidP="36216FC4">
            <w:pPr>
              <w:spacing w:before="120"/>
              <w:rPr>
                <w:rFonts w:cs="Arial"/>
                <w:lang w:val="en-GB"/>
              </w:rPr>
            </w:pPr>
          </w:p>
          <w:p w14:paraId="7936D6EA" w14:textId="77777777" w:rsidR="00981DA5" w:rsidRDefault="00981DA5" w:rsidP="36216FC4">
            <w:pPr>
              <w:spacing w:before="120"/>
              <w:rPr>
                <w:rFonts w:cs="Arial"/>
                <w:lang w:val="en-GB"/>
              </w:rPr>
            </w:pPr>
          </w:p>
          <w:p w14:paraId="7067D900" w14:textId="77777777" w:rsidR="00981DA5" w:rsidRDefault="00981DA5" w:rsidP="36216FC4">
            <w:pPr>
              <w:spacing w:before="120"/>
              <w:rPr>
                <w:rFonts w:cs="Arial"/>
                <w:lang w:val="en-GB"/>
              </w:rPr>
            </w:pPr>
          </w:p>
          <w:p w14:paraId="2CF706D2" w14:textId="77777777" w:rsidR="00981DA5" w:rsidRDefault="00981DA5" w:rsidP="36216FC4">
            <w:pPr>
              <w:spacing w:before="120"/>
              <w:rPr>
                <w:rFonts w:cs="Arial"/>
                <w:lang w:val="en-GB"/>
              </w:rPr>
            </w:pPr>
          </w:p>
          <w:p w14:paraId="4D3768E3" w14:textId="5AFCBD4D" w:rsidR="00981DA5" w:rsidRPr="00D20C32" w:rsidRDefault="00981DA5" w:rsidP="36216FC4">
            <w:pPr>
              <w:spacing w:before="120"/>
              <w:rPr>
                <w:rFonts w:cs="Arial"/>
                <w:lang w:val="en-GB"/>
              </w:rPr>
            </w:pPr>
          </w:p>
        </w:tc>
      </w:tr>
      <w:tr w:rsidR="002C4DF1" w:rsidRPr="00D20C32" w14:paraId="0D4BA8F6" w14:textId="77777777" w:rsidTr="000B6DFF">
        <w:tc>
          <w:tcPr>
            <w:tcW w:w="2970" w:type="dxa"/>
            <w:shd w:val="clear" w:color="auto" w:fill="FCE2D2" w:themeFill="accent4" w:themeFillTint="33"/>
          </w:tcPr>
          <w:p w14:paraId="79115A5D" w14:textId="77777777" w:rsidR="003D23CF" w:rsidRPr="008E4FDF" w:rsidRDefault="003D23CF" w:rsidP="007E1E1B">
            <w:pPr>
              <w:spacing w:before="120"/>
              <w:rPr>
                <w:rFonts w:cs="Arial"/>
                <w:b/>
                <w:bCs w:val="0"/>
                <w:color w:val="F4711F" w:themeColor="accent4"/>
                <w:szCs w:val="20"/>
                <w:lang w:val="en-GB"/>
              </w:rPr>
            </w:pPr>
            <w:r w:rsidRPr="008E4FDF">
              <w:rPr>
                <w:rFonts w:cs="Arial"/>
                <w:b/>
                <w:bCs w:val="0"/>
                <w:color w:val="F4711F" w:themeColor="accent4"/>
                <w:szCs w:val="20"/>
                <w:lang w:val="en-GB"/>
              </w:rPr>
              <w:lastRenderedPageBreak/>
              <w:t>Study lead author; name of study; sites; sample size</w:t>
            </w:r>
          </w:p>
        </w:tc>
        <w:tc>
          <w:tcPr>
            <w:tcW w:w="1350" w:type="dxa"/>
            <w:shd w:val="clear" w:color="auto" w:fill="FCE2D2" w:themeFill="accent4" w:themeFillTint="33"/>
          </w:tcPr>
          <w:p w14:paraId="29C4988C" w14:textId="77777777" w:rsidR="003D23CF" w:rsidRPr="008E4FDF" w:rsidRDefault="003D23CF" w:rsidP="007E1E1B">
            <w:pPr>
              <w:spacing w:before="120"/>
              <w:rPr>
                <w:rFonts w:cs="Arial"/>
                <w:b/>
                <w:bCs w:val="0"/>
                <w:color w:val="F4711F" w:themeColor="accent4"/>
                <w:szCs w:val="20"/>
                <w:lang w:val="en-GB"/>
              </w:rPr>
            </w:pPr>
            <w:r w:rsidRPr="008E4FDF">
              <w:rPr>
                <w:rFonts w:cs="Arial"/>
                <w:b/>
                <w:bCs w:val="0"/>
                <w:color w:val="F4711F" w:themeColor="accent4"/>
                <w:szCs w:val="20"/>
                <w:lang w:val="en-GB"/>
              </w:rPr>
              <w:t>Study design</w:t>
            </w:r>
          </w:p>
        </w:tc>
        <w:tc>
          <w:tcPr>
            <w:tcW w:w="3449" w:type="dxa"/>
            <w:shd w:val="clear" w:color="auto" w:fill="FCE2D2" w:themeFill="accent4" w:themeFillTint="33"/>
          </w:tcPr>
          <w:p w14:paraId="761D08F3" w14:textId="77777777" w:rsidR="003D23CF" w:rsidRPr="008E4FDF" w:rsidRDefault="003D23CF" w:rsidP="007E1E1B">
            <w:pPr>
              <w:spacing w:before="120"/>
              <w:rPr>
                <w:rFonts w:cs="Arial"/>
                <w:b/>
                <w:bCs w:val="0"/>
                <w:color w:val="F4711F" w:themeColor="accent4"/>
                <w:szCs w:val="20"/>
                <w:lang w:val="en-GB"/>
              </w:rPr>
            </w:pPr>
            <w:r w:rsidRPr="008E4FDF">
              <w:rPr>
                <w:rFonts w:cs="Arial"/>
                <w:b/>
                <w:bCs w:val="0"/>
                <w:color w:val="F4711F" w:themeColor="accent4"/>
                <w:szCs w:val="20"/>
                <w:lang w:val="en-GB"/>
              </w:rPr>
              <w:t>Main safety finding(s)</w:t>
            </w:r>
          </w:p>
        </w:tc>
        <w:tc>
          <w:tcPr>
            <w:tcW w:w="2311" w:type="dxa"/>
            <w:shd w:val="clear" w:color="auto" w:fill="FCE2D2" w:themeFill="accent4" w:themeFillTint="33"/>
          </w:tcPr>
          <w:p w14:paraId="52ED472A" w14:textId="77777777" w:rsidR="003D23CF" w:rsidRPr="008E4FDF" w:rsidRDefault="003D23CF" w:rsidP="007E1E1B">
            <w:pPr>
              <w:spacing w:before="120"/>
              <w:rPr>
                <w:rFonts w:cs="Arial"/>
                <w:b/>
                <w:bCs w:val="0"/>
                <w:color w:val="F4711F" w:themeColor="accent4"/>
                <w:szCs w:val="20"/>
                <w:lang w:val="en-GB"/>
              </w:rPr>
            </w:pPr>
            <w:r w:rsidRPr="008E4FDF">
              <w:rPr>
                <w:rFonts w:cs="Arial"/>
                <w:b/>
                <w:bCs w:val="0"/>
                <w:color w:val="F4711F" w:themeColor="accent4"/>
                <w:szCs w:val="20"/>
                <w:lang w:val="en-GB"/>
              </w:rPr>
              <w:t>Main effectiveness finding(s)</w:t>
            </w:r>
          </w:p>
        </w:tc>
        <w:tc>
          <w:tcPr>
            <w:tcW w:w="4320" w:type="dxa"/>
            <w:shd w:val="clear" w:color="auto" w:fill="FCE2D2" w:themeFill="accent4" w:themeFillTint="33"/>
          </w:tcPr>
          <w:p w14:paraId="73CFFDE1" w14:textId="77777777" w:rsidR="003D23CF" w:rsidRPr="008E4FDF" w:rsidRDefault="003D23CF" w:rsidP="007E1E1B">
            <w:pPr>
              <w:spacing w:before="120"/>
              <w:rPr>
                <w:rFonts w:cs="Arial"/>
                <w:b/>
                <w:bCs w:val="0"/>
                <w:color w:val="F4711F" w:themeColor="accent4"/>
                <w:szCs w:val="20"/>
                <w:lang w:val="en-GB"/>
              </w:rPr>
            </w:pPr>
            <w:r w:rsidRPr="008E4FDF">
              <w:rPr>
                <w:rFonts w:cs="Arial"/>
                <w:b/>
                <w:bCs w:val="0"/>
                <w:color w:val="F4711F" w:themeColor="accent4"/>
                <w:szCs w:val="20"/>
                <w:lang w:val="en-GB"/>
              </w:rPr>
              <w:t>Key limitations reported by authors</w:t>
            </w:r>
          </w:p>
        </w:tc>
      </w:tr>
      <w:tr w:rsidR="00BD7C28" w:rsidRPr="00D20C32" w14:paraId="7997FBBE" w14:textId="77777777" w:rsidTr="000B6DFF">
        <w:tc>
          <w:tcPr>
            <w:tcW w:w="2970" w:type="dxa"/>
            <w:tcBorders>
              <w:top w:val="single" w:sz="4" w:space="0" w:color="auto"/>
              <w:bottom w:val="single" w:sz="4" w:space="0" w:color="auto"/>
            </w:tcBorders>
          </w:tcPr>
          <w:p w14:paraId="0E452811" w14:textId="7F4289C7" w:rsidR="00BD7C28" w:rsidRPr="00D20C32" w:rsidRDefault="00850B66" w:rsidP="36216FC4">
            <w:pPr>
              <w:spacing w:before="120"/>
              <w:rPr>
                <w:rFonts w:cs="Arial"/>
                <w:lang w:val="en-GB"/>
              </w:rPr>
            </w:pPr>
            <w:r w:rsidRPr="00D20C32">
              <w:rPr>
                <w:rFonts w:cs="Arial"/>
                <w:lang w:val="en-GB"/>
              </w:rPr>
              <w:t xml:space="preserve">Nel </w:t>
            </w:r>
            <w:r w:rsidRPr="00D20C32">
              <w:rPr>
                <w:rFonts w:cs="Arial"/>
                <w:i/>
                <w:iCs/>
                <w:lang w:val="en-GB"/>
              </w:rPr>
              <w:t>et al</w:t>
            </w:r>
            <w:r w:rsidR="00D62B77" w:rsidRPr="00D20C32">
              <w:rPr>
                <w:rFonts w:cs="Arial"/>
                <w:i/>
                <w:iCs/>
                <w:lang w:val="en-GB"/>
              </w:rPr>
              <w:t>.</w:t>
            </w:r>
            <w:r w:rsidRPr="00D20C32">
              <w:rPr>
                <w:rFonts w:cs="Arial"/>
                <w:lang w:val="en-GB"/>
              </w:rPr>
              <w:t>,</w:t>
            </w:r>
            <w:r w:rsidR="00BD7C28" w:rsidRPr="00D20C32">
              <w:rPr>
                <w:rStyle w:val="EndnoteReference"/>
                <w:rFonts w:cs="Arial"/>
                <w:lang w:val="en-GB"/>
              </w:rPr>
              <w:endnoteReference w:id="6"/>
            </w:r>
            <w:r w:rsidR="00BD7C28" w:rsidRPr="00D20C32">
              <w:rPr>
                <w:rFonts w:cs="Arial"/>
                <w:lang w:val="en-GB"/>
              </w:rPr>
              <w:t xml:space="preserve"> DREAM open-label extension (OLE) study; South Africa &amp; Uganda; 941 women who had participated in The Ring Study</w:t>
            </w:r>
          </w:p>
        </w:tc>
        <w:tc>
          <w:tcPr>
            <w:tcW w:w="1350" w:type="dxa"/>
            <w:tcBorders>
              <w:top w:val="single" w:sz="4" w:space="0" w:color="auto"/>
              <w:bottom w:val="single" w:sz="4" w:space="0" w:color="auto"/>
            </w:tcBorders>
          </w:tcPr>
          <w:p w14:paraId="0E1EC675" w14:textId="08DDA07E" w:rsidR="00BD7C28" w:rsidRPr="00D20C32" w:rsidRDefault="00BD7C28" w:rsidP="36216FC4">
            <w:pPr>
              <w:spacing w:before="120"/>
              <w:rPr>
                <w:rFonts w:cs="Arial"/>
                <w:lang w:val="en-GB"/>
              </w:rPr>
            </w:pPr>
            <w:r w:rsidRPr="00D20C32">
              <w:rPr>
                <w:rFonts w:cs="Arial"/>
                <w:lang w:val="en-GB"/>
              </w:rPr>
              <w:t>OLE observational cohort</w:t>
            </w:r>
          </w:p>
        </w:tc>
        <w:tc>
          <w:tcPr>
            <w:tcW w:w="3449" w:type="dxa"/>
            <w:tcBorders>
              <w:top w:val="single" w:sz="4" w:space="0" w:color="auto"/>
              <w:bottom w:val="single" w:sz="4" w:space="0" w:color="auto"/>
            </w:tcBorders>
          </w:tcPr>
          <w:p w14:paraId="0DFFC9AB" w14:textId="308B93E8" w:rsidR="00BD7C28" w:rsidRPr="00D20C32" w:rsidRDefault="00BD7C28" w:rsidP="36216FC4">
            <w:pPr>
              <w:spacing w:before="120"/>
              <w:rPr>
                <w:rFonts w:cs="Arial"/>
                <w:lang w:val="en-GB"/>
              </w:rPr>
            </w:pPr>
            <w:r w:rsidRPr="00D20C32">
              <w:rPr>
                <w:rFonts w:cs="Arial"/>
                <w:lang w:val="en-GB"/>
              </w:rPr>
              <w:t xml:space="preserve">Serious adverse events (2.1%) and product-related adverse events (0.6%) were rare. </w:t>
            </w:r>
            <w:r w:rsidR="00D20C32" w:rsidRPr="00D20C32">
              <w:rPr>
                <w:rFonts w:cs="Arial"/>
                <w:lang w:val="en-GB"/>
              </w:rPr>
              <w:t>Serious adverse events</w:t>
            </w:r>
            <w:r w:rsidRPr="00D20C32">
              <w:rPr>
                <w:rFonts w:cs="Arial"/>
                <w:lang w:val="en-GB"/>
              </w:rPr>
              <w:t xml:space="preserve"> were not deemed product-related and adverse events related to product use were mild, such as vaginal itching. NNRTI resistance was detected among 29% of those seroconverting.</w:t>
            </w:r>
          </w:p>
        </w:tc>
        <w:tc>
          <w:tcPr>
            <w:tcW w:w="2311" w:type="dxa"/>
            <w:tcBorders>
              <w:top w:val="single" w:sz="4" w:space="0" w:color="auto"/>
              <w:bottom w:val="single" w:sz="4" w:space="0" w:color="auto"/>
            </w:tcBorders>
          </w:tcPr>
          <w:p w14:paraId="28E865C9" w14:textId="3F38DC2A" w:rsidR="00BD7C28" w:rsidRPr="00D20C32" w:rsidRDefault="00BD7C28" w:rsidP="36216FC4">
            <w:pPr>
              <w:spacing w:before="120"/>
              <w:rPr>
                <w:rFonts w:cs="Arial"/>
                <w:lang w:val="en-GB"/>
              </w:rPr>
            </w:pPr>
            <w:r w:rsidRPr="00D20C32">
              <w:rPr>
                <w:rFonts w:cs="Arial"/>
                <w:lang w:val="en-GB"/>
              </w:rPr>
              <w:t xml:space="preserve">18 incident infections (1.8/100 p-y) were detected, with a </w:t>
            </w:r>
            <w:r w:rsidR="00D20C32" w:rsidRPr="00D20C32">
              <w:rPr>
                <w:rFonts w:cs="Arial"/>
                <w:lang w:val="en-GB"/>
              </w:rPr>
              <w:t>modelled</w:t>
            </w:r>
            <w:r w:rsidRPr="00D20C32">
              <w:rPr>
                <w:rFonts w:cs="Arial"/>
                <w:lang w:val="en-GB"/>
              </w:rPr>
              <w:t xml:space="preserve"> 62% lower infection rate than the simulated placebo rate.  </w:t>
            </w:r>
          </w:p>
        </w:tc>
        <w:tc>
          <w:tcPr>
            <w:tcW w:w="4320" w:type="dxa"/>
            <w:tcBorders>
              <w:top w:val="single" w:sz="4" w:space="0" w:color="auto"/>
              <w:bottom w:val="single" w:sz="4" w:space="0" w:color="auto"/>
            </w:tcBorders>
          </w:tcPr>
          <w:p w14:paraId="4DB02569" w14:textId="0637121A" w:rsidR="00BD7C28" w:rsidRPr="00D20C32" w:rsidRDefault="00BD7C28" w:rsidP="36216FC4">
            <w:pPr>
              <w:spacing w:before="120"/>
              <w:rPr>
                <w:rFonts w:cs="Arial"/>
                <w:lang w:val="en-GB"/>
              </w:rPr>
            </w:pPr>
            <w:r w:rsidRPr="00D20C32">
              <w:rPr>
                <w:rFonts w:cs="Arial"/>
                <w:lang w:val="en-GB"/>
              </w:rPr>
              <w:t xml:space="preserve">Lack of a placebo group and the time lag between parent trial and OLE with differences in background HIV incidence rates may have affected placebo estimates. </w:t>
            </w:r>
            <w:r w:rsidR="009F49AB">
              <w:rPr>
                <w:rFonts w:cs="Arial"/>
                <w:lang w:val="en-GB"/>
              </w:rPr>
              <w:t>Another limitation is p</w:t>
            </w:r>
            <w:r w:rsidRPr="00D20C32">
              <w:rPr>
                <w:rFonts w:cs="Arial"/>
                <w:lang w:val="en-GB"/>
              </w:rPr>
              <w:t>ossible selection bias of having only participants who remained HIV-negative in the parent trial, as they were older and had lower rates of sexually transmitted infection</w:t>
            </w:r>
            <w:r w:rsidR="009F49AB">
              <w:rPr>
                <w:rFonts w:cs="Arial"/>
                <w:lang w:val="en-GB"/>
              </w:rPr>
              <w:t>.</w:t>
            </w:r>
          </w:p>
        </w:tc>
      </w:tr>
      <w:tr w:rsidR="009754D5" w:rsidRPr="00D20C32" w14:paraId="0C8710E8" w14:textId="77777777" w:rsidTr="000B6DFF">
        <w:tc>
          <w:tcPr>
            <w:tcW w:w="2970" w:type="dxa"/>
            <w:shd w:val="clear" w:color="auto" w:fill="auto"/>
          </w:tcPr>
          <w:p w14:paraId="43E26665" w14:textId="67E9F310" w:rsidR="009754D5" w:rsidRPr="00D20C32" w:rsidRDefault="00BD7C28" w:rsidP="36216FC4">
            <w:pPr>
              <w:spacing w:before="120"/>
              <w:rPr>
                <w:rFonts w:cs="Arial"/>
                <w:lang w:val="en-GB"/>
              </w:rPr>
            </w:pPr>
            <w:r w:rsidRPr="00D20C32">
              <w:rPr>
                <w:rFonts w:cs="Arial"/>
                <w:lang w:val="en-GB"/>
              </w:rPr>
              <w:t xml:space="preserve">Baeten </w:t>
            </w:r>
            <w:r w:rsidRPr="00D20C32">
              <w:rPr>
                <w:rFonts w:cs="Arial"/>
                <w:i/>
                <w:iCs/>
                <w:lang w:val="en-GB"/>
              </w:rPr>
              <w:t>et al</w:t>
            </w:r>
            <w:r w:rsidRPr="00D20C32">
              <w:rPr>
                <w:rFonts w:cs="Arial"/>
                <w:lang w:val="en-GB"/>
              </w:rPr>
              <w:t>.,</w:t>
            </w:r>
            <w:r w:rsidRPr="00D20C32">
              <w:rPr>
                <w:rStyle w:val="EndnoteReference"/>
                <w:rFonts w:cs="Arial"/>
                <w:lang w:val="en-GB"/>
              </w:rPr>
              <w:endnoteReference w:id="7"/>
            </w:r>
            <w:r w:rsidRPr="00D20C32">
              <w:rPr>
                <w:rFonts w:cs="Arial"/>
                <w:lang w:val="en-GB"/>
              </w:rPr>
              <w:t xml:space="preserve"> </w:t>
            </w:r>
            <w:r w:rsidR="007333FA" w:rsidRPr="00D20C32">
              <w:rPr>
                <w:rFonts w:cs="Arial"/>
                <w:lang w:val="en-GB"/>
              </w:rPr>
              <w:t xml:space="preserve">HOPE OLE; </w:t>
            </w:r>
            <w:r w:rsidR="0011364D" w:rsidRPr="00D20C32">
              <w:rPr>
                <w:rFonts w:cs="Arial"/>
                <w:lang w:val="en-GB"/>
              </w:rPr>
              <w:t>Malawi, South Africa, Uganda, &amp; Zimbabwe; 1456 women participating in the ASPIRE trial</w:t>
            </w:r>
          </w:p>
        </w:tc>
        <w:tc>
          <w:tcPr>
            <w:tcW w:w="1350" w:type="dxa"/>
            <w:shd w:val="clear" w:color="auto" w:fill="auto"/>
          </w:tcPr>
          <w:p w14:paraId="5F7EFEFD" w14:textId="00BEE244" w:rsidR="009754D5" w:rsidRPr="00D20C32" w:rsidRDefault="0011364D" w:rsidP="36216FC4">
            <w:pPr>
              <w:spacing w:before="120"/>
              <w:rPr>
                <w:rFonts w:cs="Arial"/>
                <w:lang w:val="en-GB"/>
              </w:rPr>
            </w:pPr>
            <w:r w:rsidRPr="00D20C32">
              <w:rPr>
                <w:rFonts w:cs="Arial"/>
                <w:lang w:val="en-GB"/>
              </w:rPr>
              <w:t>OLE observational cohort</w:t>
            </w:r>
          </w:p>
        </w:tc>
        <w:tc>
          <w:tcPr>
            <w:tcW w:w="3449" w:type="dxa"/>
            <w:shd w:val="clear" w:color="auto" w:fill="auto"/>
          </w:tcPr>
          <w:p w14:paraId="260928FF" w14:textId="09BE1BCE" w:rsidR="009754D5" w:rsidRPr="00D20C32" w:rsidRDefault="0011364D" w:rsidP="36216FC4">
            <w:pPr>
              <w:spacing w:before="120"/>
              <w:rPr>
                <w:rFonts w:cs="Arial"/>
                <w:lang w:val="en-GB"/>
              </w:rPr>
            </w:pPr>
            <w:r w:rsidRPr="00D20C32">
              <w:rPr>
                <w:rFonts w:cs="Arial"/>
                <w:lang w:val="en-GB"/>
              </w:rPr>
              <w:t>22 serious adverse events occurred</w:t>
            </w:r>
            <w:r w:rsidR="006C4C93" w:rsidRPr="00D20C32">
              <w:rPr>
                <w:rFonts w:cs="Arial"/>
                <w:lang w:val="en-GB"/>
              </w:rPr>
              <w:t>,</w:t>
            </w:r>
            <w:r w:rsidRPr="00D20C32">
              <w:rPr>
                <w:rFonts w:cs="Arial"/>
                <w:lang w:val="en-GB"/>
              </w:rPr>
              <w:t xml:space="preserve"> with none deemed related to product use. Two adverse events were related to product use (abdominal pain and pelvic pain with ring insertion) and were graded as mild in nature. </w:t>
            </w:r>
            <w:r w:rsidR="00632796" w:rsidRPr="00D20C32">
              <w:rPr>
                <w:rFonts w:cs="Arial"/>
                <w:lang w:val="en-GB"/>
              </w:rPr>
              <w:t xml:space="preserve">Seven women seroconverting had NNRTI resistance mutations that differed, suggesting no distinct pattern related to </w:t>
            </w:r>
            <w:proofErr w:type="spellStart"/>
            <w:r w:rsidR="00632796" w:rsidRPr="00D20C32">
              <w:rPr>
                <w:rFonts w:cs="Arial"/>
                <w:lang w:val="en-GB"/>
              </w:rPr>
              <w:t>dapivirine</w:t>
            </w:r>
            <w:proofErr w:type="spellEnd"/>
            <w:r w:rsidR="00632796" w:rsidRPr="00D20C32">
              <w:rPr>
                <w:rFonts w:cs="Arial"/>
                <w:lang w:val="en-GB"/>
              </w:rPr>
              <w:t>.</w:t>
            </w:r>
          </w:p>
        </w:tc>
        <w:tc>
          <w:tcPr>
            <w:tcW w:w="2311" w:type="dxa"/>
            <w:shd w:val="clear" w:color="auto" w:fill="auto"/>
          </w:tcPr>
          <w:p w14:paraId="4876867E" w14:textId="126BD951" w:rsidR="009754D5" w:rsidRPr="00DA2B08" w:rsidRDefault="0011364D" w:rsidP="36216FC4">
            <w:pPr>
              <w:spacing w:before="120"/>
              <w:rPr>
                <w:rFonts w:cs="Arial"/>
                <w:szCs w:val="20"/>
                <w:lang w:val="en-GB"/>
              </w:rPr>
            </w:pPr>
            <w:r w:rsidRPr="00DA2B08">
              <w:rPr>
                <w:rFonts w:cs="Arial"/>
                <w:szCs w:val="20"/>
                <w:lang w:val="en-GB"/>
              </w:rPr>
              <w:t xml:space="preserve">35 incident infections (2.7/100 p-y) were detected, with a </w:t>
            </w:r>
            <w:r w:rsidR="00D20C32" w:rsidRPr="00DA2B08">
              <w:rPr>
                <w:rFonts w:cs="Arial"/>
                <w:szCs w:val="20"/>
                <w:lang w:val="en-GB"/>
              </w:rPr>
              <w:t>modelled</w:t>
            </w:r>
            <w:r w:rsidRPr="00DA2B08">
              <w:rPr>
                <w:rFonts w:cs="Arial"/>
                <w:szCs w:val="20"/>
                <w:lang w:val="en-GB"/>
              </w:rPr>
              <w:t xml:space="preserve"> 39% lower infection rate than predicted mean incidence rate of 4.4/100 p-y from parent trial. 89% of returned rings had </w:t>
            </w:r>
            <w:proofErr w:type="spellStart"/>
            <w:r w:rsidRPr="00DA2B08">
              <w:rPr>
                <w:rFonts w:cs="Arial"/>
                <w:szCs w:val="20"/>
                <w:lang w:val="en-GB"/>
              </w:rPr>
              <w:t>dapivirine</w:t>
            </w:r>
            <w:proofErr w:type="spellEnd"/>
            <w:r w:rsidRPr="00DA2B08">
              <w:rPr>
                <w:rFonts w:cs="Arial"/>
                <w:szCs w:val="20"/>
                <w:lang w:val="en-GB"/>
              </w:rPr>
              <w:t xml:space="preserve"> levels reflecting some degree of use and drug release</w:t>
            </w:r>
            <w:r w:rsidR="00D227CC" w:rsidRPr="00F83F14">
              <w:rPr>
                <w:rFonts w:cs="Arial"/>
                <w:szCs w:val="20"/>
                <w:lang w:val="en-GB"/>
              </w:rPr>
              <w:t>;</w:t>
            </w:r>
            <w:r w:rsidRPr="00DA2B08">
              <w:rPr>
                <w:rFonts w:cs="Arial"/>
                <w:szCs w:val="20"/>
                <w:lang w:val="en-GB"/>
              </w:rPr>
              <w:t xml:space="preserve"> 77% of par</w:t>
            </w:r>
            <w:r w:rsidR="00D227CC" w:rsidRPr="00F83F14">
              <w:rPr>
                <w:rFonts w:cs="Arial"/>
                <w:szCs w:val="20"/>
                <w:lang w:val="en-GB"/>
              </w:rPr>
              <w:softHyphen/>
            </w:r>
            <w:r w:rsidRPr="00DA2B08">
              <w:rPr>
                <w:rFonts w:cs="Arial"/>
                <w:szCs w:val="20"/>
                <w:lang w:val="en-GB"/>
              </w:rPr>
              <w:t>ticipants ha</w:t>
            </w:r>
            <w:r w:rsidR="00D227CC" w:rsidRPr="00F83F14">
              <w:rPr>
                <w:rFonts w:cs="Arial"/>
                <w:szCs w:val="20"/>
                <w:lang w:val="en-GB"/>
              </w:rPr>
              <w:t>d</w:t>
            </w:r>
            <w:r w:rsidRPr="00DA2B08">
              <w:rPr>
                <w:rFonts w:cs="Arial"/>
                <w:szCs w:val="20"/>
                <w:lang w:val="en-GB"/>
              </w:rPr>
              <w:t xml:space="preserve"> evidence of use across each </w:t>
            </w:r>
            <w:r w:rsidR="00D227CC" w:rsidRPr="00F83F14">
              <w:rPr>
                <w:rFonts w:cs="Arial"/>
                <w:szCs w:val="20"/>
                <w:lang w:val="en-GB"/>
              </w:rPr>
              <w:t>3</w:t>
            </w:r>
            <w:r w:rsidRPr="00DA2B08">
              <w:rPr>
                <w:rFonts w:cs="Arial"/>
                <w:szCs w:val="20"/>
                <w:lang w:val="en-GB"/>
              </w:rPr>
              <w:t>-month period.</w:t>
            </w:r>
            <w:r w:rsidR="00632796" w:rsidRPr="00DA2B08">
              <w:rPr>
                <w:rFonts w:cs="Arial"/>
                <w:szCs w:val="20"/>
                <w:lang w:val="en-GB"/>
              </w:rPr>
              <w:t xml:space="preserve"> Ring acceptance and use rates in the OLE were higher than in the </w:t>
            </w:r>
            <w:r w:rsidR="00D227CC">
              <w:rPr>
                <w:rFonts w:cs="Arial"/>
                <w:szCs w:val="20"/>
                <w:lang w:val="en-GB"/>
              </w:rPr>
              <w:t>RCT</w:t>
            </w:r>
            <w:r w:rsidR="00632796" w:rsidRPr="00DA2B08">
              <w:rPr>
                <w:rFonts w:cs="Arial"/>
                <w:szCs w:val="20"/>
                <w:lang w:val="en-GB"/>
              </w:rPr>
              <w:t>.</w:t>
            </w:r>
          </w:p>
        </w:tc>
        <w:tc>
          <w:tcPr>
            <w:tcW w:w="4320" w:type="dxa"/>
            <w:shd w:val="clear" w:color="auto" w:fill="auto"/>
          </w:tcPr>
          <w:p w14:paraId="06127109" w14:textId="4E7CC560" w:rsidR="009754D5" w:rsidRPr="00D20C32" w:rsidRDefault="00632796" w:rsidP="36216FC4">
            <w:pPr>
              <w:spacing w:before="120"/>
              <w:rPr>
                <w:rFonts w:cs="Arial"/>
                <w:lang w:val="en-GB"/>
              </w:rPr>
            </w:pPr>
            <w:r w:rsidRPr="00D20C32">
              <w:rPr>
                <w:rFonts w:cs="Arial"/>
                <w:lang w:val="en-GB"/>
              </w:rPr>
              <w:t xml:space="preserve">Limitations included lack of </w:t>
            </w:r>
            <w:r w:rsidR="006C4C93" w:rsidRPr="00D20C32">
              <w:rPr>
                <w:rFonts w:cs="Arial"/>
                <w:lang w:val="en-GB"/>
              </w:rPr>
              <w:t xml:space="preserve">a </w:t>
            </w:r>
            <w:r w:rsidRPr="00D20C32">
              <w:rPr>
                <w:rFonts w:cs="Arial"/>
                <w:lang w:val="en-GB"/>
              </w:rPr>
              <w:t xml:space="preserve">placebo group, </w:t>
            </w:r>
            <w:r w:rsidR="00FE2384" w:rsidRPr="00D20C32">
              <w:rPr>
                <w:rFonts w:cs="Arial"/>
                <w:lang w:val="en-GB"/>
              </w:rPr>
              <w:t>quarterly follow-up limiting precision of estimates, low inclusion of women age</w:t>
            </w:r>
            <w:r w:rsidR="006C4C93" w:rsidRPr="00D20C32">
              <w:rPr>
                <w:rFonts w:cs="Arial"/>
                <w:lang w:val="en-GB"/>
              </w:rPr>
              <w:t>s</w:t>
            </w:r>
            <w:r w:rsidR="00FE2384" w:rsidRPr="00D20C32">
              <w:rPr>
                <w:rFonts w:cs="Arial"/>
                <w:lang w:val="en-GB"/>
              </w:rPr>
              <w:t xml:space="preserve"> 18</w:t>
            </w:r>
            <w:r w:rsidR="006C4C93" w:rsidRPr="00D20C32">
              <w:rPr>
                <w:rFonts w:cs="Arial"/>
                <w:lang w:val="en-GB"/>
              </w:rPr>
              <w:t>–</w:t>
            </w:r>
            <w:r w:rsidR="00FE2384" w:rsidRPr="00D20C32">
              <w:rPr>
                <w:rFonts w:cs="Arial"/>
                <w:lang w:val="en-GB"/>
              </w:rPr>
              <w:t>21 years,</w:t>
            </w:r>
            <w:r w:rsidR="00291009" w:rsidRPr="00D20C32">
              <w:rPr>
                <w:rFonts w:cs="Arial"/>
                <w:lang w:val="en-GB"/>
              </w:rPr>
              <w:t xml:space="preserve"> and greater </w:t>
            </w:r>
            <w:r w:rsidR="00FE2384" w:rsidRPr="00D20C32">
              <w:rPr>
                <w:rFonts w:cs="Arial"/>
                <w:lang w:val="en-GB"/>
              </w:rPr>
              <w:t xml:space="preserve">participant experience </w:t>
            </w:r>
            <w:r w:rsidR="00291009" w:rsidRPr="00D20C32">
              <w:rPr>
                <w:rFonts w:cs="Arial"/>
                <w:lang w:val="en-GB"/>
              </w:rPr>
              <w:t xml:space="preserve">and comfort </w:t>
            </w:r>
            <w:r w:rsidR="00FE2384" w:rsidRPr="00D20C32">
              <w:rPr>
                <w:rFonts w:cs="Arial"/>
                <w:lang w:val="en-GB"/>
              </w:rPr>
              <w:t>with ring us</w:t>
            </w:r>
            <w:r w:rsidR="00291009" w:rsidRPr="00D20C32">
              <w:rPr>
                <w:rFonts w:cs="Arial"/>
                <w:lang w:val="en-GB"/>
              </w:rPr>
              <w:t>e or</w:t>
            </w:r>
            <w:r w:rsidR="00FE2384" w:rsidRPr="00D20C32">
              <w:rPr>
                <w:rFonts w:cs="Arial"/>
                <w:lang w:val="en-GB"/>
              </w:rPr>
              <w:t xml:space="preserve"> lack of widely available oral PrEP as an alternative</w:t>
            </w:r>
            <w:r w:rsidR="00291009" w:rsidRPr="00D20C32">
              <w:rPr>
                <w:rFonts w:cs="Arial"/>
                <w:lang w:val="en-GB"/>
              </w:rPr>
              <w:t>,</w:t>
            </w:r>
            <w:r w:rsidR="00FE2384" w:rsidRPr="00D20C32">
              <w:rPr>
                <w:rFonts w:cs="Arial"/>
                <w:lang w:val="en-GB"/>
              </w:rPr>
              <w:t xml:space="preserve"> resulting in higher adherence rates</w:t>
            </w:r>
            <w:r w:rsidR="00ED3206" w:rsidRPr="00D20C32">
              <w:rPr>
                <w:rFonts w:cs="Arial"/>
                <w:lang w:val="en-GB"/>
              </w:rPr>
              <w:t>.</w:t>
            </w:r>
            <w:r w:rsidR="00FE2384" w:rsidRPr="00D20C32">
              <w:rPr>
                <w:rFonts w:cs="Arial"/>
                <w:lang w:val="en-GB"/>
              </w:rPr>
              <w:t xml:space="preserve">  </w:t>
            </w:r>
          </w:p>
        </w:tc>
      </w:tr>
    </w:tbl>
    <w:p w14:paraId="2257CBC2" w14:textId="77777777" w:rsidR="002845C1" w:rsidRPr="00D20C32" w:rsidRDefault="002845C1" w:rsidP="36216FC4">
      <w:pPr>
        <w:spacing w:before="120"/>
        <w:rPr>
          <w:rFonts w:cs="Arial"/>
          <w:lang w:val="en-GB"/>
        </w:rPr>
        <w:sectPr w:rsidR="002845C1" w:rsidRPr="00D20C32" w:rsidSect="00296221">
          <w:endnotePr>
            <w:numFmt w:val="decimal"/>
          </w:endnotePr>
          <w:pgSz w:w="15840" w:h="12240" w:orient="landscape" w:code="1"/>
          <w:pgMar w:top="1080" w:right="1440" w:bottom="1440" w:left="1440" w:header="144" w:footer="144" w:gutter="0"/>
          <w:cols w:space="720"/>
          <w:titlePg/>
          <w:docGrid w:linePitch="360"/>
        </w:sectPr>
      </w:pPr>
    </w:p>
    <w:p w14:paraId="5A80B08B" w14:textId="7C3DB651" w:rsidR="00002016" w:rsidRPr="00D20C32" w:rsidRDefault="002E4084" w:rsidP="36216FC4">
      <w:pPr>
        <w:spacing w:before="120"/>
        <w:rPr>
          <w:rFonts w:cs="Arial"/>
          <w:lang w:val="en-GB"/>
        </w:rPr>
      </w:pPr>
      <w:r w:rsidRPr="00D20C32">
        <w:rPr>
          <w:rFonts w:cs="Arial"/>
          <w:lang w:val="en-GB"/>
        </w:rPr>
        <w:lastRenderedPageBreak/>
        <w:t xml:space="preserve">The trials found higher HIV prevention efficacy of the </w:t>
      </w:r>
      <w:r w:rsidR="006274FB">
        <w:rPr>
          <w:rFonts w:cs="Arial"/>
          <w:lang w:val="en-GB"/>
        </w:rPr>
        <w:t>ring</w:t>
      </w:r>
      <w:r w:rsidR="006274FB" w:rsidRPr="00D20C32">
        <w:rPr>
          <w:rFonts w:cs="Arial"/>
          <w:lang w:val="en-GB"/>
        </w:rPr>
        <w:t xml:space="preserve"> </w:t>
      </w:r>
      <w:r w:rsidR="00002016" w:rsidRPr="00D20C32">
        <w:rPr>
          <w:rFonts w:cs="Arial"/>
          <w:lang w:val="en-GB"/>
        </w:rPr>
        <w:t>among</w:t>
      </w:r>
      <w:r w:rsidRPr="00D20C32">
        <w:rPr>
          <w:rFonts w:cs="Arial"/>
          <w:lang w:val="en-GB"/>
        </w:rPr>
        <w:t xml:space="preserve"> women who had greater drug release from their rings, reflecting </w:t>
      </w:r>
      <w:r w:rsidR="006D769D" w:rsidRPr="00D20C32">
        <w:rPr>
          <w:rFonts w:cs="Arial"/>
          <w:lang w:val="en-GB"/>
        </w:rPr>
        <w:t>more consistent use.</w:t>
      </w:r>
      <w:r w:rsidR="009F49AB">
        <w:rPr>
          <w:rStyle w:val="EndnoteReference"/>
          <w:rFonts w:cs="Arial"/>
          <w:lang w:val="en-GB"/>
        </w:rPr>
        <w:endnoteReference w:id="8"/>
      </w:r>
      <w:r w:rsidR="006D769D" w:rsidRPr="00D20C32">
        <w:rPr>
          <w:rFonts w:cs="Arial"/>
          <w:lang w:val="en-GB"/>
        </w:rPr>
        <w:t xml:space="preserve"> The open-label extension studies added data to support the association between consistent, correct </w:t>
      </w:r>
      <w:r w:rsidR="006274FB">
        <w:rPr>
          <w:rFonts w:cs="Arial"/>
          <w:lang w:val="en-GB"/>
        </w:rPr>
        <w:t>ring</w:t>
      </w:r>
      <w:r w:rsidR="006274FB" w:rsidRPr="00D20C32">
        <w:rPr>
          <w:rFonts w:cs="Arial"/>
          <w:lang w:val="en-GB"/>
        </w:rPr>
        <w:t xml:space="preserve"> </w:t>
      </w:r>
      <w:r w:rsidR="006D769D" w:rsidRPr="00D20C32">
        <w:rPr>
          <w:rFonts w:cs="Arial"/>
          <w:lang w:val="en-GB"/>
        </w:rPr>
        <w:t>use and lower HIV acquisition.</w:t>
      </w:r>
      <w:r w:rsidR="00314401">
        <w:rPr>
          <w:rFonts w:cs="Arial"/>
          <w:vertAlign w:val="superscript"/>
          <w:lang w:val="en-GB"/>
        </w:rPr>
        <w:t>5,6</w:t>
      </w:r>
      <w:r w:rsidRPr="00D20C32">
        <w:rPr>
          <w:rFonts w:cs="Arial"/>
          <w:lang w:val="en-GB"/>
        </w:rPr>
        <w:t xml:space="preserve"> </w:t>
      </w:r>
      <w:r w:rsidR="006D769D" w:rsidRPr="00D20C32">
        <w:rPr>
          <w:rFonts w:cs="Arial"/>
          <w:lang w:val="en-GB"/>
        </w:rPr>
        <w:t>All studies noted no</w:t>
      </w:r>
      <w:r w:rsidR="00B46648" w:rsidRPr="00D20C32">
        <w:rPr>
          <w:rFonts w:cs="Arial"/>
          <w:lang w:val="en-GB"/>
        </w:rPr>
        <w:t xml:space="preserve"> product-related severe adverse events. Less than 5</w:t>
      </w:r>
      <w:r w:rsidR="0066372D">
        <w:rPr>
          <w:rFonts w:cs="Arial"/>
          <w:lang w:val="en-GB"/>
        </w:rPr>
        <w:t xml:space="preserve"> percent</w:t>
      </w:r>
      <w:r w:rsidR="0066372D" w:rsidRPr="00D20C32">
        <w:rPr>
          <w:rFonts w:cs="Arial"/>
          <w:lang w:val="en-GB"/>
        </w:rPr>
        <w:t xml:space="preserve"> </w:t>
      </w:r>
      <w:r w:rsidR="00B46648" w:rsidRPr="00D20C32">
        <w:rPr>
          <w:rFonts w:cs="Arial"/>
          <w:lang w:val="en-GB"/>
        </w:rPr>
        <w:t>of women experienced side</w:t>
      </w:r>
      <w:r w:rsidR="00A13034" w:rsidRPr="00D20C32">
        <w:rPr>
          <w:rFonts w:cs="Arial"/>
          <w:lang w:val="en-GB"/>
        </w:rPr>
        <w:t xml:space="preserve"> </w:t>
      </w:r>
      <w:r w:rsidR="00B46648" w:rsidRPr="00D20C32">
        <w:rPr>
          <w:rFonts w:cs="Arial"/>
          <w:lang w:val="en-GB"/>
        </w:rPr>
        <w:t xml:space="preserve">effects related to ring use, which were </w:t>
      </w:r>
      <w:r w:rsidR="00002016" w:rsidRPr="00D20C32">
        <w:rPr>
          <w:rFonts w:cs="Arial"/>
          <w:lang w:val="en-GB"/>
        </w:rPr>
        <w:t>main</w:t>
      </w:r>
      <w:r w:rsidR="00B46648" w:rsidRPr="00D20C32">
        <w:rPr>
          <w:rFonts w:cs="Arial"/>
          <w:lang w:val="en-GB"/>
        </w:rPr>
        <w:t xml:space="preserve">ly </w:t>
      </w:r>
      <w:r w:rsidR="00291009" w:rsidRPr="00D20C32">
        <w:rPr>
          <w:rFonts w:cs="Arial"/>
          <w:lang w:val="en-GB"/>
        </w:rPr>
        <w:t>urinary tract infection</w:t>
      </w:r>
      <w:r w:rsidR="00BA6526">
        <w:rPr>
          <w:rFonts w:cs="Arial"/>
          <w:lang w:val="en-GB"/>
        </w:rPr>
        <w:t>s</w:t>
      </w:r>
      <w:r w:rsidR="00291009" w:rsidRPr="00D20C32">
        <w:rPr>
          <w:rFonts w:cs="Arial"/>
          <w:lang w:val="en-GB"/>
        </w:rPr>
        <w:t xml:space="preserve">, pelvic pain, and </w:t>
      </w:r>
      <w:r w:rsidR="00B46648" w:rsidRPr="00D20C32">
        <w:rPr>
          <w:rFonts w:cs="Arial"/>
          <w:lang w:val="en-GB"/>
        </w:rPr>
        <w:t>vaginal discharge or itching and resolved within a few weeks.</w:t>
      </w:r>
    </w:p>
    <w:p w14:paraId="3D105E23" w14:textId="77777777" w:rsidR="00634D0E" w:rsidRDefault="706A3FEB" w:rsidP="2104C340">
      <w:pPr>
        <w:spacing w:before="120"/>
        <w:rPr>
          <w:rFonts w:cs="Arial"/>
          <w:lang w:val="en-GB"/>
        </w:rPr>
      </w:pPr>
      <w:proofErr w:type="gramStart"/>
      <w:r w:rsidRPr="00D20C32">
        <w:rPr>
          <w:rFonts w:cs="Arial"/>
          <w:lang w:val="en-GB"/>
        </w:rPr>
        <w:t>In light of</w:t>
      </w:r>
      <w:proofErr w:type="gramEnd"/>
      <w:r w:rsidRPr="00D20C32">
        <w:rPr>
          <w:rFonts w:cs="Arial"/>
          <w:lang w:val="en-GB"/>
        </w:rPr>
        <w:t xml:space="preserve"> these data, the European Medicines Agency provided a positive scientific opinion in July 2020 supporting ring use for women at significant risk </w:t>
      </w:r>
      <w:r w:rsidR="0959EB37" w:rsidRPr="00D20C32">
        <w:rPr>
          <w:rFonts w:cs="Arial"/>
          <w:lang w:val="en-GB"/>
        </w:rPr>
        <w:t>o</w:t>
      </w:r>
      <w:r w:rsidRPr="00D20C32">
        <w:rPr>
          <w:rFonts w:cs="Arial"/>
          <w:lang w:val="en-GB"/>
        </w:rPr>
        <w:t xml:space="preserve">f HIV infection. In January 2021, the World Health Organization (WHO) recommended that the ring be offered as an additional prevention choice for women at substantial risk of HIV infection as part of combination prevention approaches, and the ring was included in the </w:t>
      </w:r>
      <w:r w:rsidR="60F8648E" w:rsidRPr="00D20C32">
        <w:rPr>
          <w:rFonts w:cs="Arial"/>
          <w:lang w:val="en-GB"/>
        </w:rPr>
        <w:t xml:space="preserve">revised WHO </w:t>
      </w:r>
      <w:r w:rsidR="60F8648E" w:rsidRPr="2104C340">
        <w:rPr>
          <w:rFonts w:eastAsia="Arial" w:cs="Arial"/>
          <w:szCs w:val="20"/>
          <w:lang w:val="en-GB"/>
        </w:rPr>
        <w:t>Consolidated HIV Guidelines for Prevention, Treatment, Service Delivery &amp; Monitoring</w:t>
      </w:r>
      <w:r w:rsidR="60F8648E" w:rsidRPr="00D20C32">
        <w:rPr>
          <w:rFonts w:cs="Arial"/>
          <w:lang w:val="en-GB"/>
        </w:rPr>
        <w:t xml:space="preserve"> </w:t>
      </w:r>
      <w:r w:rsidRPr="00D20C32">
        <w:rPr>
          <w:rFonts w:cs="Arial"/>
          <w:lang w:val="en-GB"/>
        </w:rPr>
        <w:t xml:space="preserve">released in </w:t>
      </w:r>
      <w:r w:rsidR="004E35F9">
        <w:rPr>
          <w:lang w:val="en-GB"/>
        </w:rPr>
        <w:t>July 2021</w:t>
      </w:r>
      <w:r w:rsidRPr="00D20C32">
        <w:rPr>
          <w:rFonts w:cs="Arial"/>
          <w:lang w:val="en-GB"/>
        </w:rPr>
        <w:t xml:space="preserve">. </w:t>
      </w:r>
    </w:p>
    <w:p w14:paraId="40E480E9" w14:textId="3221C7E7" w:rsidR="00C529CE" w:rsidRPr="00D20C32" w:rsidRDefault="792C6E2D" w:rsidP="2104C340">
      <w:pPr>
        <w:spacing w:before="120"/>
        <w:rPr>
          <w:rFonts w:eastAsia="DengXian" w:cs="Arial"/>
          <w:lang w:val="en-GB"/>
        </w:rPr>
      </w:pPr>
      <w:r w:rsidRPr="00D20C32">
        <w:rPr>
          <w:rFonts w:cs="Arial"/>
          <w:lang w:val="en-GB"/>
        </w:rPr>
        <w:t xml:space="preserve">The ring is currently approved for women 18 years and older </w:t>
      </w:r>
      <w:r w:rsidR="0959EB37" w:rsidRPr="00D20C32">
        <w:rPr>
          <w:rFonts w:cs="Arial"/>
          <w:lang w:val="en-GB"/>
        </w:rPr>
        <w:t>bec</w:t>
      </w:r>
      <w:r w:rsidRPr="00D20C32">
        <w:rPr>
          <w:rFonts w:cs="Arial"/>
          <w:lang w:val="en-GB"/>
        </w:rPr>
        <w:t>a</w:t>
      </w:r>
      <w:r w:rsidR="0959EB37" w:rsidRPr="00D20C32">
        <w:rPr>
          <w:rFonts w:cs="Arial"/>
          <w:lang w:val="en-GB"/>
        </w:rPr>
        <w:t>u</w:t>
      </w:r>
      <w:r w:rsidRPr="00D20C32">
        <w:rPr>
          <w:rFonts w:cs="Arial"/>
          <w:lang w:val="en-GB"/>
        </w:rPr>
        <w:t>s</w:t>
      </w:r>
      <w:r w:rsidR="0959EB37" w:rsidRPr="00D20C32">
        <w:rPr>
          <w:rFonts w:cs="Arial"/>
          <w:lang w:val="en-GB"/>
        </w:rPr>
        <w:t>e</w:t>
      </w:r>
      <w:r w:rsidRPr="00D20C32">
        <w:rPr>
          <w:rFonts w:cs="Arial"/>
          <w:lang w:val="en-GB"/>
        </w:rPr>
        <w:t xml:space="preserve"> </w:t>
      </w:r>
      <w:r w:rsidR="103C5826" w:rsidRPr="00D20C32">
        <w:rPr>
          <w:rFonts w:cs="Arial"/>
          <w:lang w:val="en-GB"/>
        </w:rPr>
        <w:t xml:space="preserve">younger </w:t>
      </w:r>
      <w:r w:rsidRPr="00D20C32">
        <w:rPr>
          <w:rFonts w:cs="Arial"/>
          <w:lang w:val="en-GB"/>
        </w:rPr>
        <w:t>adolescents were not included in the original trials. The</w:t>
      </w:r>
      <w:r w:rsidR="0959EB37" w:rsidRPr="00D20C32">
        <w:rPr>
          <w:rFonts w:cs="Arial"/>
          <w:lang w:val="en-GB"/>
        </w:rPr>
        <w:t xml:space="preserve"> available </w:t>
      </w:r>
      <w:r w:rsidRPr="00D20C32">
        <w:rPr>
          <w:rFonts w:cs="Arial"/>
          <w:lang w:val="en-GB"/>
        </w:rPr>
        <w:t>data regarding safety in pregnant and breastfeeding women</w:t>
      </w:r>
      <w:r w:rsidR="0959EB37" w:rsidRPr="00D20C32">
        <w:rPr>
          <w:rFonts w:cs="Arial"/>
          <w:lang w:val="en-GB"/>
        </w:rPr>
        <w:t xml:space="preserve"> are sparse yet reassuring:</w:t>
      </w:r>
      <w:r w:rsidR="6D9319F8" w:rsidRPr="00D20C32">
        <w:rPr>
          <w:rFonts w:cs="Arial"/>
          <w:lang w:val="en-GB"/>
        </w:rPr>
        <w:t xml:space="preserve"> among 169 trial participants who became pregnant, no congenital, maternal, or infant adverse outcomes were observed among those exposed to </w:t>
      </w:r>
      <w:proofErr w:type="spellStart"/>
      <w:r w:rsidR="6D9319F8" w:rsidRPr="00D20C32">
        <w:rPr>
          <w:rFonts w:cs="Arial"/>
          <w:lang w:val="en-GB"/>
        </w:rPr>
        <w:t>dapivirine</w:t>
      </w:r>
      <w:proofErr w:type="spellEnd"/>
      <w:r w:rsidR="003A697E">
        <w:rPr>
          <w:rFonts w:cs="Arial"/>
          <w:lang w:val="en-GB"/>
        </w:rPr>
        <w:t>.</w:t>
      </w:r>
      <w:r w:rsidR="00314401">
        <w:rPr>
          <w:rStyle w:val="EndnoteReference"/>
          <w:rFonts w:cs="Arial"/>
          <w:lang w:val="en-GB"/>
        </w:rPr>
        <w:endnoteReference w:id="9"/>
      </w:r>
      <w:r w:rsidR="306AC4E8" w:rsidRPr="00D20C32">
        <w:rPr>
          <w:rFonts w:cs="Arial"/>
          <w:lang w:val="en-GB"/>
        </w:rPr>
        <w:t xml:space="preserve"> Studies assessing </w:t>
      </w:r>
      <w:r w:rsidR="0959EB37" w:rsidRPr="00D20C32">
        <w:rPr>
          <w:rFonts w:cs="Arial"/>
          <w:lang w:val="en-GB"/>
        </w:rPr>
        <w:t xml:space="preserve">the </w:t>
      </w:r>
      <w:r w:rsidR="306AC4E8" w:rsidRPr="00D20C32">
        <w:rPr>
          <w:rFonts w:cs="Arial"/>
          <w:lang w:val="en-GB"/>
        </w:rPr>
        <w:t>safety and acceptability of ring use among adolescent girls and young women ages 16–21 years</w:t>
      </w:r>
      <w:r w:rsidR="00326D92">
        <w:rPr>
          <w:rFonts w:cs="Arial"/>
          <w:lang w:val="en-GB"/>
        </w:rPr>
        <w:t xml:space="preserve"> (REACH</w:t>
      </w:r>
      <w:r w:rsidR="306AC4E8" w:rsidRPr="00D20C32">
        <w:rPr>
          <w:rFonts w:cs="Arial"/>
          <w:lang w:val="en-GB"/>
        </w:rPr>
        <w:t>), pregnant women (DELIVER), and breastfeeding women (B-PROTECTED) are ongoing</w:t>
      </w:r>
      <w:r w:rsidR="0959EB37" w:rsidRPr="00D20C32">
        <w:rPr>
          <w:rFonts w:cs="Arial"/>
          <w:lang w:val="en-GB"/>
        </w:rPr>
        <w:t>,</w:t>
      </w:r>
      <w:r w:rsidR="306AC4E8" w:rsidRPr="0EE2F083" w:rsidDel="009C0F9D">
        <w:rPr>
          <w:rFonts w:cs="Arial"/>
          <w:lang w:val="en-GB"/>
        </w:rPr>
        <w:t xml:space="preserve"> </w:t>
      </w:r>
      <w:r w:rsidR="306AC4E8" w:rsidRPr="00D20C32">
        <w:rPr>
          <w:rFonts w:cs="Arial"/>
          <w:lang w:val="en-GB"/>
        </w:rPr>
        <w:t xml:space="preserve">with </w:t>
      </w:r>
      <w:r w:rsidR="00BA6526">
        <w:rPr>
          <w:rFonts w:cs="Arial"/>
          <w:lang w:val="en-GB"/>
        </w:rPr>
        <w:t xml:space="preserve">the </w:t>
      </w:r>
      <w:r w:rsidR="306AC4E8" w:rsidRPr="00D20C32">
        <w:rPr>
          <w:rFonts w:cs="Arial"/>
          <w:lang w:val="en-GB"/>
        </w:rPr>
        <w:t xml:space="preserve">potential </w:t>
      </w:r>
      <w:r w:rsidR="00BA6526">
        <w:rPr>
          <w:rFonts w:cs="Arial"/>
          <w:lang w:val="en-GB"/>
        </w:rPr>
        <w:t xml:space="preserve">for </w:t>
      </w:r>
      <w:r w:rsidR="306AC4E8" w:rsidRPr="00D20C32">
        <w:rPr>
          <w:rFonts w:cs="Arial"/>
          <w:lang w:val="en-GB"/>
        </w:rPr>
        <w:t>change</w:t>
      </w:r>
      <w:r w:rsidR="0959EB37" w:rsidRPr="00D20C32">
        <w:rPr>
          <w:rFonts w:cs="Arial"/>
          <w:lang w:val="en-GB"/>
        </w:rPr>
        <w:t>s</w:t>
      </w:r>
      <w:r w:rsidR="306AC4E8" w:rsidRPr="00D20C32">
        <w:rPr>
          <w:rFonts w:cs="Arial"/>
          <w:lang w:val="en-GB"/>
        </w:rPr>
        <w:t xml:space="preserve"> in product </w:t>
      </w:r>
      <w:r w:rsidR="00D20C32" w:rsidRPr="00D20C32">
        <w:rPr>
          <w:rFonts w:cs="Arial"/>
          <w:lang w:val="en-GB"/>
        </w:rPr>
        <w:t>labelling</w:t>
      </w:r>
      <w:r w:rsidR="306AC4E8" w:rsidRPr="00D20C32">
        <w:rPr>
          <w:rFonts w:cs="Arial"/>
          <w:lang w:val="en-GB"/>
        </w:rPr>
        <w:t xml:space="preserve"> consistent with study results.</w:t>
      </w:r>
      <w:r w:rsidR="4105927F" w:rsidRPr="2104C340">
        <w:rPr>
          <w:rFonts w:cs="Arial"/>
          <w:lang w:val="en-GB"/>
        </w:rPr>
        <w:t xml:space="preserve"> </w:t>
      </w:r>
      <w:r w:rsidR="4105927F" w:rsidRPr="2104C340">
        <w:rPr>
          <w:rFonts w:eastAsia="Arial" w:cs="Arial"/>
          <w:lang w:val="en-GB"/>
        </w:rPr>
        <w:t>Interim results from the REACH study, being conducted at four clinical research sites in Uganda, South Africa</w:t>
      </w:r>
      <w:r w:rsidR="009F60C5">
        <w:rPr>
          <w:rFonts w:eastAsia="Arial" w:cs="Arial"/>
          <w:lang w:val="en-GB"/>
        </w:rPr>
        <w:t>,</w:t>
      </w:r>
      <w:r w:rsidR="4105927F" w:rsidRPr="2104C340">
        <w:rPr>
          <w:rFonts w:eastAsia="Arial" w:cs="Arial"/>
          <w:lang w:val="en-GB"/>
        </w:rPr>
        <w:t xml:space="preserve"> and Zimbabwe, demonstrated that the vast majority (97 percent) of the study’s 247 participants used the ring and daily oral PrEP some or </w:t>
      </w:r>
      <w:proofErr w:type="gramStart"/>
      <w:r w:rsidR="4105927F" w:rsidRPr="2104C340">
        <w:rPr>
          <w:rFonts w:eastAsia="Arial" w:cs="Arial"/>
          <w:lang w:val="en-GB"/>
        </w:rPr>
        <w:t>all of</w:t>
      </w:r>
      <w:proofErr w:type="gramEnd"/>
      <w:r w:rsidR="4105927F" w:rsidRPr="2104C340">
        <w:rPr>
          <w:rFonts w:eastAsia="Arial" w:cs="Arial"/>
          <w:lang w:val="en-GB"/>
        </w:rPr>
        <w:t xml:space="preserve"> the time. Fewer than </w:t>
      </w:r>
      <w:r w:rsidR="00887509">
        <w:rPr>
          <w:rFonts w:eastAsia="Arial" w:cs="Arial"/>
          <w:lang w:val="en-GB"/>
        </w:rPr>
        <w:t>3</w:t>
      </w:r>
      <w:r w:rsidR="4105927F" w:rsidRPr="2104C340">
        <w:rPr>
          <w:rFonts w:eastAsia="Arial" w:cs="Arial"/>
          <w:lang w:val="en-GB"/>
        </w:rPr>
        <w:t xml:space="preserve"> percent of participants used neither of the products, according to laboratory tests for adherence.</w:t>
      </w:r>
      <w:r w:rsidR="00314401">
        <w:rPr>
          <w:rStyle w:val="EndnoteReference"/>
          <w:rFonts w:eastAsia="Arial" w:cs="Arial"/>
          <w:lang w:val="en-GB"/>
        </w:rPr>
        <w:endnoteReference w:id="10"/>
      </w:r>
      <w:r w:rsidR="273647AB" w:rsidRPr="2104C340">
        <w:rPr>
          <w:rFonts w:eastAsia="Arial" w:cs="Arial"/>
          <w:lang w:val="en-GB"/>
        </w:rPr>
        <w:t xml:space="preserve">  </w:t>
      </w:r>
    </w:p>
    <w:p w14:paraId="483C63B8" w14:textId="438C07EA" w:rsidR="00D51180" w:rsidRPr="00D20C32" w:rsidRDefault="00D51180" w:rsidP="00C529CE">
      <w:pPr>
        <w:rPr>
          <w:rFonts w:cs="Arial"/>
          <w:szCs w:val="20"/>
          <w:lang w:val="en-GB"/>
        </w:rPr>
      </w:pPr>
      <w:r w:rsidRPr="00D20C32">
        <w:rPr>
          <w:rFonts w:cs="Arial"/>
          <w:szCs w:val="20"/>
          <w:lang w:val="en-GB"/>
        </w:rPr>
        <w:t xml:space="preserve">At this time, ring use data are largely based on clinical trials rather than “real world” implementation. Moreover, discrete choice experiments measuring interest in use can inform </w:t>
      </w:r>
      <w:r w:rsidR="00A16D59" w:rsidRPr="00D20C32">
        <w:rPr>
          <w:rFonts w:cs="Arial"/>
          <w:szCs w:val="20"/>
          <w:lang w:val="en-GB"/>
        </w:rPr>
        <w:t xml:space="preserve">our understanding of </w:t>
      </w:r>
      <w:r w:rsidRPr="00D20C32">
        <w:rPr>
          <w:rFonts w:cs="Arial"/>
          <w:szCs w:val="20"/>
          <w:lang w:val="en-GB"/>
        </w:rPr>
        <w:t xml:space="preserve">feasibility but not </w:t>
      </w:r>
      <w:r w:rsidR="00A16D59" w:rsidRPr="00D20C32">
        <w:rPr>
          <w:rFonts w:cs="Arial"/>
          <w:szCs w:val="20"/>
          <w:lang w:val="en-GB"/>
        </w:rPr>
        <w:t xml:space="preserve">our understanding of </w:t>
      </w:r>
      <w:r w:rsidR="00002016" w:rsidRPr="00D20C32">
        <w:rPr>
          <w:rFonts w:cs="Arial"/>
          <w:szCs w:val="20"/>
          <w:lang w:val="en-GB"/>
        </w:rPr>
        <w:t xml:space="preserve">acceptability because they </w:t>
      </w:r>
      <w:r w:rsidR="00A13034" w:rsidRPr="00D20C32">
        <w:rPr>
          <w:rFonts w:cs="Arial"/>
          <w:szCs w:val="20"/>
          <w:lang w:val="en-GB"/>
        </w:rPr>
        <w:t xml:space="preserve">do not </w:t>
      </w:r>
      <w:r w:rsidRPr="00D20C32">
        <w:rPr>
          <w:rFonts w:cs="Arial"/>
          <w:szCs w:val="20"/>
          <w:lang w:val="en-GB"/>
        </w:rPr>
        <w:t xml:space="preserve">capture user experience with the actual product. These studies also may not measure or anticipate the impact of specific barriers and facilitators to method access and use, such as partner perceptions or provider </w:t>
      </w:r>
      <w:r w:rsidR="00D20C32" w:rsidRPr="00D20C32">
        <w:rPr>
          <w:rFonts w:cs="Arial"/>
          <w:szCs w:val="20"/>
          <w:lang w:val="en-GB"/>
        </w:rPr>
        <w:t>counselling</w:t>
      </w:r>
      <w:r w:rsidRPr="00D20C32">
        <w:rPr>
          <w:rFonts w:cs="Arial"/>
          <w:szCs w:val="20"/>
          <w:lang w:val="en-GB"/>
        </w:rPr>
        <w:t xml:space="preserve"> and attitude</w:t>
      </w:r>
      <w:r w:rsidR="000C2E38">
        <w:rPr>
          <w:rFonts w:cs="Arial"/>
          <w:szCs w:val="20"/>
          <w:lang w:val="en-GB"/>
        </w:rPr>
        <w:t>s</w:t>
      </w:r>
      <w:r w:rsidRPr="00D20C32">
        <w:rPr>
          <w:rFonts w:cs="Arial"/>
          <w:szCs w:val="20"/>
          <w:lang w:val="en-GB"/>
        </w:rPr>
        <w:t xml:space="preserve">, that can be measured in implementation evaluations.    </w:t>
      </w:r>
    </w:p>
    <w:p w14:paraId="426CBBF0" w14:textId="28C56C1E" w:rsidR="00957A30" w:rsidRPr="00D20C32" w:rsidRDefault="00CE4B76" w:rsidP="0EE2F083">
      <w:pPr>
        <w:rPr>
          <w:rFonts w:cs="Arial"/>
          <w:lang w:val="en-GB"/>
        </w:rPr>
      </w:pPr>
      <w:r w:rsidRPr="0EE2F083">
        <w:rPr>
          <w:rFonts w:cs="Arial"/>
          <w:lang w:val="en-GB"/>
        </w:rPr>
        <w:t>[</w:t>
      </w:r>
      <w:r w:rsidRPr="0EE2F083">
        <w:rPr>
          <w:rFonts w:cs="Arial"/>
          <w:highlight w:val="yellow"/>
          <w:lang w:val="en-GB"/>
        </w:rPr>
        <w:t xml:space="preserve">Please add paragraph reflecting ring use or experience within specific country. For example, </w:t>
      </w:r>
      <w:r w:rsidR="00A16D59" w:rsidRPr="0EE2F083">
        <w:rPr>
          <w:rFonts w:cs="Arial"/>
          <w:highlight w:val="yellow"/>
          <w:lang w:val="en-GB"/>
        </w:rPr>
        <w:t>r</w:t>
      </w:r>
      <w:r w:rsidRPr="0EE2F083">
        <w:rPr>
          <w:rFonts w:cs="Arial"/>
          <w:highlight w:val="yellow"/>
          <w:lang w:val="en-GB"/>
        </w:rPr>
        <w:t>ing Phase III and OLE trials were conducted in Kenya, Malawi, South Africa, Uganda</w:t>
      </w:r>
      <w:r w:rsidR="00741012">
        <w:rPr>
          <w:rFonts w:cs="Arial"/>
          <w:highlight w:val="yellow"/>
          <w:lang w:val="en-GB"/>
        </w:rPr>
        <w:t>,</w:t>
      </w:r>
      <w:r w:rsidRPr="0EE2F083">
        <w:rPr>
          <w:rFonts w:cs="Arial"/>
          <w:highlight w:val="yellow"/>
          <w:lang w:val="en-GB"/>
        </w:rPr>
        <w:t xml:space="preserve"> and Zimbabwe, so these countries have documented acceptability and safety data within their contexts, which should be featured in this paragraph. For countries not included in these trials or in the Quatro study</w:t>
      </w:r>
      <w:r w:rsidR="42ACB888" w:rsidRPr="0EE2F083">
        <w:rPr>
          <w:rFonts w:cs="Arial"/>
          <w:highlight w:val="yellow"/>
          <w:lang w:val="en-GB"/>
        </w:rPr>
        <w:t xml:space="preserve"> (which included South Africa and Zimbabwe)</w:t>
      </w:r>
      <w:r w:rsidRPr="0EE2F083">
        <w:rPr>
          <w:rFonts w:cs="Arial"/>
          <w:highlight w:val="yellow"/>
          <w:lang w:val="en-GB"/>
        </w:rPr>
        <w:t xml:space="preserve">, here is some example </w:t>
      </w:r>
      <w:r w:rsidRPr="00055E94">
        <w:rPr>
          <w:rFonts w:cs="Arial"/>
          <w:highlight w:val="yellow"/>
          <w:lang w:val="en-GB"/>
        </w:rPr>
        <w:t>text</w:t>
      </w:r>
      <w:r w:rsidR="002744EA" w:rsidRPr="000B6DFF">
        <w:rPr>
          <w:rFonts w:cs="Arial"/>
          <w:highlight w:val="yellow"/>
          <w:lang w:val="en-GB"/>
        </w:rPr>
        <w:t xml:space="preserve"> from the Zambia ring pilot implementation guidelines</w:t>
      </w:r>
      <w:r w:rsidRPr="000B6DFF">
        <w:rPr>
          <w:rFonts w:cs="Arial"/>
          <w:highlight w:val="yellow"/>
          <w:lang w:val="en-GB"/>
        </w:rPr>
        <w:t>: “</w:t>
      </w:r>
      <w:r w:rsidR="00C529CE" w:rsidRPr="000B6DFF">
        <w:rPr>
          <w:rFonts w:cs="Arial"/>
          <w:highlight w:val="yellow"/>
          <w:lang w:val="en-GB"/>
        </w:rPr>
        <w:t>The ring has not been previously used or tested in Zambia</w:t>
      </w:r>
      <w:r w:rsidR="00A13034" w:rsidRPr="000B6DFF">
        <w:rPr>
          <w:rFonts w:cs="Arial"/>
          <w:highlight w:val="yellow"/>
          <w:lang w:val="en-GB"/>
        </w:rPr>
        <w:t>,</w:t>
      </w:r>
      <w:r w:rsidR="00C529CE" w:rsidRPr="000B6DFF">
        <w:rPr>
          <w:rFonts w:cs="Arial"/>
          <w:highlight w:val="yellow"/>
          <w:lang w:val="en-GB"/>
        </w:rPr>
        <w:t xml:space="preserve"> and further information is needed regarding the feasibility and acceptability of this method </w:t>
      </w:r>
      <w:r w:rsidR="00A13034" w:rsidRPr="000B6DFF">
        <w:rPr>
          <w:rFonts w:cs="Arial"/>
          <w:highlight w:val="yellow"/>
          <w:lang w:val="en-GB"/>
        </w:rPr>
        <w:t>among</w:t>
      </w:r>
      <w:r w:rsidR="00C529CE" w:rsidRPr="000B6DFF">
        <w:rPr>
          <w:rFonts w:cs="Arial"/>
          <w:highlight w:val="yellow"/>
          <w:lang w:val="en-GB"/>
        </w:rPr>
        <w:t xml:space="preserve"> clients, providers, and administrators in the public sector health system.</w:t>
      </w:r>
      <w:r w:rsidR="00D51180" w:rsidRPr="000B6DFF">
        <w:rPr>
          <w:rFonts w:cs="Arial"/>
          <w:highlight w:val="yellow"/>
          <w:lang w:val="en-GB"/>
        </w:rPr>
        <w:t xml:space="preserve"> Further</w:t>
      </w:r>
      <w:r w:rsidR="00A13034" w:rsidRPr="000B6DFF">
        <w:rPr>
          <w:rFonts w:cs="Arial"/>
          <w:highlight w:val="yellow"/>
          <w:lang w:val="en-GB"/>
        </w:rPr>
        <w:t>more</w:t>
      </w:r>
      <w:r w:rsidR="00D51180" w:rsidRPr="000B6DFF">
        <w:rPr>
          <w:rFonts w:cs="Arial"/>
          <w:highlight w:val="yellow"/>
          <w:lang w:val="en-GB"/>
        </w:rPr>
        <w:t>, MOH</w:t>
      </w:r>
      <w:r w:rsidR="00957A30" w:rsidRPr="000B6DFF">
        <w:rPr>
          <w:rFonts w:cs="Arial"/>
          <w:highlight w:val="yellow"/>
          <w:lang w:val="en-GB"/>
        </w:rPr>
        <w:t xml:space="preserve"> </w:t>
      </w:r>
      <w:r w:rsidR="00D51180" w:rsidRPr="000B6DFF">
        <w:rPr>
          <w:rFonts w:cs="Arial"/>
          <w:highlight w:val="yellow"/>
          <w:lang w:val="en-GB"/>
        </w:rPr>
        <w:t>administrators will require data regarding ring safety with any pilot use of the ring in Zambia.</w:t>
      </w:r>
      <w:r w:rsidR="00C529CE" w:rsidRPr="000B6DFF">
        <w:rPr>
          <w:rFonts w:cs="Arial"/>
          <w:highlight w:val="yellow"/>
          <w:lang w:val="en-GB"/>
        </w:rPr>
        <w:t xml:space="preserve"> Prior to considering introduction of the ring as part of the PrEP method mix within Zambia, the MOH</w:t>
      </w:r>
      <w:r w:rsidR="00957A30" w:rsidRPr="000B6DFF">
        <w:rPr>
          <w:rFonts w:cs="Arial"/>
          <w:highlight w:val="yellow"/>
          <w:lang w:val="en-GB"/>
        </w:rPr>
        <w:t xml:space="preserve"> </w:t>
      </w:r>
      <w:r w:rsidR="00C529CE" w:rsidRPr="000B6DFF">
        <w:rPr>
          <w:rFonts w:cs="Arial"/>
          <w:highlight w:val="yellow"/>
          <w:lang w:val="en-GB"/>
        </w:rPr>
        <w:t xml:space="preserve">requires evidence regarding ring acceptability among key end-user groups and health care providers, </w:t>
      </w:r>
      <w:r w:rsidR="00A13034" w:rsidRPr="000B6DFF">
        <w:rPr>
          <w:rFonts w:cs="Arial"/>
          <w:highlight w:val="yellow"/>
          <w:lang w:val="en-GB"/>
        </w:rPr>
        <w:t xml:space="preserve">the </w:t>
      </w:r>
      <w:r w:rsidR="00C529CE" w:rsidRPr="000B6DFF">
        <w:rPr>
          <w:rFonts w:cs="Arial"/>
          <w:highlight w:val="yellow"/>
          <w:lang w:val="en-GB"/>
        </w:rPr>
        <w:t xml:space="preserve">feasibility of ring service provision </w:t>
      </w:r>
      <w:r w:rsidR="00A13034" w:rsidRPr="000B6DFF">
        <w:rPr>
          <w:rFonts w:cs="Arial"/>
          <w:highlight w:val="yellow"/>
          <w:lang w:val="en-GB"/>
        </w:rPr>
        <w:t>in</w:t>
      </w:r>
      <w:r w:rsidR="00C529CE" w:rsidRPr="000B6DFF">
        <w:rPr>
          <w:rFonts w:cs="Arial"/>
          <w:highlight w:val="yellow"/>
          <w:lang w:val="en-GB"/>
        </w:rPr>
        <w:t xml:space="preserve"> a variety of clinical and community-level </w:t>
      </w:r>
      <w:r w:rsidR="00DA2B08">
        <w:rPr>
          <w:rFonts w:cs="Arial"/>
          <w:highlight w:val="yellow"/>
          <w:lang w:val="en-GB"/>
        </w:rPr>
        <w:t>settings</w:t>
      </w:r>
      <w:r w:rsidR="00C529CE" w:rsidRPr="000B6DFF">
        <w:rPr>
          <w:rFonts w:cs="Arial"/>
          <w:highlight w:val="yellow"/>
          <w:lang w:val="en-GB"/>
        </w:rPr>
        <w:t>, and anticipated barriers and facilitators to ring introduction and implementation from the perspective of health system infrastructure, cost, and community and provider-level demand.</w:t>
      </w:r>
      <w:r w:rsidR="00957A30" w:rsidRPr="000B6DFF">
        <w:rPr>
          <w:rFonts w:cs="Arial"/>
          <w:highlight w:val="yellow"/>
          <w:lang w:val="en-GB"/>
        </w:rPr>
        <w:t>”</w:t>
      </w:r>
      <w:r w:rsidR="009754D5" w:rsidRPr="000B6DFF">
        <w:rPr>
          <w:rFonts w:cs="Arial"/>
          <w:highlight w:val="yellow"/>
          <w:lang w:val="en-GB"/>
        </w:rPr>
        <w:t>]</w:t>
      </w:r>
      <w:r w:rsidR="00C529CE" w:rsidRPr="0EE2F083">
        <w:rPr>
          <w:rFonts w:cs="Arial"/>
          <w:lang w:val="en-GB"/>
        </w:rPr>
        <w:t xml:space="preserve">  </w:t>
      </w:r>
    </w:p>
    <w:p w14:paraId="374C484C" w14:textId="3CED4BC6" w:rsidR="00C529CE" w:rsidRPr="00D20C32" w:rsidRDefault="00C529CE" w:rsidP="00C529CE">
      <w:pPr>
        <w:rPr>
          <w:rFonts w:cs="Arial"/>
          <w:szCs w:val="20"/>
          <w:lang w:val="en-GB"/>
        </w:rPr>
      </w:pPr>
      <w:r w:rsidRPr="00D20C32">
        <w:rPr>
          <w:rFonts w:cs="Arial"/>
          <w:szCs w:val="20"/>
          <w:lang w:val="en-GB"/>
        </w:rPr>
        <w:lastRenderedPageBreak/>
        <w:t>The MOH</w:t>
      </w:r>
      <w:r w:rsidR="00957A30" w:rsidRPr="00D20C32">
        <w:rPr>
          <w:rFonts w:cs="Arial"/>
          <w:szCs w:val="20"/>
          <w:lang w:val="en-GB"/>
        </w:rPr>
        <w:t xml:space="preserve"> [</w:t>
      </w:r>
      <w:r w:rsidR="00957A30" w:rsidRPr="00D20C32">
        <w:rPr>
          <w:rFonts w:cs="Arial"/>
          <w:szCs w:val="20"/>
          <w:highlight w:val="yellow"/>
          <w:lang w:val="en-GB"/>
        </w:rPr>
        <w:t>or other health authority</w:t>
      </w:r>
      <w:r w:rsidR="00957A30" w:rsidRPr="00D20C32">
        <w:rPr>
          <w:rFonts w:cs="Arial"/>
          <w:szCs w:val="20"/>
          <w:lang w:val="en-GB"/>
        </w:rPr>
        <w:t>]</w:t>
      </w:r>
      <w:r w:rsidRPr="00D20C32">
        <w:rPr>
          <w:rFonts w:cs="Arial"/>
          <w:szCs w:val="20"/>
          <w:lang w:val="en-GB"/>
        </w:rPr>
        <w:t xml:space="preserve"> has requested pilot ring implementation studies to address this need for data to shape ring decisions</w:t>
      </w:r>
      <w:r w:rsidR="00A50D9A" w:rsidRPr="00D20C32">
        <w:rPr>
          <w:rFonts w:cs="Arial"/>
          <w:szCs w:val="20"/>
          <w:lang w:val="en-GB"/>
        </w:rPr>
        <w:t>.</w:t>
      </w:r>
      <w:r w:rsidRPr="00D20C32">
        <w:rPr>
          <w:rFonts w:cs="Arial"/>
          <w:szCs w:val="20"/>
          <w:lang w:val="en-GB"/>
        </w:rPr>
        <w:t xml:space="preserve"> </w:t>
      </w:r>
      <w:r w:rsidR="00A50D9A" w:rsidRPr="00D20C32">
        <w:rPr>
          <w:rFonts w:cs="Arial"/>
          <w:szCs w:val="20"/>
          <w:lang w:val="en-GB"/>
        </w:rPr>
        <w:t>The MOH [</w:t>
      </w:r>
      <w:r w:rsidR="00A50D9A" w:rsidRPr="00D20C32">
        <w:rPr>
          <w:rFonts w:cs="Arial"/>
          <w:szCs w:val="20"/>
          <w:highlight w:val="yellow"/>
          <w:lang w:val="en-GB"/>
        </w:rPr>
        <w:t>or other health authority</w:t>
      </w:r>
      <w:r w:rsidR="00A50D9A" w:rsidRPr="00D20C32">
        <w:rPr>
          <w:rFonts w:cs="Arial"/>
          <w:szCs w:val="20"/>
          <w:lang w:val="en-GB"/>
        </w:rPr>
        <w:t xml:space="preserve">] </w:t>
      </w:r>
      <w:r w:rsidRPr="00D20C32">
        <w:rPr>
          <w:rFonts w:cs="Arial"/>
          <w:szCs w:val="20"/>
          <w:lang w:val="en-GB"/>
        </w:rPr>
        <w:t xml:space="preserve">mandates that the pilot studies include a set of common features as well as conform to guidelines regarding geographic and end-user group distribution to ensure the resultant data are comparable, robust, and provide sufficient detail to guide decisions </w:t>
      </w:r>
      <w:r w:rsidR="00A50D9A" w:rsidRPr="00D20C32">
        <w:rPr>
          <w:rFonts w:cs="Arial"/>
          <w:szCs w:val="20"/>
          <w:lang w:val="en-GB"/>
        </w:rPr>
        <w:t xml:space="preserve">about </w:t>
      </w:r>
      <w:r w:rsidRPr="00D20C32">
        <w:rPr>
          <w:rFonts w:cs="Arial"/>
          <w:szCs w:val="20"/>
          <w:lang w:val="en-GB"/>
        </w:rPr>
        <w:t xml:space="preserve">adding </w:t>
      </w:r>
      <w:r w:rsidR="00741012">
        <w:rPr>
          <w:rFonts w:cs="Arial"/>
          <w:szCs w:val="20"/>
          <w:lang w:val="en-GB"/>
        </w:rPr>
        <w:t xml:space="preserve">the </w:t>
      </w:r>
      <w:r w:rsidRPr="00D20C32">
        <w:rPr>
          <w:rFonts w:cs="Arial"/>
          <w:szCs w:val="20"/>
          <w:lang w:val="en-GB"/>
        </w:rPr>
        <w:t xml:space="preserve">ring to the PrEP method mix and </w:t>
      </w:r>
      <w:r w:rsidR="00A50D9A" w:rsidRPr="00D20C32">
        <w:rPr>
          <w:rFonts w:cs="Arial"/>
          <w:szCs w:val="20"/>
          <w:lang w:val="en-GB"/>
        </w:rPr>
        <w:t xml:space="preserve">any </w:t>
      </w:r>
      <w:r w:rsidRPr="00D20C32">
        <w:rPr>
          <w:rFonts w:cs="Arial"/>
          <w:szCs w:val="20"/>
          <w:lang w:val="en-GB"/>
        </w:rPr>
        <w:t xml:space="preserve">associated policy, strategy, and guideline development.  </w:t>
      </w:r>
    </w:p>
    <w:p w14:paraId="05CB2288" w14:textId="02ECBD9D" w:rsidR="00F23249" w:rsidRPr="00D20C32" w:rsidRDefault="00F23249" w:rsidP="00C529CE">
      <w:pPr>
        <w:pStyle w:val="Tabletitle"/>
        <w:rPr>
          <w:rStyle w:val="Heading2Char"/>
          <w:rFonts w:eastAsiaTheme="minorEastAsia" w:cstheme="minorBidi"/>
          <w:b/>
          <w:bCs/>
          <w:lang w:val="en-GB"/>
        </w:rPr>
      </w:pPr>
      <w:r w:rsidRPr="00D20C32">
        <w:rPr>
          <w:rStyle w:val="Heading2Char"/>
          <w:rFonts w:eastAsiaTheme="minorEastAsia" w:cstheme="minorBidi"/>
          <w:b/>
          <w:bCs/>
          <w:lang w:val="en-GB"/>
        </w:rPr>
        <w:t>Study objectives</w:t>
      </w:r>
    </w:p>
    <w:p w14:paraId="3F80DFC5" w14:textId="731E1ED8" w:rsidR="00F23249" w:rsidRPr="00D20C32" w:rsidRDefault="05BEF3E8" w:rsidP="2104C340">
      <w:pPr>
        <w:pStyle w:val="Tabletitle"/>
        <w:rPr>
          <w:rStyle w:val="Heading2Char"/>
          <w:rFonts w:eastAsiaTheme="minorEastAsia" w:cstheme="minorBidi"/>
          <w:color w:val="000000"/>
          <w:sz w:val="20"/>
          <w:szCs w:val="20"/>
          <w:lang w:val="en-GB"/>
        </w:rPr>
      </w:pPr>
      <w:r w:rsidRPr="2104C340">
        <w:rPr>
          <w:rStyle w:val="Heading2Char"/>
          <w:rFonts w:eastAsiaTheme="minorEastAsia" w:cstheme="minorBidi"/>
          <w:color w:val="000000"/>
          <w:sz w:val="20"/>
          <w:szCs w:val="20"/>
          <w:lang w:val="en-GB"/>
        </w:rPr>
        <w:t>1. To measure the feasibility</w:t>
      </w:r>
      <w:r w:rsidR="5FC83E80" w:rsidRPr="2104C340">
        <w:rPr>
          <w:rStyle w:val="Heading2Char"/>
          <w:rFonts w:eastAsiaTheme="minorEastAsia" w:cstheme="minorBidi"/>
          <w:color w:val="000000"/>
          <w:sz w:val="20"/>
          <w:szCs w:val="20"/>
          <w:lang w:val="en-GB"/>
        </w:rPr>
        <w:t>, including cost projections,</w:t>
      </w:r>
      <w:r w:rsidRPr="2104C340">
        <w:rPr>
          <w:rStyle w:val="Heading2Char"/>
          <w:rFonts w:eastAsiaTheme="minorEastAsia" w:cstheme="minorBidi"/>
          <w:color w:val="000000"/>
          <w:sz w:val="20"/>
          <w:szCs w:val="20"/>
          <w:lang w:val="en-GB"/>
        </w:rPr>
        <w:t xml:space="preserve"> of adding the ring </w:t>
      </w:r>
      <w:r w:rsidR="2B16A0AE" w:rsidRPr="2104C340">
        <w:rPr>
          <w:rStyle w:val="Heading2Char"/>
          <w:rFonts w:eastAsiaTheme="minorEastAsia" w:cstheme="minorBidi"/>
          <w:color w:val="000000"/>
          <w:sz w:val="20"/>
          <w:szCs w:val="20"/>
          <w:lang w:val="en-GB"/>
        </w:rPr>
        <w:t xml:space="preserve">to available PrEP methods in </w:t>
      </w:r>
      <w:r w:rsidR="110964AA" w:rsidRPr="2104C340">
        <w:rPr>
          <w:rStyle w:val="Heading2Char"/>
          <w:rFonts w:eastAsiaTheme="minorEastAsia" w:cstheme="minorBidi"/>
          <w:color w:val="000000"/>
          <w:sz w:val="20"/>
          <w:szCs w:val="20"/>
          <w:lang w:val="en-GB"/>
        </w:rPr>
        <w:t>[</w:t>
      </w:r>
      <w:r w:rsidR="110964AA" w:rsidRPr="2104C340">
        <w:rPr>
          <w:rStyle w:val="Heading2Char"/>
          <w:rFonts w:eastAsiaTheme="minorEastAsia" w:cstheme="minorBidi"/>
          <w:color w:val="000000"/>
          <w:sz w:val="20"/>
          <w:szCs w:val="20"/>
          <w:highlight w:val="yellow"/>
          <w:lang w:val="en-GB"/>
        </w:rPr>
        <w:t>country name</w:t>
      </w:r>
      <w:r w:rsidR="110964AA" w:rsidRPr="2104C340">
        <w:rPr>
          <w:rStyle w:val="Heading2Char"/>
          <w:rFonts w:eastAsiaTheme="minorEastAsia" w:cstheme="minorBidi"/>
          <w:color w:val="000000"/>
          <w:sz w:val="20"/>
          <w:szCs w:val="20"/>
          <w:lang w:val="en-GB"/>
        </w:rPr>
        <w:t>]</w:t>
      </w:r>
      <w:r w:rsidR="2B16A0AE" w:rsidRPr="2104C340">
        <w:rPr>
          <w:rStyle w:val="Heading2Char"/>
          <w:rFonts w:eastAsiaTheme="minorEastAsia" w:cstheme="minorBidi"/>
          <w:color w:val="000000"/>
          <w:sz w:val="20"/>
          <w:szCs w:val="20"/>
          <w:lang w:val="en-GB"/>
        </w:rPr>
        <w:t xml:space="preserve"> among client</w:t>
      </w:r>
      <w:r w:rsidR="02AEADC4" w:rsidRPr="2104C340">
        <w:rPr>
          <w:rStyle w:val="Heading2Char"/>
          <w:rFonts w:eastAsiaTheme="minorEastAsia" w:cstheme="minorBidi"/>
          <w:color w:val="000000"/>
          <w:sz w:val="20"/>
          <w:szCs w:val="20"/>
          <w:lang w:val="en-GB"/>
        </w:rPr>
        <w:t>s</w:t>
      </w:r>
      <w:r w:rsidR="4CF93B82" w:rsidRPr="2104C340">
        <w:rPr>
          <w:rStyle w:val="Heading2Char"/>
          <w:rFonts w:eastAsiaTheme="minorEastAsia" w:cstheme="minorBidi"/>
          <w:color w:val="000000"/>
          <w:sz w:val="20"/>
          <w:szCs w:val="20"/>
          <w:lang w:val="en-GB"/>
        </w:rPr>
        <w:t xml:space="preserve"> and </w:t>
      </w:r>
      <w:r w:rsidR="2B16A0AE" w:rsidRPr="2104C340">
        <w:rPr>
          <w:rStyle w:val="Heading2Char"/>
          <w:rFonts w:eastAsiaTheme="minorEastAsia" w:cstheme="minorBidi"/>
          <w:color w:val="000000"/>
          <w:sz w:val="20"/>
          <w:szCs w:val="20"/>
          <w:lang w:val="en-GB"/>
        </w:rPr>
        <w:t>service providers</w:t>
      </w:r>
      <w:r w:rsidR="367F32E7" w:rsidRPr="2104C340">
        <w:rPr>
          <w:rStyle w:val="Heading2Char"/>
          <w:rFonts w:eastAsiaTheme="minorEastAsia" w:cstheme="minorBidi"/>
          <w:color w:val="000000"/>
          <w:sz w:val="20"/>
          <w:szCs w:val="20"/>
          <w:lang w:val="en-GB"/>
        </w:rPr>
        <w:t>.</w:t>
      </w:r>
      <w:r w:rsidR="76B0EA05" w:rsidRPr="2104C340">
        <w:rPr>
          <w:rStyle w:val="Heading2Char"/>
          <w:rFonts w:eastAsiaTheme="minorEastAsia" w:cstheme="minorBidi"/>
          <w:color w:val="000000"/>
          <w:sz w:val="20"/>
          <w:szCs w:val="20"/>
          <w:lang w:val="en-GB"/>
        </w:rPr>
        <w:t xml:space="preserve"> </w:t>
      </w:r>
      <w:r w:rsidR="76B0EA05" w:rsidRPr="000B6DFF">
        <w:rPr>
          <w:rStyle w:val="Heading2Char"/>
          <w:rFonts w:eastAsiaTheme="minorEastAsia" w:cstheme="minorBidi"/>
          <w:color w:val="000000"/>
          <w:sz w:val="20"/>
          <w:szCs w:val="20"/>
          <w:highlight w:val="yellow"/>
          <w:lang w:val="en-GB"/>
        </w:rPr>
        <w:t>[For countries that have already cond</w:t>
      </w:r>
      <w:r w:rsidR="0F5B374D" w:rsidRPr="000B6DFF">
        <w:rPr>
          <w:rStyle w:val="Heading2Char"/>
          <w:rFonts w:eastAsiaTheme="minorEastAsia" w:cstheme="minorBidi"/>
          <w:color w:val="000000"/>
          <w:sz w:val="20"/>
          <w:szCs w:val="20"/>
          <w:highlight w:val="yellow"/>
          <w:lang w:val="en-GB"/>
        </w:rPr>
        <w:t>u</w:t>
      </w:r>
      <w:r w:rsidR="76B0EA05" w:rsidRPr="000B6DFF">
        <w:rPr>
          <w:rStyle w:val="Heading2Char"/>
          <w:rFonts w:eastAsiaTheme="minorEastAsia" w:cstheme="minorBidi"/>
          <w:color w:val="000000"/>
          <w:sz w:val="20"/>
          <w:szCs w:val="20"/>
          <w:highlight w:val="yellow"/>
          <w:lang w:val="en-GB"/>
        </w:rPr>
        <w:t xml:space="preserve">cted ring feasibility assessments but desire costing analyses, please reword this objective to measure cost projections and </w:t>
      </w:r>
      <w:r w:rsidR="39CC7C78" w:rsidRPr="000B6DFF">
        <w:rPr>
          <w:rStyle w:val="Heading2Char"/>
          <w:rFonts w:eastAsiaTheme="minorEastAsia" w:cstheme="minorBidi"/>
          <w:color w:val="000000"/>
          <w:sz w:val="20"/>
          <w:szCs w:val="20"/>
          <w:highlight w:val="yellow"/>
          <w:lang w:val="en-GB"/>
        </w:rPr>
        <w:t xml:space="preserve">move it to the </w:t>
      </w:r>
      <w:r w:rsidR="66055377" w:rsidRPr="2104C340">
        <w:rPr>
          <w:rStyle w:val="Heading2Char"/>
          <w:rFonts w:eastAsiaTheme="minorEastAsia" w:cstheme="minorBidi"/>
          <w:color w:val="000000"/>
          <w:sz w:val="20"/>
          <w:szCs w:val="20"/>
          <w:highlight w:val="yellow"/>
          <w:lang w:val="en-GB"/>
        </w:rPr>
        <w:t>final position in</w:t>
      </w:r>
      <w:r w:rsidR="39CC7C78" w:rsidRPr="000B6DFF">
        <w:rPr>
          <w:rStyle w:val="Heading2Char"/>
          <w:rFonts w:eastAsiaTheme="minorEastAsia" w:cstheme="minorBidi"/>
          <w:color w:val="000000"/>
          <w:sz w:val="20"/>
          <w:szCs w:val="20"/>
          <w:highlight w:val="yellow"/>
          <w:lang w:val="en-GB"/>
        </w:rPr>
        <w:t xml:space="preserve"> </w:t>
      </w:r>
      <w:r w:rsidR="76B0EA05" w:rsidRPr="000B6DFF">
        <w:rPr>
          <w:rStyle w:val="Heading2Char"/>
          <w:rFonts w:eastAsiaTheme="minorEastAsia" w:cstheme="minorBidi"/>
          <w:color w:val="000000"/>
          <w:sz w:val="20"/>
          <w:szCs w:val="20"/>
          <w:highlight w:val="yellow"/>
          <w:lang w:val="en-GB"/>
        </w:rPr>
        <w:t>the l</w:t>
      </w:r>
      <w:r w:rsidR="39CC7C78" w:rsidRPr="000B6DFF">
        <w:rPr>
          <w:rStyle w:val="Heading2Char"/>
          <w:rFonts w:eastAsiaTheme="minorEastAsia" w:cstheme="minorBidi"/>
          <w:color w:val="000000"/>
          <w:sz w:val="20"/>
          <w:szCs w:val="20"/>
          <w:highlight w:val="yellow"/>
          <w:lang w:val="en-GB"/>
        </w:rPr>
        <w:t>i</w:t>
      </w:r>
      <w:r w:rsidR="76B0EA05" w:rsidRPr="000B6DFF">
        <w:rPr>
          <w:rStyle w:val="Heading2Char"/>
          <w:rFonts w:eastAsiaTheme="minorEastAsia" w:cstheme="minorBidi"/>
          <w:color w:val="000000"/>
          <w:sz w:val="20"/>
          <w:szCs w:val="20"/>
          <w:highlight w:val="yellow"/>
          <w:lang w:val="en-GB"/>
        </w:rPr>
        <w:t xml:space="preserve">st </w:t>
      </w:r>
      <w:r w:rsidR="39CC7C78" w:rsidRPr="000B6DFF">
        <w:rPr>
          <w:rStyle w:val="Heading2Char"/>
          <w:rFonts w:eastAsiaTheme="minorEastAsia" w:cstheme="minorBidi"/>
          <w:color w:val="000000"/>
          <w:sz w:val="20"/>
          <w:szCs w:val="20"/>
          <w:highlight w:val="yellow"/>
          <w:lang w:val="en-GB"/>
        </w:rPr>
        <w:t xml:space="preserve">of </w:t>
      </w:r>
      <w:r w:rsidR="76B0EA05" w:rsidRPr="000B6DFF">
        <w:rPr>
          <w:rStyle w:val="Heading2Char"/>
          <w:rFonts w:eastAsiaTheme="minorEastAsia" w:cstheme="minorBidi"/>
          <w:color w:val="000000"/>
          <w:sz w:val="20"/>
          <w:szCs w:val="20"/>
          <w:highlight w:val="yellow"/>
          <w:lang w:val="en-GB"/>
        </w:rPr>
        <w:t>objective</w:t>
      </w:r>
      <w:r w:rsidR="39CC7C78" w:rsidRPr="000B6DFF">
        <w:rPr>
          <w:rStyle w:val="Heading2Char"/>
          <w:rFonts w:eastAsiaTheme="minorEastAsia" w:cstheme="minorBidi"/>
          <w:color w:val="000000"/>
          <w:sz w:val="20"/>
          <w:szCs w:val="20"/>
          <w:highlight w:val="yellow"/>
          <w:lang w:val="en-GB"/>
        </w:rPr>
        <w:t>s,</w:t>
      </w:r>
      <w:r w:rsidR="76B0EA05" w:rsidRPr="000B6DFF">
        <w:rPr>
          <w:rStyle w:val="Heading2Char"/>
          <w:rFonts w:eastAsiaTheme="minorEastAsia" w:cstheme="minorBidi"/>
          <w:color w:val="000000"/>
          <w:sz w:val="20"/>
          <w:szCs w:val="20"/>
          <w:highlight w:val="yellow"/>
          <w:lang w:val="en-GB"/>
        </w:rPr>
        <w:t xml:space="preserve"> </w:t>
      </w:r>
      <w:r w:rsidR="4D5E7504" w:rsidRPr="000B6DFF">
        <w:rPr>
          <w:rStyle w:val="Heading2Char"/>
          <w:rFonts w:eastAsiaTheme="minorEastAsia" w:cstheme="minorBidi"/>
          <w:color w:val="000000"/>
          <w:sz w:val="20"/>
          <w:szCs w:val="20"/>
          <w:highlight w:val="yellow"/>
          <w:lang w:val="en-GB"/>
        </w:rPr>
        <w:t>as it will be informed by</w:t>
      </w:r>
      <w:r w:rsidR="76B0EA05" w:rsidRPr="000B6DFF">
        <w:rPr>
          <w:rStyle w:val="Heading2Char"/>
          <w:rFonts w:eastAsiaTheme="minorEastAsia" w:cstheme="minorBidi"/>
          <w:color w:val="000000"/>
          <w:sz w:val="20"/>
          <w:szCs w:val="20"/>
          <w:highlight w:val="yellow"/>
          <w:lang w:val="en-GB"/>
        </w:rPr>
        <w:t xml:space="preserve"> measures </w:t>
      </w:r>
      <w:r w:rsidR="4D5E7504" w:rsidRPr="000B6DFF">
        <w:rPr>
          <w:rStyle w:val="Heading2Char"/>
          <w:rFonts w:eastAsiaTheme="minorEastAsia" w:cstheme="minorBidi"/>
          <w:color w:val="000000"/>
          <w:sz w:val="20"/>
          <w:szCs w:val="20"/>
          <w:highlight w:val="yellow"/>
          <w:lang w:val="en-GB"/>
        </w:rPr>
        <w:t>from those</w:t>
      </w:r>
      <w:r w:rsidR="76B0EA05" w:rsidRPr="000B6DFF">
        <w:rPr>
          <w:rStyle w:val="Heading2Char"/>
          <w:rFonts w:eastAsiaTheme="minorEastAsia" w:cstheme="minorBidi"/>
          <w:color w:val="000000"/>
          <w:sz w:val="20"/>
          <w:szCs w:val="20"/>
          <w:highlight w:val="yellow"/>
          <w:lang w:val="en-GB"/>
        </w:rPr>
        <w:t xml:space="preserve"> </w:t>
      </w:r>
      <w:r w:rsidR="1A2386A9" w:rsidRPr="2104C340">
        <w:rPr>
          <w:rStyle w:val="Heading2Char"/>
          <w:rFonts w:eastAsiaTheme="minorEastAsia" w:cstheme="minorBidi"/>
          <w:color w:val="000000"/>
          <w:sz w:val="20"/>
          <w:szCs w:val="20"/>
          <w:highlight w:val="yellow"/>
          <w:lang w:val="en-GB"/>
        </w:rPr>
        <w:t xml:space="preserve">feasibility </w:t>
      </w:r>
      <w:r w:rsidR="76B0EA05" w:rsidRPr="000B6DFF">
        <w:rPr>
          <w:rStyle w:val="Heading2Char"/>
          <w:rFonts w:eastAsiaTheme="minorEastAsia" w:cstheme="minorBidi"/>
          <w:color w:val="000000"/>
          <w:sz w:val="20"/>
          <w:szCs w:val="20"/>
          <w:highlight w:val="yellow"/>
          <w:lang w:val="en-GB"/>
        </w:rPr>
        <w:t xml:space="preserve">studies as well as </w:t>
      </w:r>
      <w:r w:rsidR="15457D51" w:rsidRPr="000B6DFF">
        <w:rPr>
          <w:rStyle w:val="Heading2Char"/>
          <w:rFonts w:eastAsiaTheme="minorEastAsia" w:cstheme="minorBidi"/>
          <w:color w:val="000000"/>
          <w:sz w:val="20"/>
          <w:szCs w:val="20"/>
          <w:highlight w:val="yellow"/>
          <w:lang w:val="en-GB"/>
        </w:rPr>
        <w:t xml:space="preserve">from </w:t>
      </w:r>
      <w:r w:rsidR="76B0EA05" w:rsidRPr="000B6DFF">
        <w:rPr>
          <w:rStyle w:val="Heading2Char"/>
          <w:rFonts w:eastAsiaTheme="minorEastAsia" w:cstheme="minorBidi"/>
          <w:color w:val="000000"/>
          <w:sz w:val="20"/>
          <w:szCs w:val="20"/>
          <w:highlight w:val="yellow"/>
          <w:lang w:val="en-GB"/>
        </w:rPr>
        <w:t>existing health systems data</w:t>
      </w:r>
      <w:r w:rsidR="39CC7C78" w:rsidRPr="000B6DFF">
        <w:rPr>
          <w:rStyle w:val="Heading2Char"/>
          <w:rFonts w:eastAsiaTheme="minorEastAsia" w:cstheme="minorBidi"/>
          <w:color w:val="000000"/>
          <w:sz w:val="20"/>
          <w:szCs w:val="20"/>
          <w:highlight w:val="yellow"/>
          <w:lang w:val="en-GB"/>
        </w:rPr>
        <w:t>.</w:t>
      </w:r>
      <w:r w:rsidR="76B0EA05" w:rsidRPr="000B6DFF">
        <w:rPr>
          <w:rStyle w:val="Heading2Char"/>
          <w:rFonts w:eastAsiaTheme="minorEastAsia" w:cstheme="minorBidi"/>
          <w:color w:val="000000"/>
          <w:sz w:val="20"/>
          <w:szCs w:val="20"/>
          <w:highlight w:val="yellow"/>
          <w:lang w:val="en-GB"/>
        </w:rPr>
        <w:t>]</w:t>
      </w:r>
    </w:p>
    <w:p w14:paraId="364ED76B" w14:textId="29D6338B" w:rsidR="009B63E5" w:rsidRPr="00D20C32" w:rsidRDefault="00EB16C7" w:rsidP="0EE2F083">
      <w:pPr>
        <w:pStyle w:val="Tabletitle"/>
        <w:rPr>
          <w:rStyle w:val="Heading2Char"/>
          <w:rFonts w:eastAsiaTheme="minorEastAsia" w:cstheme="minorBidi"/>
          <w:color w:val="000000"/>
          <w:sz w:val="20"/>
          <w:szCs w:val="20"/>
          <w:lang w:val="en-GB"/>
        </w:rPr>
      </w:pPr>
      <w:r w:rsidRPr="0EE2F083">
        <w:rPr>
          <w:rStyle w:val="Heading2Char"/>
          <w:rFonts w:eastAsiaTheme="minorEastAsia" w:cstheme="minorBidi"/>
          <w:color w:val="000000"/>
          <w:sz w:val="20"/>
          <w:szCs w:val="20"/>
          <w:lang w:val="en-GB"/>
        </w:rPr>
        <w:t>2</w:t>
      </w:r>
      <w:r w:rsidR="009B63E5" w:rsidRPr="0EE2F083">
        <w:rPr>
          <w:rStyle w:val="Heading2Char"/>
          <w:rFonts w:eastAsiaTheme="minorEastAsia" w:cstheme="minorBidi"/>
          <w:color w:val="000000"/>
          <w:sz w:val="20"/>
          <w:szCs w:val="20"/>
          <w:lang w:val="en-GB"/>
        </w:rPr>
        <w:t xml:space="preserve">. To measure </w:t>
      </w:r>
      <w:r w:rsidR="00A50D9A" w:rsidRPr="0EE2F083">
        <w:rPr>
          <w:rStyle w:val="Heading2Char"/>
          <w:rFonts w:eastAsiaTheme="minorEastAsia" w:cstheme="minorBidi"/>
          <w:color w:val="000000"/>
          <w:sz w:val="20"/>
          <w:szCs w:val="20"/>
          <w:lang w:val="en-GB"/>
        </w:rPr>
        <w:t xml:space="preserve">the </w:t>
      </w:r>
      <w:r w:rsidR="009B63E5" w:rsidRPr="0EE2F083">
        <w:rPr>
          <w:rStyle w:val="Heading2Char"/>
          <w:rFonts w:eastAsiaTheme="minorEastAsia" w:cstheme="minorBidi"/>
          <w:color w:val="000000"/>
          <w:sz w:val="20"/>
          <w:szCs w:val="20"/>
          <w:lang w:val="en-GB"/>
        </w:rPr>
        <w:t xml:space="preserve">acceptability of ring use among clients and service providers </w:t>
      </w:r>
      <w:r w:rsidR="00E0686E" w:rsidRPr="0EE2F083">
        <w:rPr>
          <w:rStyle w:val="Heading2Char"/>
          <w:rFonts w:eastAsiaTheme="minorEastAsia" w:cstheme="minorBidi"/>
          <w:color w:val="000000"/>
          <w:sz w:val="20"/>
          <w:szCs w:val="20"/>
          <w:lang w:val="en-GB"/>
        </w:rPr>
        <w:t>through PrEP method selection/uptake and continuation</w:t>
      </w:r>
      <w:r w:rsidR="00B4791B">
        <w:rPr>
          <w:rStyle w:val="Heading2Char"/>
          <w:rFonts w:eastAsiaTheme="minorEastAsia" w:cstheme="minorBidi"/>
          <w:color w:val="000000"/>
          <w:sz w:val="20"/>
          <w:szCs w:val="20"/>
          <w:lang w:val="en-GB"/>
        </w:rPr>
        <w:t xml:space="preserve"> (ring vs. oral PrEP)</w:t>
      </w:r>
      <w:r w:rsidR="00A50D9A" w:rsidRPr="0EE2F083">
        <w:rPr>
          <w:rStyle w:val="Heading2Char"/>
          <w:rFonts w:eastAsiaTheme="minorEastAsia" w:cstheme="minorBidi"/>
          <w:color w:val="000000"/>
          <w:sz w:val="20"/>
          <w:szCs w:val="20"/>
          <w:lang w:val="en-GB"/>
        </w:rPr>
        <w:t>.</w:t>
      </w:r>
      <w:r w:rsidR="009B63E5" w:rsidRPr="0EE2F083">
        <w:rPr>
          <w:rStyle w:val="Heading2Char"/>
          <w:rFonts w:eastAsiaTheme="minorEastAsia" w:cstheme="minorBidi"/>
          <w:color w:val="000000"/>
          <w:sz w:val="20"/>
          <w:szCs w:val="20"/>
          <w:lang w:val="en-GB"/>
        </w:rPr>
        <w:t xml:space="preserve">  </w:t>
      </w:r>
    </w:p>
    <w:p w14:paraId="4B1BE48C" w14:textId="1E6692A2" w:rsidR="00B27AA4" w:rsidRPr="00D20C32" w:rsidRDefault="00EB16C7" w:rsidP="003E0C46">
      <w:pPr>
        <w:pStyle w:val="Tabletitle"/>
        <w:ind w:left="360"/>
        <w:rPr>
          <w:rStyle w:val="Heading2Char"/>
          <w:rFonts w:eastAsiaTheme="minorEastAsia" w:cstheme="minorBidi"/>
          <w:b/>
          <w:color w:val="000000"/>
          <w:sz w:val="20"/>
          <w:szCs w:val="22"/>
          <w:lang w:val="en-GB"/>
        </w:rPr>
      </w:pPr>
      <w:r w:rsidRPr="00D20C32">
        <w:rPr>
          <w:rStyle w:val="Heading2Char"/>
          <w:rFonts w:eastAsiaTheme="minorEastAsia" w:cstheme="minorBidi"/>
          <w:color w:val="000000"/>
          <w:sz w:val="20"/>
          <w:szCs w:val="22"/>
          <w:lang w:val="en-GB"/>
        </w:rPr>
        <w:t>2</w:t>
      </w:r>
      <w:r w:rsidR="00B27AA4" w:rsidRPr="00D20C32">
        <w:rPr>
          <w:rStyle w:val="Heading2Char"/>
          <w:rFonts w:eastAsiaTheme="minorEastAsia" w:cstheme="minorBidi"/>
          <w:color w:val="000000"/>
          <w:sz w:val="20"/>
          <w:szCs w:val="22"/>
          <w:lang w:val="en-GB"/>
        </w:rPr>
        <w:t>a. To measure product safety through described side</w:t>
      </w:r>
      <w:r w:rsidR="00A50D9A" w:rsidRPr="00D20C32">
        <w:rPr>
          <w:rStyle w:val="Heading2Char"/>
          <w:rFonts w:eastAsiaTheme="minorEastAsia" w:cstheme="minorBidi"/>
          <w:color w:val="000000"/>
          <w:sz w:val="20"/>
          <w:szCs w:val="22"/>
          <w:lang w:val="en-GB"/>
        </w:rPr>
        <w:t xml:space="preserve"> </w:t>
      </w:r>
      <w:r w:rsidR="00B27AA4" w:rsidRPr="00D20C32">
        <w:rPr>
          <w:rStyle w:val="Heading2Char"/>
          <w:rFonts w:eastAsiaTheme="minorEastAsia" w:cstheme="minorBidi"/>
          <w:color w:val="000000"/>
          <w:sz w:val="20"/>
          <w:szCs w:val="22"/>
          <w:lang w:val="en-GB"/>
        </w:rPr>
        <w:t xml:space="preserve">effects and adverse events with either </w:t>
      </w:r>
      <w:r w:rsidR="00A50D9A" w:rsidRPr="00D20C32">
        <w:rPr>
          <w:rStyle w:val="Heading2Char"/>
          <w:rFonts w:eastAsiaTheme="minorEastAsia" w:cstheme="minorBidi"/>
          <w:color w:val="000000"/>
          <w:sz w:val="20"/>
          <w:szCs w:val="22"/>
          <w:lang w:val="en-GB"/>
        </w:rPr>
        <w:t xml:space="preserve">the ring or oral </w:t>
      </w:r>
      <w:proofErr w:type="spellStart"/>
      <w:r w:rsidR="00B27AA4" w:rsidRPr="00D20C32">
        <w:rPr>
          <w:rStyle w:val="Heading2Char"/>
          <w:rFonts w:eastAsiaTheme="minorEastAsia" w:cstheme="minorBidi"/>
          <w:color w:val="000000"/>
          <w:sz w:val="20"/>
          <w:szCs w:val="22"/>
          <w:lang w:val="en-GB"/>
        </w:rPr>
        <w:t>PrEP</w:t>
      </w:r>
      <w:r w:rsidR="00A50D9A" w:rsidRPr="00D20C32">
        <w:rPr>
          <w:rStyle w:val="Heading2Char"/>
          <w:rFonts w:eastAsiaTheme="minorEastAsia" w:cstheme="minorBidi"/>
          <w:color w:val="000000"/>
          <w:sz w:val="20"/>
          <w:szCs w:val="22"/>
          <w:lang w:val="en-GB"/>
        </w:rPr>
        <w:t>.</w:t>
      </w:r>
      <w:proofErr w:type="spellEnd"/>
    </w:p>
    <w:p w14:paraId="2FE2622C" w14:textId="20057A6D" w:rsidR="00B27AA4" w:rsidRPr="00D20C32" w:rsidRDefault="00EB16C7" w:rsidP="003E0C46">
      <w:pPr>
        <w:pStyle w:val="Tabletitle"/>
        <w:ind w:left="360"/>
        <w:rPr>
          <w:rStyle w:val="Heading2Char"/>
          <w:rFonts w:eastAsiaTheme="minorEastAsia" w:cstheme="minorBidi"/>
          <w:color w:val="000000"/>
          <w:sz w:val="20"/>
          <w:szCs w:val="22"/>
          <w:lang w:val="en-GB"/>
        </w:rPr>
      </w:pPr>
      <w:r w:rsidRPr="00D20C32">
        <w:rPr>
          <w:rStyle w:val="Heading2Char"/>
          <w:rFonts w:eastAsiaTheme="minorEastAsia" w:cstheme="minorBidi"/>
          <w:color w:val="000000"/>
          <w:sz w:val="20"/>
          <w:szCs w:val="22"/>
          <w:lang w:val="en-GB"/>
        </w:rPr>
        <w:t>2</w:t>
      </w:r>
      <w:r w:rsidR="00B27AA4" w:rsidRPr="00D20C32">
        <w:rPr>
          <w:rStyle w:val="Heading2Char"/>
          <w:rFonts w:eastAsiaTheme="minorEastAsia" w:cstheme="minorBidi"/>
          <w:color w:val="000000"/>
          <w:sz w:val="20"/>
          <w:szCs w:val="22"/>
          <w:lang w:val="en-GB"/>
        </w:rPr>
        <w:t xml:space="preserve">b. To measure and </w:t>
      </w:r>
      <w:r w:rsidR="009A0EB0" w:rsidRPr="00D20C32">
        <w:rPr>
          <w:rStyle w:val="Heading2Char"/>
          <w:rFonts w:eastAsiaTheme="minorEastAsia" w:cstheme="minorBidi"/>
          <w:color w:val="000000"/>
          <w:sz w:val="20"/>
          <w:szCs w:val="22"/>
          <w:lang w:val="en-GB"/>
        </w:rPr>
        <w:t>explore responsive actions</w:t>
      </w:r>
      <w:r w:rsidR="00270A15" w:rsidRPr="00D20C32">
        <w:rPr>
          <w:rStyle w:val="Heading2Char"/>
          <w:rFonts w:eastAsiaTheme="minorEastAsia" w:cstheme="minorBidi"/>
          <w:color w:val="000000"/>
          <w:sz w:val="20"/>
          <w:szCs w:val="22"/>
          <w:lang w:val="en-GB"/>
        </w:rPr>
        <w:t xml:space="preserve"> by service providers</w:t>
      </w:r>
      <w:r w:rsidR="009A0EB0" w:rsidRPr="00D20C32">
        <w:rPr>
          <w:rStyle w:val="Heading2Char"/>
          <w:rFonts w:eastAsiaTheme="minorEastAsia" w:cstheme="minorBidi"/>
          <w:color w:val="000000"/>
          <w:sz w:val="20"/>
          <w:szCs w:val="22"/>
          <w:lang w:val="en-GB"/>
        </w:rPr>
        <w:t xml:space="preserve"> for</w:t>
      </w:r>
      <w:r w:rsidR="00B27AA4" w:rsidRPr="00D20C32">
        <w:rPr>
          <w:rStyle w:val="Heading2Char"/>
          <w:rFonts w:eastAsiaTheme="minorEastAsia" w:cstheme="minorBidi"/>
          <w:color w:val="000000"/>
          <w:sz w:val="20"/>
          <w:szCs w:val="22"/>
          <w:lang w:val="en-GB"/>
        </w:rPr>
        <w:t xml:space="preserve"> social harms attributed to PrEP use.</w:t>
      </w:r>
    </w:p>
    <w:p w14:paraId="7D6B6116" w14:textId="043FF629" w:rsidR="00240495" w:rsidRPr="00D20C32" w:rsidRDefault="009754D5" w:rsidP="00C529CE">
      <w:pPr>
        <w:pStyle w:val="Tabletitle"/>
        <w:rPr>
          <w:rStyle w:val="Heading2Char"/>
          <w:rFonts w:eastAsiaTheme="minorEastAsia" w:cstheme="minorBidi"/>
          <w:color w:val="000000"/>
          <w:sz w:val="20"/>
          <w:szCs w:val="22"/>
          <w:lang w:val="en-GB"/>
        </w:rPr>
      </w:pPr>
      <w:r w:rsidRPr="00D20C32">
        <w:rPr>
          <w:rStyle w:val="Heading2Char"/>
          <w:rFonts w:eastAsiaTheme="minorEastAsia" w:cstheme="minorBidi"/>
          <w:color w:val="000000"/>
          <w:sz w:val="20"/>
          <w:szCs w:val="22"/>
          <w:lang w:val="en-GB"/>
        </w:rPr>
        <w:t>3</w:t>
      </w:r>
      <w:r w:rsidR="00240495" w:rsidRPr="00D20C32">
        <w:rPr>
          <w:rStyle w:val="Heading2Char"/>
          <w:rFonts w:eastAsiaTheme="minorEastAsia" w:cstheme="minorBidi"/>
          <w:color w:val="000000"/>
          <w:sz w:val="20"/>
          <w:szCs w:val="22"/>
          <w:lang w:val="en-GB"/>
        </w:rPr>
        <w:t xml:space="preserve">. To measure </w:t>
      </w:r>
      <w:r w:rsidR="00A50D9A" w:rsidRPr="00D20C32">
        <w:rPr>
          <w:rStyle w:val="Heading2Char"/>
          <w:rFonts w:eastAsiaTheme="minorEastAsia" w:cstheme="minorBidi"/>
          <w:color w:val="000000"/>
          <w:sz w:val="20"/>
          <w:szCs w:val="22"/>
          <w:lang w:val="en-GB"/>
        </w:rPr>
        <w:t xml:space="preserve">the </w:t>
      </w:r>
      <w:r w:rsidR="00240495" w:rsidRPr="00D20C32">
        <w:rPr>
          <w:rStyle w:val="Heading2Char"/>
          <w:rFonts w:eastAsiaTheme="minorEastAsia" w:cstheme="minorBidi"/>
          <w:color w:val="000000"/>
          <w:sz w:val="20"/>
          <w:szCs w:val="22"/>
          <w:lang w:val="en-GB"/>
        </w:rPr>
        <w:t>fidelity of ring and oral PrEP service delivery against minimum service standards</w:t>
      </w:r>
      <w:r w:rsidR="00B66488" w:rsidRPr="00D20C32">
        <w:rPr>
          <w:rStyle w:val="Heading2Char"/>
          <w:rFonts w:eastAsiaTheme="minorEastAsia" w:cstheme="minorBidi"/>
          <w:color w:val="000000"/>
          <w:sz w:val="20"/>
          <w:szCs w:val="22"/>
          <w:lang w:val="en-GB"/>
        </w:rPr>
        <w:t>, including service quality,</w:t>
      </w:r>
      <w:r w:rsidR="00240495" w:rsidRPr="00D20C32">
        <w:rPr>
          <w:rStyle w:val="Heading2Char"/>
          <w:rFonts w:eastAsiaTheme="minorEastAsia" w:cstheme="minorBidi"/>
          <w:color w:val="000000"/>
          <w:sz w:val="20"/>
          <w:szCs w:val="22"/>
          <w:lang w:val="en-GB"/>
        </w:rPr>
        <w:t xml:space="preserve"> and document </w:t>
      </w:r>
      <w:r w:rsidR="00D20C32" w:rsidRPr="00D20C32">
        <w:rPr>
          <w:rStyle w:val="Heading2Char"/>
          <w:rFonts w:eastAsiaTheme="minorEastAsia" w:cstheme="minorBidi"/>
          <w:color w:val="000000"/>
          <w:sz w:val="20"/>
          <w:szCs w:val="22"/>
          <w:lang w:val="en-GB"/>
        </w:rPr>
        <w:t>adaptations</w:t>
      </w:r>
      <w:r w:rsidR="00240495" w:rsidRPr="00D20C32">
        <w:rPr>
          <w:rStyle w:val="Heading2Char"/>
          <w:rFonts w:eastAsiaTheme="minorEastAsia" w:cstheme="minorBidi"/>
          <w:color w:val="000000"/>
          <w:sz w:val="20"/>
          <w:szCs w:val="22"/>
          <w:lang w:val="en-GB"/>
        </w:rPr>
        <w:t xml:space="preserve"> and the rationale for these changes.</w:t>
      </w:r>
    </w:p>
    <w:p w14:paraId="047E6FB8" w14:textId="60140EEE" w:rsidR="00C529CE" w:rsidRPr="00D20C32" w:rsidRDefault="00C529CE" w:rsidP="00957A30">
      <w:pPr>
        <w:pStyle w:val="Tabletitle"/>
        <w:rPr>
          <w:sz w:val="26"/>
          <w:szCs w:val="26"/>
          <w:lang w:val="en-GB"/>
        </w:rPr>
      </w:pPr>
      <w:r w:rsidRPr="00D20C32">
        <w:rPr>
          <w:rStyle w:val="Heading2Char"/>
          <w:rFonts w:eastAsiaTheme="minorEastAsia" w:cstheme="minorBidi"/>
          <w:b/>
          <w:bCs/>
          <w:lang w:val="en-GB"/>
        </w:rPr>
        <w:t xml:space="preserve">Study design considerations            </w:t>
      </w:r>
    </w:p>
    <w:p w14:paraId="385807F5" w14:textId="67964DDC" w:rsidR="00957A30" w:rsidRPr="00D20C32" w:rsidRDefault="00957A30" w:rsidP="00C529CE">
      <w:pPr>
        <w:rPr>
          <w:rFonts w:cs="Arial"/>
          <w:szCs w:val="20"/>
          <w:lang w:val="en-GB"/>
        </w:rPr>
      </w:pPr>
      <w:r w:rsidRPr="00D20C32">
        <w:rPr>
          <w:rFonts w:cs="Arial"/>
          <w:szCs w:val="20"/>
          <w:lang w:val="en-GB"/>
        </w:rPr>
        <w:t>[</w:t>
      </w:r>
      <w:r w:rsidRPr="00D20C32">
        <w:rPr>
          <w:rFonts w:cs="Arial"/>
          <w:szCs w:val="20"/>
          <w:highlight w:val="yellow"/>
          <w:lang w:val="en-GB"/>
        </w:rPr>
        <w:t xml:space="preserve">These design considerations are illustrative from Zambia’s experience; each country can adapt the considerations based on </w:t>
      </w:r>
      <w:r w:rsidR="00D90716" w:rsidRPr="00D20C32">
        <w:rPr>
          <w:rFonts w:cs="Arial"/>
          <w:szCs w:val="20"/>
          <w:highlight w:val="yellow"/>
          <w:lang w:val="en-GB"/>
        </w:rPr>
        <w:t>i</w:t>
      </w:r>
      <w:r w:rsidRPr="00D20C32">
        <w:rPr>
          <w:rFonts w:cs="Arial"/>
          <w:szCs w:val="20"/>
          <w:highlight w:val="yellow"/>
          <w:lang w:val="en-GB"/>
        </w:rPr>
        <w:t>t</w:t>
      </w:r>
      <w:r w:rsidR="00D90716" w:rsidRPr="00D20C32">
        <w:rPr>
          <w:rFonts w:cs="Arial"/>
          <w:szCs w:val="20"/>
          <w:highlight w:val="yellow"/>
          <w:lang w:val="en-GB"/>
        </w:rPr>
        <w:t>s</w:t>
      </w:r>
      <w:r w:rsidR="009754D5" w:rsidRPr="00D20C32">
        <w:rPr>
          <w:rFonts w:cs="Arial"/>
          <w:szCs w:val="20"/>
          <w:highlight w:val="yellow"/>
          <w:lang w:val="en-GB"/>
        </w:rPr>
        <w:t xml:space="preserve"> specific</w:t>
      </w:r>
      <w:r w:rsidRPr="00D20C32">
        <w:rPr>
          <w:rFonts w:cs="Arial"/>
          <w:szCs w:val="20"/>
          <w:highlight w:val="yellow"/>
          <w:lang w:val="en-GB"/>
        </w:rPr>
        <w:t xml:space="preserve"> priorities. For example, in countries for which feasibility and safety data already exist, health authorities and investigator groups may agree that having a single dissemination event that reports uptake, acceptability, and safety measures is preferable to the two-prong approach described below.]</w:t>
      </w:r>
      <w:r w:rsidRPr="00D20C32">
        <w:rPr>
          <w:rFonts w:cs="Arial"/>
          <w:szCs w:val="20"/>
          <w:lang w:val="en-GB"/>
        </w:rPr>
        <w:t xml:space="preserve">    </w:t>
      </w:r>
    </w:p>
    <w:p w14:paraId="01908CBC" w14:textId="0C35DEC5" w:rsidR="00C529CE" w:rsidRPr="00D20C32" w:rsidRDefault="00C529CE" w:rsidP="00C529CE">
      <w:pPr>
        <w:rPr>
          <w:rFonts w:cs="Arial"/>
          <w:bCs w:val="0"/>
          <w:szCs w:val="20"/>
          <w:lang w:val="en-GB"/>
        </w:rPr>
      </w:pPr>
      <w:r w:rsidRPr="00D20C32">
        <w:rPr>
          <w:rFonts w:cs="Arial"/>
          <w:szCs w:val="20"/>
          <w:lang w:val="en-GB"/>
        </w:rPr>
        <w:t>The MOH</w:t>
      </w:r>
      <w:r w:rsidR="00957A30" w:rsidRPr="00D20C32">
        <w:rPr>
          <w:rFonts w:cs="Arial"/>
          <w:szCs w:val="20"/>
          <w:lang w:val="en-GB"/>
        </w:rPr>
        <w:t xml:space="preserve"> [</w:t>
      </w:r>
      <w:r w:rsidR="00957A30" w:rsidRPr="00D20C32">
        <w:rPr>
          <w:rFonts w:cs="Arial"/>
          <w:szCs w:val="20"/>
          <w:highlight w:val="yellow"/>
          <w:lang w:val="en-GB"/>
        </w:rPr>
        <w:t>or other health authority</w:t>
      </w:r>
      <w:r w:rsidR="00957A30" w:rsidRPr="00D20C32">
        <w:rPr>
          <w:rFonts w:cs="Arial"/>
          <w:szCs w:val="20"/>
          <w:lang w:val="en-GB"/>
        </w:rPr>
        <w:t>]</w:t>
      </w:r>
      <w:r w:rsidRPr="00D20C32">
        <w:rPr>
          <w:rFonts w:cs="Arial"/>
          <w:szCs w:val="20"/>
          <w:lang w:val="en-GB"/>
        </w:rPr>
        <w:t xml:space="preserve"> requests that all investigator teams include these design features in their protocols:</w:t>
      </w:r>
    </w:p>
    <w:p w14:paraId="49220F74" w14:textId="452804B1" w:rsidR="009754D5" w:rsidRPr="00D20C32" w:rsidRDefault="76B0EA05" w:rsidP="2104C340">
      <w:pPr>
        <w:pStyle w:val="ListParagraph"/>
        <w:numPr>
          <w:ilvl w:val="0"/>
          <w:numId w:val="12"/>
        </w:numPr>
        <w:spacing w:before="240" w:after="0" w:line="300" w:lineRule="exact"/>
        <w:rPr>
          <w:rFonts w:ascii="Arial" w:hAnsi="Arial" w:cs="Arial"/>
          <w:lang w:val="en-GB"/>
        </w:rPr>
      </w:pPr>
      <w:r w:rsidRPr="2104C340">
        <w:rPr>
          <w:rFonts w:ascii="Arial" w:hAnsi="Arial" w:cs="Arial"/>
          <w:lang w:val="en-GB"/>
        </w:rPr>
        <w:t>Study sites should include those currently either directly providing oral PrEP or linked to oral PrEP provision (e.g., primary care sites providing family planning and sexual and reproductive health services) with representation of urban, peri-urban, rural, and remote settings, as possible. Each investigator team will complete a mapping matrix to specify</w:t>
      </w:r>
      <w:r w:rsidR="2A716BDF" w:rsidRPr="2104C340">
        <w:rPr>
          <w:rFonts w:ascii="Arial" w:hAnsi="Arial" w:cs="Arial"/>
          <w:lang w:val="en-GB"/>
        </w:rPr>
        <w:t xml:space="preserve"> the</w:t>
      </w:r>
      <w:r w:rsidRPr="2104C340">
        <w:rPr>
          <w:rFonts w:ascii="Arial" w:hAnsi="Arial" w:cs="Arial"/>
          <w:lang w:val="en-GB"/>
        </w:rPr>
        <w:t xml:space="preserve"> site and primary end-user group for </w:t>
      </w:r>
      <w:r w:rsidR="2A716BDF" w:rsidRPr="2104C340">
        <w:rPr>
          <w:rFonts w:ascii="Arial" w:hAnsi="Arial" w:cs="Arial"/>
          <w:lang w:val="en-GB"/>
        </w:rPr>
        <w:t xml:space="preserve">the </w:t>
      </w:r>
      <w:r w:rsidRPr="2104C340">
        <w:rPr>
          <w:rFonts w:ascii="Arial" w:hAnsi="Arial" w:cs="Arial"/>
          <w:lang w:val="en-GB"/>
        </w:rPr>
        <w:t>proposed study to maximi</w:t>
      </w:r>
      <w:r w:rsidR="2FF5F9AB" w:rsidRPr="2104C340">
        <w:rPr>
          <w:rFonts w:ascii="Arial" w:hAnsi="Arial" w:cs="Arial"/>
          <w:lang w:val="en-GB"/>
        </w:rPr>
        <w:t>s</w:t>
      </w:r>
      <w:r w:rsidRPr="2104C340">
        <w:rPr>
          <w:rFonts w:ascii="Arial" w:hAnsi="Arial" w:cs="Arial"/>
          <w:lang w:val="en-GB"/>
        </w:rPr>
        <w:t>e coverage and prevent duplication (Annex 1).</w:t>
      </w:r>
      <w:r w:rsidRPr="2104C340">
        <w:rPr>
          <w:rFonts w:cs="Arial"/>
          <w:lang w:val="en-GB"/>
        </w:rPr>
        <w:t xml:space="preserve">  </w:t>
      </w:r>
    </w:p>
    <w:p w14:paraId="6FBA1572" w14:textId="3A6449BE" w:rsidR="00C02E56" w:rsidRPr="00B4791B" w:rsidRDefault="00B317E9" w:rsidP="00C02E56">
      <w:pPr>
        <w:pStyle w:val="ListParagraph"/>
        <w:numPr>
          <w:ilvl w:val="0"/>
          <w:numId w:val="12"/>
        </w:numPr>
        <w:spacing w:before="240" w:after="0" w:line="300" w:lineRule="exact"/>
        <w:rPr>
          <w:rFonts w:asciiTheme="minorBidi" w:hAnsiTheme="minorBidi" w:cstheme="minorBidi"/>
          <w:szCs w:val="20"/>
          <w:lang w:val="en-GB"/>
        </w:rPr>
      </w:pPr>
      <w:r w:rsidRPr="00B4791B">
        <w:rPr>
          <w:rFonts w:asciiTheme="minorBidi" w:hAnsiTheme="minorBidi" w:cstheme="minorBidi"/>
          <w:szCs w:val="20"/>
          <w:lang w:val="en-GB"/>
        </w:rPr>
        <w:t xml:space="preserve">The </w:t>
      </w:r>
      <w:r w:rsidR="009754D5" w:rsidRPr="00B4791B">
        <w:rPr>
          <w:rFonts w:asciiTheme="minorBidi" w:hAnsiTheme="minorBidi" w:cstheme="minorBidi"/>
          <w:szCs w:val="20"/>
          <w:lang w:val="en-GB"/>
        </w:rPr>
        <w:t>MOH [</w:t>
      </w:r>
      <w:r w:rsidR="009754D5" w:rsidRPr="00B4791B">
        <w:rPr>
          <w:rFonts w:asciiTheme="minorBidi" w:hAnsiTheme="minorBidi" w:cstheme="minorBidi"/>
          <w:szCs w:val="20"/>
          <w:highlight w:val="yellow"/>
          <w:lang w:val="en-GB"/>
        </w:rPr>
        <w:t>or other health authority</w:t>
      </w:r>
      <w:r w:rsidR="009754D5" w:rsidRPr="00B4791B">
        <w:rPr>
          <w:rFonts w:asciiTheme="minorBidi" w:hAnsiTheme="minorBidi" w:cstheme="minorBidi"/>
          <w:szCs w:val="20"/>
          <w:lang w:val="en-GB"/>
        </w:rPr>
        <w:t xml:space="preserve">] requests that studies include and identify clients who have used and discontinued oral PrEP as a separate arm/group from PrEP-naïve participants in the sample. The rationale for this differentiation is that users who have tried and discontinued </w:t>
      </w:r>
      <w:r w:rsidRPr="00B4791B">
        <w:rPr>
          <w:rFonts w:asciiTheme="minorBidi" w:hAnsiTheme="minorBidi" w:cstheme="minorBidi"/>
          <w:szCs w:val="20"/>
          <w:lang w:val="en-GB"/>
        </w:rPr>
        <w:t xml:space="preserve">oral PrEP </w:t>
      </w:r>
      <w:r w:rsidR="009754D5" w:rsidRPr="00B4791B">
        <w:rPr>
          <w:rFonts w:asciiTheme="minorBidi" w:hAnsiTheme="minorBidi" w:cstheme="minorBidi"/>
          <w:szCs w:val="20"/>
          <w:lang w:val="en-GB"/>
        </w:rPr>
        <w:t xml:space="preserve">(inclusive of periods of resuming use) may have different perspectives on </w:t>
      </w:r>
      <w:r w:rsidR="00D90716" w:rsidRPr="00B4791B">
        <w:rPr>
          <w:rFonts w:asciiTheme="minorBidi" w:hAnsiTheme="minorBidi" w:cstheme="minorBidi"/>
          <w:szCs w:val="20"/>
          <w:lang w:val="en-GB"/>
        </w:rPr>
        <w:t xml:space="preserve">the </w:t>
      </w:r>
      <w:r w:rsidR="009754D5" w:rsidRPr="00B4791B">
        <w:rPr>
          <w:rFonts w:asciiTheme="minorBidi" w:hAnsiTheme="minorBidi" w:cstheme="minorBidi"/>
          <w:szCs w:val="20"/>
          <w:lang w:val="en-GB"/>
        </w:rPr>
        <w:t xml:space="preserve">tolerability of </w:t>
      </w:r>
      <w:r w:rsidR="009754D5" w:rsidRPr="00B4791B">
        <w:rPr>
          <w:rFonts w:asciiTheme="minorBidi" w:hAnsiTheme="minorBidi" w:cstheme="minorBidi"/>
          <w:szCs w:val="20"/>
          <w:lang w:val="en-GB"/>
        </w:rPr>
        <w:lastRenderedPageBreak/>
        <w:t>side</w:t>
      </w:r>
      <w:r w:rsidR="00D90716" w:rsidRPr="00B4791B">
        <w:rPr>
          <w:rFonts w:asciiTheme="minorBidi" w:hAnsiTheme="minorBidi" w:cstheme="minorBidi"/>
          <w:szCs w:val="20"/>
          <w:lang w:val="en-GB"/>
        </w:rPr>
        <w:t xml:space="preserve"> </w:t>
      </w:r>
      <w:r w:rsidR="009754D5" w:rsidRPr="00B4791B">
        <w:rPr>
          <w:rFonts w:asciiTheme="minorBidi" w:hAnsiTheme="minorBidi" w:cstheme="minorBidi"/>
          <w:szCs w:val="20"/>
          <w:lang w:val="en-GB"/>
        </w:rPr>
        <w:t>effects or product access/use</w:t>
      </w:r>
      <w:r w:rsidR="00D90716" w:rsidRPr="00B4791B">
        <w:rPr>
          <w:rFonts w:asciiTheme="minorBidi" w:hAnsiTheme="minorBidi" w:cstheme="minorBidi"/>
          <w:szCs w:val="20"/>
          <w:lang w:val="en-GB"/>
        </w:rPr>
        <w:t>, and those perspectives m</w:t>
      </w:r>
      <w:r w:rsidRPr="00B4791B">
        <w:rPr>
          <w:rFonts w:asciiTheme="minorBidi" w:hAnsiTheme="minorBidi" w:cstheme="minorBidi"/>
          <w:szCs w:val="20"/>
          <w:lang w:val="en-GB"/>
        </w:rPr>
        <w:t>ay</w:t>
      </w:r>
      <w:r w:rsidR="00D90716" w:rsidRPr="00B4791B">
        <w:rPr>
          <w:rFonts w:asciiTheme="minorBidi" w:hAnsiTheme="minorBidi" w:cstheme="minorBidi"/>
          <w:szCs w:val="20"/>
          <w:lang w:val="en-GB"/>
        </w:rPr>
        <w:t xml:space="preserve"> influence </w:t>
      </w:r>
      <w:r w:rsidR="009754D5" w:rsidRPr="00B4791B">
        <w:rPr>
          <w:rFonts w:asciiTheme="minorBidi" w:hAnsiTheme="minorBidi" w:cstheme="minorBidi"/>
          <w:szCs w:val="20"/>
          <w:lang w:val="en-GB"/>
        </w:rPr>
        <w:t xml:space="preserve">ring continuation or switching. Because </w:t>
      </w:r>
      <w:r w:rsidRPr="00B4791B">
        <w:rPr>
          <w:rFonts w:asciiTheme="minorBidi" w:hAnsiTheme="minorBidi" w:cstheme="minorBidi"/>
          <w:szCs w:val="20"/>
          <w:lang w:val="en-GB"/>
        </w:rPr>
        <w:t xml:space="preserve">the </w:t>
      </w:r>
      <w:r w:rsidR="009754D5" w:rsidRPr="00B4791B">
        <w:rPr>
          <w:rFonts w:asciiTheme="minorBidi" w:hAnsiTheme="minorBidi" w:cstheme="minorBidi"/>
          <w:szCs w:val="20"/>
          <w:lang w:val="en-GB"/>
        </w:rPr>
        <w:t xml:space="preserve">ring is indicated predominantly for women who cannot or do not wish to use oral PrEP, it is important to capture the </w:t>
      </w:r>
      <w:r w:rsidRPr="00B4791B">
        <w:rPr>
          <w:rFonts w:asciiTheme="minorBidi" w:hAnsiTheme="minorBidi" w:cstheme="minorBidi"/>
          <w:szCs w:val="20"/>
          <w:lang w:val="en-GB"/>
        </w:rPr>
        <w:t xml:space="preserve">perspectives of </w:t>
      </w:r>
      <w:r w:rsidR="009754D5" w:rsidRPr="00B4791B">
        <w:rPr>
          <w:rFonts w:asciiTheme="minorBidi" w:hAnsiTheme="minorBidi" w:cstheme="minorBidi"/>
          <w:szCs w:val="20"/>
          <w:lang w:val="en-GB"/>
        </w:rPr>
        <w:t xml:space="preserve">experienced </w:t>
      </w:r>
      <w:r w:rsidR="00D93992" w:rsidRPr="00B4791B">
        <w:rPr>
          <w:rFonts w:asciiTheme="minorBidi" w:hAnsiTheme="minorBidi" w:cstheme="minorBidi"/>
          <w:szCs w:val="20"/>
          <w:lang w:val="en-GB"/>
        </w:rPr>
        <w:t xml:space="preserve">users who have discontinued </w:t>
      </w:r>
      <w:r w:rsidR="009754D5" w:rsidRPr="00B4791B">
        <w:rPr>
          <w:rFonts w:asciiTheme="minorBidi" w:hAnsiTheme="minorBidi" w:cstheme="minorBidi"/>
          <w:szCs w:val="20"/>
          <w:lang w:val="en-GB"/>
        </w:rPr>
        <w:t xml:space="preserve">oral PrEP as a primary client group for the ring. </w:t>
      </w:r>
      <w:r w:rsidR="00C02E56" w:rsidRPr="00B4791B">
        <w:rPr>
          <w:rFonts w:asciiTheme="minorBidi" w:hAnsiTheme="minorBidi" w:cstheme="minorBidi"/>
          <w:szCs w:val="20"/>
          <w:lang w:val="en-GB"/>
        </w:rPr>
        <w:t>This number may be limited relative to new PrEP clients and can be considered an exploratory analysis.</w:t>
      </w:r>
    </w:p>
    <w:p w14:paraId="332B2B95" w14:textId="28D02E80" w:rsidR="009754D5" w:rsidRPr="00B4791B" w:rsidRDefault="7AEE2C22" w:rsidP="2104C340">
      <w:pPr>
        <w:pStyle w:val="ListParagraph"/>
        <w:numPr>
          <w:ilvl w:val="0"/>
          <w:numId w:val="12"/>
        </w:numPr>
        <w:spacing w:before="240" w:after="0" w:line="300" w:lineRule="exact"/>
        <w:rPr>
          <w:rFonts w:asciiTheme="minorBidi" w:hAnsiTheme="minorBidi" w:cstheme="minorBidi"/>
          <w:szCs w:val="20"/>
          <w:lang w:val="en-GB"/>
        </w:rPr>
      </w:pPr>
      <w:r w:rsidRPr="00B4791B">
        <w:rPr>
          <w:rFonts w:asciiTheme="minorBidi" w:hAnsiTheme="minorBidi" w:cstheme="minorBidi"/>
          <w:szCs w:val="20"/>
          <w:lang w:val="en-GB"/>
        </w:rPr>
        <w:t xml:space="preserve">The </w:t>
      </w:r>
      <w:r w:rsidR="76B0EA05" w:rsidRPr="00B4791B">
        <w:rPr>
          <w:rFonts w:asciiTheme="minorBidi" w:hAnsiTheme="minorBidi" w:cstheme="minorBidi"/>
          <w:szCs w:val="20"/>
          <w:lang w:val="en-GB"/>
        </w:rPr>
        <w:t>MOH [</w:t>
      </w:r>
      <w:r w:rsidR="76B0EA05" w:rsidRPr="00B4791B">
        <w:rPr>
          <w:rFonts w:asciiTheme="minorBidi" w:hAnsiTheme="minorBidi" w:cstheme="minorBidi"/>
          <w:szCs w:val="20"/>
          <w:highlight w:val="yellow"/>
          <w:lang w:val="en-GB"/>
        </w:rPr>
        <w:t>or other health authority</w:t>
      </w:r>
      <w:r w:rsidR="76B0EA05" w:rsidRPr="00B4791B">
        <w:rPr>
          <w:rFonts w:asciiTheme="minorBidi" w:hAnsiTheme="minorBidi" w:cstheme="minorBidi"/>
          <w:szCs w:val="20"/>
          <w:lang w:val="en-GB"/>
        </w:rPr>
        <w:t>] recommends inclusion of broad community-level ring sensiti</w:t>
      </w:r>
      <w:r w:rsidR="00B471DA" w:rsidRPr="00B4791B">
        <w:rPr>
          <w:rFonts w:asciiTheme="minorBidi" w:hAnsiTheme="minorBidi" w:cstheme="minorBidi"/>
          <w:szCs w:val="20"/>
          <w:lang w:val="en-GB"/>
        </w:rPr>
        <w:t>s</w:t>
      </w:r>
      <w:r w:rsidR="76B0EA05" w:rsidRPr="00B4791B">
        <w:rPr>
          <w:rFonts w:asciiTheme="minorBidi" w:hAnsiTheme="minorBidi" w:cstheme="minorBidi"/>
          <w:szCs w:val="20"/>
          <w:lang w:val="en-GB"/>
        </w:rPr>
        <w:t>ation sessions prior to and during study implementation</w:t>
      </w:r>
      <w:r w:rsidRPr="00B4791B">
        <w:rPr>
          <w:rFonts w:asciiTheme="minorBidi" w:hAnsiTheme="minorBidi" w:cstheme="minorBidi"/>
          <w:szCs w:val="20"/>
          <w:lang w:val="en-GB"/>
        </w:rPr>
        <w:t>,</w:t>
      </w:r>
      <w:r w:rsidR="76B0EA05" w:rsidRPr="00B4791B">
        <w:rPr>
          <w:rFonts w:asciiTheme="minorBidi" w:hAnsiTheme="minorBidi" w:cstheme="minorBidi"/>
          <w:szCs w:val="20"/>
          <w:lang w:val="en-GB"/>
        </w:rPr>
        <w:t xml:space="preserve"> with qualitative assessment of planned materials to guide national adaptation. Sensiti</w:t>
      </w:r>
      <w:r w:rsidR="401D058D" w:rsidRPr="00B4791B">
        <w:rPr>
          <w:rFonts w:asciiTheme="minorBidi" w:hAnsiTheme="minorBidi" w:cstheme="minorBidi"/>
          <w:szCs w:val="20"/>
          <w:lang w:val="en-GB"/>
        </w:rPr>
        <w:t>s</w:t>
      </w:r>
      <w:r w:rsidR="76B0EA05" w:rsidRPr="00B4791B">
        <w:rPr>
          <w:rFonts w:asciiTheme="minorBidi" w:hAnsiTheme="minorBidi" w:cstheme="minorBidi"/>
          <w:szCs w:val="20"/>
          <w:lang w:val="en-GB"/>
        </w:rPr>
        <w:t xml:space="preserve">ation sessions shall feature the nature of the study (i.e., implementation assessment rather than safety/efficacy trial) and plans for inclusion of community oversight within the </w:t>
      </w:r>
      <w:r w:rsidRPr="00B4791B">
        <w:rPr>
          <w:rFonts w:asciiTheme="minorBidi" w:hAnsiTheme="minorBidi" w:cstheme="minorBidi"/>
          <w:szCs w:val="20"/>
          <w:lang w:val="en-GB"/>
        </w:rPr>
        <w:t>study</w:t>
      </w:r>
      <w:r w:rsidR="25B198AF" w:rsidRPr="00B4791B">
        <w:rPr>
          <w:rFonts w:asciiTheme="minorBidi" w:hAnsiTheme="minorBidi" w:cstheme="minorBidi"/>
          <w:szCs w:val="20"/>
          <w:lang w:val="en-GB"/>
        </w:rPr>
        <w:t>’s</w:t>
      </w:r>
      <w:r w:rsidRPr="00B4791B">
        <w:rPr>
          <w:rFonts w:asciiTheme="minorBidi" w:hAnsiTheme="minorBidi" w:cstheme="minorBidi"/>
          <w:szCs w:val="20"/>
          <w:lang w:val="en-GB"/>
        </w:rPr>
        <w:t xml:space="preserve"> </w:t>
      </w:r>
      <w:r w:rsidR="25B198AF" w:rsidRPr="00B4791B">
        <w:rPr>
          <w:rFonts w:asciiTheme="minorBidi" w:hAnsiTheme="minorBidi" w:cstheme="minorBidi"/>
          <w:szCs w:val="20"/>
          <w:lang w:val="en-GB"/>
        </w:rPr>
        <w:t>A</w:t>
      </w:r>
      <w:r w:rsidRPr="00B4791B">
        <w:rPr>
          <w:rFonts w:asciiTheme="minorBidi" w:hAnsiTheme="minorBidi" w:cstheme="minorBidi"/>
          <w:szCs w:val="20"/>
          <w:lang w:val="en-GB"/>
        </w:rPr>
        <w:t xml:space="preserve">dvisory </w:t>
      </w:r>
      <w:r w:rsidR="25B198AF" w:rsidRPr="00B4791B">
        <w:rPr>
          <w:rFonts w:asciiTheme="minorBidi" w:hAnsiTheme="minorBidi" w:cstheme="minorBidi"/>
          <w:szCs w:val="20"/>
          <w:lang w:val="en-GB"/>
        </w:rPr>
        <w:t>C</w:t>
      </w:r>
      <w:r w:rsidRPr="00B4791B">
        <w:rPr>
          <w:rFonts w:asciiTheme="minorBidi" w:hAnsiTheme="minorBidi" w:cstheme="minorBidi"/>
          <w:szCs w:val="20"/>
          <w:lang w:val="en-GB"/>
        </w:rPr>
        <w:t>ommittee</w:t>
      </w:r>
      <w:r w:rsidR="76B0EA05" w:rsidRPr="00B4791B">
        <w:rPr>
          <w:rFonts w:asciiTheme="minorBidi" w:hAnsiTheme="minorBidi" w:cstheme="minorBidi"/>
          <w:szCs w:val="20"/>
          <w:lang w:val="en-GB"/>
        </w:rPr>
        <w:t xml:space="preserve">. </w:t>
      </w:r>
    </w:p>
    <w:p w14:paraId="1A33BCA3" w14:textId="645F840B" w:rsidR="009754D5" w:rsidRPr="00B4791B" w:rsidRDefault="00B317E9" w:rsidP="009754D5">
      <w:pPr>
        <w:pStyle w:val="ListParagraph"/>
        <w:numPr>
          <w:ilvl w:val="0"/>
          <w:numId w:val="12"/>
        </w:numPr>
        <w:spacing w:before="240" w:after="0" w:line="300" w:lineRule="exact"/>
        <w:rPr>
          <w:rFonts w:asciiTheme="minorBidi" w:hAnsiTheme="minorBidi" w:cstheme="minorBidi"/>
          <w:szCs w:val="20"/>
          <w:lang w:val="en-GB"/>
        </w:rPr>
      </w:pPr>
      <w:r w:rsidRPr="00B4791B">
        <w:rPr>
          <w:rFonts w:asciiTheme="minorBidi" w:hAnsiTheme="minorBidi" w:cstheme="minorBidi"/>
          <w:szCs w:val="20"/>
          <w:lang w:val="en-GB"/>
        </w:rPr>
        <w:t xml:space="preserve">The </w:t>
      </w:r>
      <w:r w:rsidR="009754D5" w:rsidRPr="00B4791B">
        <w:rPr>
          <w:rFonts w:asciiTheme="minorBidi" w:hAnsiTheme="minorBidi" w:cstheme="minorBidi"/>
          <w:szCs w:val="20"/>
          <w:lang w:val="en-GB"/>
        </w:rPr>
        <w:t>MOH [</w:t>
      </w:r>
      <w:r w:rsidR="009754D5" w:rsidRPr="00B4791B">
        <w:rPr>
          <w:rFonts w:asciiTheme="minorBidi" w:hAnsiTheme="minorBidi" w:cstheme="minorBidi"/>
          <w:szCs w:val="20"/>
          <w:highlight w:val="yellow"/>
          <w:lang w:val="en-GB"/>
        </w:rPr>
        <w:t>or other health authority</w:t>
      </w:r>
      <w:r w:rsidR="009754D5" w:rsidRPr="00B4791B">
        <w:rPr>
          <w:rFonts w:asciiTheme="minorBidi" w:hAnsiTheme="minorBidi" w:cstheme="minorBidi"/>
          <w:szCs w:val="20"/>
          <w:lang w:val="en-GB"/>
        </w:rPr>
        <w:t>] recommends developing/adapting and testing draft provider training packages with minimum service delivery standards and coaching of provider</w:t>
      </w:r>
      <w:r w:rsidRPr="00B4791B">
        <w:rPr>
          <w:rFonts w:asciiTheme="minorBidi" w:hAnsiTheme="minorBidi" w:cstheme="minorBidi"/>
          <w:szCs w:val="20"/>
          <w:lang w:val="en-GB"/>
        </w:rPr>
        <w:t xml:space="preserve">s on </w:t>
      </w:r>
      <w:r w:rsidR="009754D5" w:rsidRPr="00B4791B">
        <w:rPr>
          <w:rFonts w:asciiTheme="minorBidi" w:hAnsiTheme="minorBidi" w:cstheme="minorBidi"/>
          <w:szCs w:val="20"/>
          <w:lang w:val="en-GB"/>
        </w:rPr>
        <w:t xml:space="preserve">offering </w:t>
      </w:r>
      <w:r w:rsidR="005D3027" w:rsidRPr="00B4791B">
        <w:rPr>
          <w:rFonts w:asciiTheme="minorBidi" w:hAnsiTheme="minorBidi" w:cstheme="minorBidi"/>
          <w:szCs w:val="20"/>
          <w:lang w:val="en-GB"/>
        </w:rPr>
        <w:t xml:space="preserve">ring </w:t>
      </w:r>
      <w:proofErr w:type="gramStart"/>
      <w:r w:rsidR="005D3027" w:rsidRPr="00B4791B">
        <w:rPr>
          <w:rFonts w:asciiTheme="minorBidi" w:hAnsiTheme="minorBidi" w:cstheme="minorBidi"/>
          <w:szCs w:val="20"/>
          <w:lang w:val="en-GB"/>
        </w:rPr>
        <w:t>users</w:t>
      </w:r>
      <w:proofErr w:type="gramEnd"/>
      <w:r w:rsidR="005D3027" w:rsidRPr="00B4791B">
        <w:rPr>
          <w:rFonts w:asciiTheme="minorBidi" w:hAnsiTheme="minorBidi" w:cstheme="minorBidi"/>
          <w:szCs w:val="20"/>
          <w:lang w:val="en-GB"/>
        </w:rPr>
        <w:t xml:space="preserve"> </w:t>
      </w:r>
      <w:r w:rsidR="009754D5" w:rsidRPr="00B4791B">
        <w:rPr>
          <w:rFonts w:asciiTheme="minorBidi" w:hAnsiTheme="minorBidi" w:cstheme="minorBidi"/>
          <w:szCs w:val="20"/>
          <w:lang w:val="en-GB"/>
        </w:rPr>
        <w:t>instruction on and motivation for self-insertion at initial use and subsequent visits</w:t>
      </w:r>
      <w:r w:rsidR="005D3027" w:rsidRPr="00B4791B">
        <w:rPr>
          <w:rFonts w:asciiTheme="minorBidi" w:hAnsiTheme="minorBidi" w:cstheme="minorBidi"/>
          <w:szCs w:val="20"/>
          <w:lang w:val="en-GB"/>
        </w:rPr>
        <w:t xml:space="preserve">. Training and coaching should be provided </w:t>
      </w:r>
      <w:r w:rsidR="009754D5" w:rsidRPr="00B4791B">
        <w:rPr>
          <w:rFonts w:asciiTheme="minorBidi" w:hAnsiTheme="minorBidi" w:cstheme="minorBidi"/>
          <w:szCs w:val="20"/>
          <w:lang w:val="en-GB"/>
        </w:rPr>
        <w:t>prior to and during study implementation</w:t>
      </w:r>
      <w:r w:rsidRPr="00B4791B">
        <w:rPr>
          <w:rFonts w:asciiTheme="minorBidi" w:hAnsiTheme="minorBidi" w:cstheme="minorBidi"/>
          <w:szCs w:val="20"/>
          <w:lang w:val="en-GB"/>
        </w:rPr>
        <w:t>,</w:t>
      </w:r>
      <w:r w:rsidR="009754D5" w:rsidRPr="00B4791B">
        <w:rPr>
          <w:rFonts w:asciiTheme="minorBidi" w:hAnsiTheme="minorBidi" w:cstheme="minorBidi"/>
          <w:szCs w:val="20"/>
          <w:lang w:val="en-GB"/>
        </w:rPr>
        <w:t xml:space="preserve"> with qualitative assessment of planned materials to guide national adaptation. Illustrative questions to aid in refining these packages are provided in </w:t>
      </w:r>
      <w:r w:rsidR="003C4958">
        <w:rPr>
          <w:rFonts w:asciiTheme="minorBidi" w:hAnsiTheme="minorBidi" w:cstheme="minorBidi"/>
          <w:szCs w:val="20"/>
          <w:lang w:val="en-GB"/>
        </w:rPr>
        <w:t>T</w:t>
      </w:r>
      <w:r w:rsidR="009754D5" w:rsidRPr="00B4791B">
        <w:rPr>
          <w:rFonts w:asciiTheme="minorBidi" w:hAnsiTheme="minorBidi" w:cstheme="minorBidi"/>
          <w:szCs w:val="20"/>
          <w:lang w:val="en-GB"/>
        </w:rPr>
        <w:t xml:space="preserve">ables </w:t>
      </w:r>
      <w:r w:rsidR="00D62B77" w:rsidRPr="00B4791B">
        <w:rPr>
          <w:rFonts w:asciiTheme="minorBidi" w:hAnsiTheme="minorBidi" w:cstheme="minorBidi"/>
          <w:szCs w:val="20"/>
          <w:lang w:val="en-GB"/>
        </w:rPr>
        <w:t>3</w:t>
      </w:r>
      <w:r w:rsidR="009754D5" w:rsidRPr="00B4791B">
        <w:rPr>
          <w:rFonts w:asciiTheme="minorBidi" w:hAnsiTheme="minorBidi" w:cstheme="minorBidi"/>
          <w:szCs w:val="20"/>
          <w:lang w:val="en-GB"/>
        </w:rPr>
        <w:t xml:space="preserve"> and </w:t>
      </w:r>
      <w:r w:rsidR="00D62B77" w:rsidRPr="00B4791B">
        <w:rPr>
          <w:rFonts w:asciiTheme="minorBidi" w:hAnsiTheme="minorBidi" w:cstheme="minorBidi"/>
          <w:szCs w:val="20"/>
          <w:lang w:val="en-GB"/>
        </w:rPr>
        <w:t>4</w:t>
      </w:r>
      <w:r w:rsidR="009754D5" w:rsidRPr="00B4791B">
        <w:rPr>
          <w:rFonts w:asciiTheme="minorBidi" w:hAnsiTheme="minorBidi" w:cstheme="minorBidi"/>
          <w:szCs w:val="20"/>
          <w:lang w:val="en-GB"/>
        </w:rPr>
        <w:t>.</w:t>
      </w:r>
    </w:p>
    <w:p w14:paraId="4DD873F5" w14:textId="48340036" w:rsidR="009754D5" w:rsidRPr="00B4791B" w:rsidRDefault="009754D5" w:rsidP="009754D5">
      <w:pPr>
        <w:pStyle w:val="ListParagraph"/>
        <w:numPr>
          <w:ilvl w:val="0"/>
          <w:numId w:val="12"/>
        </w:numPr>
        <w:spacing w:before="240" w:after="0" w:line="300" w:lineRule="exact"/>
        <w:rPr>
          <w:rFonts w:asciiTheme="minorBidi" w:hAnsiTheme="minorBidi" w:cstheme="minorBidi"/>
          <w:szCs w:val="20"/>
          <w:lang w:val="en-GB"/>
        </w:rPr>
      </w:pPr>
      <w:r w:rsidRPr="00B4791B">
        <w:rPr>
          <w:rFonts w:asciiTheme="minorBidi" w:hAnsiTheme="minorBidi" w:cstheme="minorBidi"/>
          <w:szCs w:val="20"/>
          <w:lang w:val="en-GB"/>
        </w:rPr>
        <w:t xml:space="preserve">For acceptability outcomes, </w:t>
      </w:r>
      <w:r w:rsidR="005D3027" w:rsidRPr="00B4791B">
        <w:rPr>
          <w:rFonts w:asciiTheme="minorBidi" w:hAnsiTheme="minorBidi" w:cstheme="minorBidi"/>
          <w:szCs w:val="20"/>
          <w:lang w:val="en-GB"/>
        </w:rPr>
        <w:t xml:space="preserve">the </w:t>
      </w:r>
      <w:r w:rsidRPr="00B4791B">
        <w:rPr>
          <w:rFonts w:asciiTheme="minorBidi" w:hAnsiTheme="minorBidi" w:cstheme="minorBidi"/>
          <w:szCs w:val="20"/>
          <w:lang w:val="en-GB"/>
        </w:rPr>
        <w:t>MOH [</w:t>
      </w:r>
      <w:r w:rsidRPr="00B4791B">
        <w:rPr>
          <w:rFonts w:asciiTheme="minorBidi" w:hAnsiTheme="minorBidi" w:cstheme="minorBidi"/>
          <w:szCs w:val="20"/>
          <w:highlight w:val="yellow"/>
          <w:lang w:val="en-GB"/>
        </w:rPr>
        <w:t>or other health authority</w:t>
      </w:r>
      <w:r w:rsidRPr="00B4791B">
        <w:rPr>
          <w:rFonts w:asciiTheme="minorBidi" w:hAnsiTheme="minorBidi" w:cstheme="minorBidi"/>
          <w:szCs w:val="20"/>
          <w:lang w:val="en-GB"/>
        </w:rPr>
        <w:t xml:space="preserve">] requests that </w:t>
      </w:r>
      <w:r w:rsidR="00955B3C" w:rsidRPr="00B4791B">
        <w:rPr>
          <w:rFonts w:asciiTheme="minorBidi" w:hAnsiTheme="minorBidi" w:cstheme="minorBidi"/>
          <w:szCs w:val="20"/>
          <w:lang w:val="en-GB"/>
        </w:rPr>
        <w:t xml:space="preserve">all </w:t>
      </w:r>
      <w:r w:rsidRPr="00B4791B">
        <w:rPr>
          <w:rFonts w:asciiTheme="minorBidi" w:hAnsiTheme="minorBidi" w:cstheme="minorBidi"/>
          <w:szCs w:val="20"/>
          <w:lang w:val="en-GB"/>
        </w:rPr>
        <w:t xml:space="preserve">studies measure whether clients opt for either oral PrEP or </w:t>
      </w:r>
      <w:r w:rsidR="009F2010" w:rsidRPr="00B4791B">
        <w:rPr>
          <w:rFonts w:asciiTheme="minorBidi" w:hAnsiTheme="minorBidi" w:cstheme="minorBidi"/>
          <w:szCs w:val="20"/>
          <w:lang w:val="en-GB"/>
        </w:rPr>
        <w:t xml:space="preserve">the </w:t>
      </w:r>
      <w:r w:rsidRPr="00B4791B">
        <w:rPr>
          <w:rFonts w:asciiTheme="minorBidi" w:hAnsiTheme="minorBidi" w:cstheme="minorBidi"/>
          <w:szCs w:val="20"/>
          <w:lang w:val="en-GB"/>
        </w:rPr>
        <w:t xml:space="preserve">ring in addition to other HIV prevention measures (e.g., condom use) at study entry and include PrEP method discontinuation/switching and reported use of other HIV prevention methods as part of required acceptability outcome measures (please see Table </w:t>
      </w:r>
      <w:r w:rsidR="00D62B77" w:rsidRPr="00B4791B">
        <w:rPr>
          <w:rFonts w:asciiTheme="minorBidi" w:hAnsiTheme="minorBidi" w:cstheme="minorBidi"/>
          <w:szCs w:val="20"/>
          <w:lang w:val="en-GB"/>
        </w:rPr>
        <w:t>3</w:t>
      </w:r>
      <w:r w:rsidRPr="00B4791B">
        <w:rPr>
          <w:rFonts w:asciiTheme="minorBidi" w:hAnsiTheme="minorBidi" w:cstheme="minorBidi"/>
          <w:szCs w:val="20"/>
          <w:lang w:val="en-GB"/>
        </w:rPr>
        <w:t xml:space="preserve">). </w:t>
      </w:r>
      <w:r w:rsidR="009F2010" w:rsidRPr="00B4791B">
        <w:rPr>
          <w:rFonts w:asciiTheme="minorBidi" w:hAnsiTheme="minorBidi" w:cstheme="minorBidi"/>
          <w:szCs w:val="20"/>
          <w:lang w:val="en-GB"/>
        </w:rPr>
        <w:t>Al</w:t>
      </w:r>
      <w:r w:rsidRPr="00B4791B">
        <w:rPr>
          <w:rFonts w:asciiTheme="minorBidi" w:hAnsiTheme="minorBidi" w:cstheme="minorBidi"/>
          <w:szCs w:val="20"/>
          <w:lang w:val="en-GB"/>
        </w:rPr>
        <w:t>th</w:t>
      </w:r>
      <w:r w:rsidR="009F2010" w:rsidRPr="00B4791B">
        <w:rPr>
          <w:rFonts w:asciiTheme="minorBidi" w:hAnsiTheme="minorBidi" w:cstheme="minorBidi"/>
          <w:szCs w:val="20"/>
          <w:lang w:val="en-GB"/>
        </w:rPr>
        <w:t xml:space="preserve">ough this differentiation </w:t>
      </w:r>
      <w:r w:rsidRPr="00B4791B">
        <w:rPr>
          <w:rFonts w:asciiTheme="minorBidi" w:hAnsiTheme="minorBidi" w:cstheme="minorBidi"/>
          <w:szCs w:val="20"/>
          <w:lang w:val="en-GB"/>
        </w:rPr>
        <w:t xml:space="preserve">may </w:t>
      </w:r>
      <w:r w:rsidR="009F2010" w:rsidRPr="00B4791B">
        <w:rPr>
          <w:rFonts w:asciiTheme="minorBidi" w:hAnsiTheme="minorBidi" w:cstheme="minorBidi"/>
          <w:szCs w:val="20"/>
          <w:lang w:val="en-GB"/>
        </w:rPr>
        <w:t>present</w:t>
      </w:r>
      <w:r w:rsidRPr="00B4791B">
        <w:rPr>
          <w:rFonts w:asciiTheme="minorBidi" w:hAnsiTheme="minorBidi" w:cstheme="minorBidi"/>
          <w:szCs w:val="20"/>
          <w:lang w:val="en-GB"/>
        </w:rPr>
        <w:t xml:space="preserve"> statistical power concerns for </w:t>
      </w:r>
      <w:r w:rsidR="00955B3C" w:rsidRPr="00B4791B">
        <w:rPr>
          <w:rFonts w:asciiTheme="minorBidi" w:hAnsiTheme="minorBidi" w:cstheme="minorBidi"/>
          <w:szCs w:val="20"/>
          <w:lang w:val="en-GB"/>
        </w:rPr>
        <w:t>an individual</w:t>
      </w:r>
      <w:r w:rsidRPr="00B4791B">
        <w:rPr>
          <w:rFonts w:asciiTheme="minorBidi" w:hAnsiTheme="minorBidi" w:cstheme="minorBidi"/>
          <w:szCs w:val="20"/>
          <w:lang w:val="en-GB"/>
        </w:rPr>
        <w:t xml:space="preserve"> study</w:t>
      </w:r>
      <w:r w:rsidR="00955B3C" w:rsidRPr="00B4791B">
        <w:rPr>
          <w:rFonts w:asciiTheme="minorBidi" w:hAnsiTheme="minorBidi" w:cstheme="minorBidi"/>
          <w:szCs w:val="20"/>
          <w:lang w:val="en-GB"/>
        </w:rPr>
        <w:t xml:space="preserve"> if conducted as a pilot</w:t>
      </w:r>
      <w:r w:rsidRPr="00B4791B">
        <w:rPr>
          <w:rFonts w:asciiTheme="minorBidi" w:hAnsiTheme="minorBidi" w:cstheme="minorBidi"/>
          <w:szCs w:val="20"/>
          <w:lang w:val="en-GB"/>
        </w:rPr>
        <w:t>,</w:t>
      </w:r>
      <w:r w:rsidR="00955B3C" w:rsidRPr="00B4791B">
        <w:rPr>
          <w:rFonts w:asciiTheme="minorBidi" w:hAnsiTheme="minorBidi" w:cstheme="minorBidi"/>
          <w:szCs w:val="20"/>
          <w:lang w:val="en-GB"/>
        </w:rPr>
        <w:t xml:space="preserve"> </w:t>
      </w:r>
      <w:r w:rsidRPr="00B4791B">
        <w:rPr>
          <w:rFonts w:asciiTheme="minorBidi" w:hAnsiTheme="minorBidi" w:cstheme="minorBidi"/>
          <w:szCs w:val="20"/>
          <w:lang w:val="en-GB"/>
        </w:rPr>
        <w:t xml:space="preserve">we anticipate </w:t>
      </w:r>
      <w:r w:rsidR="00955B3C" w:rsidRPr="00B4791B">
        <w:rPr>
          <w:rFonts w:asciiTheme="minorBidi" w:hAnsiTheme="minorBidi" w:cstheme="minorBidi"/>
          <w:szCs w:val="20"/>
          <w:lang w:val="en-GB"/>
        </w:rPr>
        <w:t xml:space="preserve">that </w:t>
      </w:r>
      <w:r w:rsidRPr="00B4791B">
        <w:rPr>
          <w:rFonts w:asciiTheme="minorBidi" w:hAnsiTheme="minorBidi" w:cstheme="minorBidi"/>
          <w:szCs w:val="20"/>
          <w:lang w:val="en-GB"/>
        </w:rPr>
        <w:t xml:space="preserve">a pooled analysis will </w:t>
      </w:r>
      <w:r w:rsidR="00955B3C" w:rsidRPr="00B4791B">
        <w:rPr>
          <w:rFonts w:asciiTheme="minorBidi" w:hAnsiTheme="minorBidi" w:cstheme="minorBidi"/>
          <w:szCs w:val="20"/>
          <w:lang w:val="en-GB"/>
        </w:rPr>
        <w:t xml:space="preserve">be possible </w:t>
      </w:r>
      <w:r w:rsidR="00FA371F" w:rsidRPr="00B4791B">
        <w:rPr>
          <w:rFonts w:asciiTheme="minorBidi" w:hAnsiTheme="minorBidi" w:cstheme="minorBidi"/>
          <w:szCs w:val="20"/>
          <w:lang w:val="en-GB"/>
        </w:rPr>
        <w:t>in scenarios where there are multiple studies or a multisite study,</w:t>
      </w:r>
      <w:r w:rsidR="00955B3C" w:rsidRPr="00B4791B">
        <w:rPr>
          <w:rFonts w:asciiTheme="minorBidi" w:hAnsiTheme="minorBidi" w:cstheme="minorBidi"/>
          <w:szCs w:val="20"/>
          <w:lang w:val="en-GB"/>
        </w:rPr>
        <w:t xml:space="preserve"> </w:t>
      </w:r>
      <w:r w:rsidRPr="00B4791B">
        <w:rPr>
          <w:rFonts w:asciiTheme="minorBidi" w:hAnsiTheme="minorBidi" w:cstheme="minorBidi"/>
          <w:szCs w:val="20"/>
          <w:lang w:val="en-GB"/>
        </w:rPr>
        <w:t>permit</w:t>
      </w:r>
      <w:r w:rsidR="00FA371F" w:rsidRPr="00B4791B">
        <w:rPr>
          <w:rFonts w:asciiTheme="minorBidi" w:hAnsiTheme="minorBidi" w:cstheme="minorBidi"/>
          <w:szCs w:val="20"/>
          <w:lang w:val="en-GB"/>
        </w:rPr>
        <w:t>ting</w:t>
      </w:r>
      <w:r w:rsidRPr="00B4791B">
        <w:rPr>
          <w:rFonts w:asciiTheme="minorBidi" w:hAnsiTheme="minorBidi" w:cstheme="minorBidi"/>
          <w:szCs w:val="20"/>
          <w:lang w:val="en-GB"/>
        </w:rPr>
        <w:t xml:space="preserve"> greater power to detect true differences in initial and longer-term acceptability for each PrEP method.  </w:t>
      </w:r>
    </w:p>
    <w:p w14:paraId="03E5676F" w14:textId="5594AA2F" w:rsidR="009754D5" w:rsidRPr="00B4791B" w:rsidRDefault="76B0EA05" w:rsidP="2104C340">
      <w:pPr>
        <w:pStyle w:val="ListParagraph"/>
        <w:numPr>
          <w:ilvl w:val="0"/>
          <w:numId w:val="12"/>
        </w:numPr>
        <w:spacing w:before="240" w:after="0" w:line="300" w:lineRule="exact"/>
        <w:rPr>
          <w:rFonts w:asciiTheme="minorBidi" w:hAnsiTheme="minorBidi" w:cstheme="minorBidi"/>
          <w:szCs w:val="20"/>
          <w:lang w:val="en-GB"/>
        </w:rPr>
      </w:pPr>
      <w:r w:rsidRPr="00B4791B">
        <w:rPr>
          <w:rFonts w:asciiTheme="minorBidi" w:hAnsiTheme="minorBidi" w:cstheme="minorBidi"/>
          <w:szCs w:val="20"/>
          <w:lang w:val="en-GB"/>
        </w:rPr>
        <w:t>To contextuali</w:t>
      </w:r>
      <w:r w:rsidR="3884D1B4" w:rsidRPr="00B4791B">
        <w:rPr>
          <w:rFonts w:asciiTheme="minorBidi" w:hAnsiTheme="minorBidi" w:cstheme="minorBidi"/>
          <w:szCs w:val="20"/>
          <w:lang w:val="en-GB"/>
        </w:rPr>
        <w:t>s</w:t>
      </w:r>
      <w:r w:rsidRPr="00B4791B">
        <w:rPr>
          <w:rFonts w:asciiTheme="minorBidi" w:hAnsiTheme="minorBidi" w:cstheme="minorBidi"/>
          <w:szCs w:val="20"/>
          <w:lang w:val="en-GB"/>
        </w:rPr>
        <w:t xml:space="preserve">e acceptability outcomes, </w:t>
      </w:r>
      <w:r w:rsidR="20B8DECD" w:rsidRPr="00B4791B">
        <w:rPr>
          <w:rFonts w:asciiTheme="minorBidi" w:hAnsiTheme="minorBidi" w:cstheme="minorBidi"/>
          <w:szCs w:val="20"/>
          <w:lang w:val="en-GB"/>
        </w:rPr>
        <w:t xml:space="preserve">the </w:t>
      </w:r>
      <w:r w:rsidRPr="00B4791B">
        <w:rPr>
          <w:rFonts w:asciiTheme="minorBidi" w:hAnsiTheme="minorBidi" w:cstheme="minorBidi"/>
          <w:szCs w:val="20"/>
          <w:lang w:val="en-GB"/>
        </w:rPr>
        <w:t>MOH [</w:t>
      </w:r>
      <w:r w:rsidRPr="00B4791B">
        <w:rPr>
          <w:rFonts w:asciiTheme="minorBidi" w:hAnsiTheme="minorBidi" w:cstheme="minorBidi"/>
          <w:szCs w:val="20"/>
          <w:highlight w:val="yellow"/>
          <w:lang w:val="en-GB"/>
        </w:rPr>
        <w:t>or other health authority</w:t>
      </w:r>
      <w:r w:rsidRPr="00B4791B">
        <w:rPr>
          <w:rFonts w:asciiTheme="minorBidi" w:hAnsiTheme="minorBidi" w:cstheme="minorBidi"/>
          <w:szCs w:val="20"/>
          <w:lang w:val="en-GB"/>
        </w:rPr>
        <w:t xml:space="preserve">] requests that studies conduct qualitative interviews with a subsample of clients </w:t>
      </w:r>
      <w:r w:rsidR="6CE11ABE" w:rsidRPr="00B4791B">
        <w:rPr>
          <w:rFonts w:asciiTheme="minorBidi" w:hAnsiTheme="minorBidi" w:cstheme="minorBidi"/>
          <w:szCs w:val="20"/>
          <w:lang w:val="en-GB"/>
        </w:rPr>
        <w:t xml:space="preserve">to explore </w:t>
      </w:r>
      <w:r w:rsidR="20B8DECD" w:rsidRPr="00B4791B">
        <w:rPr>
          <w:rFonts w:asciiTheme="minorBidi" w:hAnsiTheme="minorBidi" w:cstheme="minorBidi"/>
          <w:szCs w:val="20"/>
          <w:lang w:val="en-GB"/>
        </w:rPr>
        <w:t xml:space="preserve">the </w:t>
      </w:r>
      <w:r w:rsidRPr="00B4791B">
        <w:rPr>
          <w:rFonts w:asciiTheme="minorBidi" w:hAnsiTheme="minorBidi" w:cstheme="minorBidi"/>
          <w:szCs w:val="20"/>
          <w:lang w:val="en-GB"/>
        </w:rPr>
        <w:t>acceptability of ring use, including reasons for selecting or switching to the ring and reasons for continuing</w:t>
      </w:r>
      <w:r w:rsidR="20B8DECD" w:rsidRPr="00B4791B">
        <w:rPr>
          <w:rFonts w:asciiTheme="minorBidi" w:hAnsiTheme="minorBidi" w:cstheme="minorBidi"/>
          <w:szCs w:val="20"/>
          <w:lang w:val="en-GB"/>
        </w:rPr>
        <w:t xml:space="preserve"> or discont</w:t>
      </w:r>
      <w:r w:rsidR="7D71A260" w:rsidRPr="00B4791B">
        <w:rPr>
          <w:rFonts w:asciiTheme="minorBidi" w:hAnsiTheme="minorBidi" w:cstheme="minorBidi"/>
          <w:szCs w:val="20"/>
          <w:lang w:val="en-GB"/>
        </w:rPr>
        <w:t>in</w:t>
      </w:r>
      <w:r w:rsidR="20B8DECD" w:rsidRPr="00B4791B">
        <w:rPr>
          <w:rFonts w:asciiTheme="minorBidi" w:hAnsiTheme="minorBidi" w:cstheme="minorBidi"/>
          <w:szCs w:val="20"/>
          <w:lang w:val="en-GB"/>
        </w:rPr>
        <w:t>uing its use</w:t>
      </w:r>
      <w:r w:rsidRPr="00B4791B">
        <w:rPr>
          <w:rFonts w:asciiTheme="minorBidi" w:hAnsiTheme="minorBidi" w:cstheme="minorBidi"/>
          <w:szCs w:val="20"/>
          <w:lang w:val="en-GB"/>
        </w:rPr>
        <w:t xml:space="preserve">. These interviews should also </w:t>
      </w:r>
      <w:r w:rsidR="20B8DECD" w:rsidRPr="00B4791B">
        <w:rPr>
          <w:rFonts w:asciiTheme="minorBidi" w:hAnsiTheme="minorBidi" w:cstheme="minorBidi"/>
          <w:szCs w:val="20"/>
          <w:lang w:val="en-GB"/>
        </w:rPr>
        <w:t xml:space="preserve">address </w:t>
      </w:r>
      <w:r w:rsidRPr="00B4791B">
        <w:rPr>
          <w:rFonts w:asciiTheme="minorBidi" w:hAnsiTheme="minorBidi" w:cstheme="minorBidi"/>
          <w:szCs w:val="20"/>
          <w:lang w:val="en-GB"/>
        </w:rPr>
        <w:t xml:space="preserve">disclosure of ring use and discussions about ring use with partners and peers. Interviews </w:t>
      </w:r>
      <w:r w:rsidR="7D71A260" w:rsidRPr="00B4791B">
        <w:rPr>
          <w:rFonts w:asciiTheme="minorBidi" w:hAnsiTheme="minorBidi" w:cstheme="minorBidi"/>
          <w:szCs w:val="20"/>
          <w:lang w:val="en-GB"/>
        </w:rPr>
        <w:t>would</w:t>
      </w:r>
      <w:r w:rsidRPr="00B4791B">
        <w:rPr>
          <w:rFonts w:asciiTheme="minorBidi" w:hAnsiTheme="minorBidi" w:cstheme="minorBidi"/>
          <w:szCs w:val="20"/>
          <w:lang w:val="en-GB"/>
        </w:rPr>
        <w:t xml:space="preserve"> ideally inclu</w:t>
      </w:r>
      <w:r w:rsidR="20B8DECD" w:rsidRPr="00B4791B">
        <w:rPr>
          <w:rFonts w:asciiTheme="minorBidi" w:hAnsiTheme="minorBidi" w:cstheme="minorBidi"/>
          <w:szCs w:val="20"/>
          <w:lang w:val="en-GB"/>
        </w:rPr>
        <w:t>d</w:t>
      </w:r>
      <w:r w:rsidRPr="00B4791B">
        <w:rPr>
          <w:rFonts w:asciiTheme="minorBidi" w:hAnsiTheme="minorBidi" w:cstheme="minorBidi"/>
          <w:szCs w:val="20"/>
          <w:lang w:val="en-GB"/>
        </w:rPr>
        <w:t>e representatives across the age span and by group, such as sex workers. Interviews may also include key influencers</w:t>
      </w:r>
      <w:r w:rsidR="20B8DECD" w:rsidRPr="00B4791B">
        <w:rPr>
          <w:rFonts w:asciiTheme="minorBidi" w:hAnsiTheme="minorBidi" w:cstheme="minorBidi"/>
          <w:szCs w:val="20"/>
          <w:lang w:val="en-GB"/>
        </w:rPr>
        <w:t>,</w:t>
      </w:r>
      <w:r w:rsidRPr="00B4791B">
        <w:rPr>
          <w:rFonts w:asciiTheme="minorBidi" w:hAnsiTheme="minorBidi" w:cstheme="minorBidi"/>
          <w:szCs w:val="20"/>
          <w:lang w:val="en-GB"/>
        </w:rPr>
        <w:t xml:space="preserve"> such as male partners </w:t>
      </w:r>
      <w:r w:rsidR="20B8DECD" w:rsidRPr="00B4791B">
        <w:rPr>
          <w:rFonts w:asciiTheme="minorBidi" w:hAnsiTheme="minorBidi" w:cstheme="minorBidi"/>
          <w:szCs w:val="20"/>
          <w:lang w:val="en-GB"/>
        </w:rPr>
        <w:t>to whom partners have chosen to disclose their</w:t>
      </w:r>
      <w:r w:rsidRPr="00B4791B">
        <w:rPr>
          <w:rFonts w:asciiTheme="minorBidi" w:hAnsiTheme="minorBidi" w:cstheme="minorBidi"/>
          <w:szCs w:val="20"/>
          <w:lang w:val="en-GB"/>
        </w:rPr>
        <w:t xml:space="preserve"> ring use, other family members, or community leaders. These interviews may focus on exploring communication and demand creation strategies and adherence support strategies.  </w:t>
      </w:r>
    </w:p>
    <w:p w14:paraId="12BDB03E" w14:textId="0DF8EE8A" w:rsidR="009754D5" w:rsidRPr="00B4791B" w:rsidRDefault="76B0EA05" w:rsidP="2104C340">
      <w:pPr>
        <w:pStyle w:val="ListParagraph"/>
        <w:numPr>
          <w:ilvl w:val="0"/>
          <w:numId w:val="12"/>
        </w:numPr>
        <w:spacing w:before="240" w:after="0" w:line="300" w:lineRule="exact"/>
        <w:rPr>
          <w:rFonts w:asciiTheme="minorBidi" w:hAnsiTheme="minorBidi" w:cstheme="minorBidi"/>
          <w:szCs w:val="20"/>
          <w:lang w:val="en-GB"/>
        </w:rPr>
      </w:pPr>
      <w:r w:rsidRPr="00B4791B">
        <w:rPr>
          <w:rFonts w:asciiTheme="minorBidi" w:hAnsiTheme="minorBidi" w:cstheme="minorBidi"/>
          <w:szCs w:val="20"/>
          <w:lang w:val="en-GB"/>
        </w:rPr>
        <w:t>To contextuali</w:t>
      </w:r>
      <w:r w:rsidR="6AD31296" w:rsidRPr="00B4791B">
        <w:rPr>
          <w:rFonts w:asciiTheme="minorBidi" w:hAnsiTheme="minorBidi" w:cstheme="minorBidi"/>
          <w:szCs w:val="20"/>
          <w:lang w:val="en-GB"/>
        </w:rPr>
        <w:t>s</w:t>
      </w:r>
      <w:r w:rsidRPr="00B4791B">
        <w:rPr>
          <w:rFonts w:asciiTheme="minorBidi" w:hAnsiTheme="minorBidi" w:cstheme="minorBidi"/>
          <w:szCs w:val="20"/>
          <w:lang w:val="en-GB"/>
        </w:rPr>
        <w:t xml:space="preserve">e acceptability outcomes, </w:t>
      </w:r>
      <w:r w:rsidR="6CE11ABE" w:rsidRPr="00B4791B">
        <w:rPr>
          <w:rFonts w:asciiTheme="minorBidi" w:hAnsiTheme="minorBidi" w:cstheme="minorBidi"/>
          <w:szCs w:val="20"/>
          <w:lang w:val="en-GB"/>
        </w:rPr>
        <w:t xml:space="preserve">the </w:t>
      </w:r>
      <w:r w:rsidRPr="00B4791B">
        <w:rPr>
          <w:rFonts w:asciiTheme="minorBidi" w:hAnsiTheme="minorBidi" w:cstheme="minorBidi"/>
          <w:szCs w:val="20"/>
          <w:lang w:val="en-GB"/>
        </w:rPr>
        <w:t>MOH [</w:t>
      </w:r>
      <w:r w:rsidRPr="00B4791B">
        <w:rPr>
          <w:rFonts w:asciiTheme="minorBidi" w:hAnsiTheme="minorBidi" w:cstheme="minorBidi"/>
          <w:szCs w:val="20"/>
          <w:highlight w:val="yellow"/>
          <w:lang w:val="en-GB"/>
        </w:rPr>
        <w:t>or other health authority</w:t>
      </w:r>
      <w:r w:rsidRPr="00B4791B">
        <w:rPr>
          <w:rFonts w:asciiTheme="minorBidi" w:hAnsiTheme="minorBidi" w:cstheme="minorBidi"/>
          <w:szCs w:val="20"/>
          <w:lang w:val="en-GB"/>
        </w:rPr>
        <w:t xml:space="preserve">] requests that studies include qualitative interviews with a subsample of health care providers </w:t>
      </w:r>
      <w:r w:rsidR="6CE11ABE" w:rsidRPr="00B4791B">
        <w:rPr>
          <w:rFonts w:asciiTheme="minorBidi" w:hAnsiTheme="minorBidi" w:cstheme="minorBidi"/>
          <w:szCs w:val="20"/>
          <w:lang w:val="en-GB"/>
        </w:rPr>
        <w:t xml:space="preserve">to </w:t>
      </w:r>
      <w:r w:rsidRPr="00B4791B">
        <w:rPr>
          <w:rFonts w:asciiTheme="minorBidi" w:hAnsiTheme="minorBidi" w:cstheme="minorBidi"/>
          <w:szCs w:val="20"/>
          <w:lang w:val="en-GB"/>
        </w:rPr>
        <w:t>explor</w:t>
      </w:r>
      <w:r w:rsidR="6CE11ABE" w:rsidRPr="00B4791B">
        <w:rPr>
          <w:rFonts w:asciiTheme="minorBidi" w:hAnsiTheme="minorBidi" w:cstheme="minorBidi"/>
          <w:szCs w:val="20"/>
          <w:lang w:val="en-GB"/>
        </w:rPr>
        <w:t xml:space="preserve">e </w:t>
      </w:r>
      <w:r w:rsidRPr="00B4791B">
        <w:rPr>
          <w:rFonts w:asciiTheme="minorBidi" w:hAnsiTheme="minorBidi" w:cstheme="minorBidi"/>
          <w:szCs w:val="20"/>
          <w:lang w:val="en-GB"/>
        </w:rPr>
        <w:t xml:space="preserve">ease of ring </w:t>
      </w:r>
      <w:r w:rsidR="00D20C32" w:rsidRPr="00B4791B">
        <w:rPr>
          <w:rFonts w:asciiTheme="minorBidi" w:hAnsiTheme="minorBidi" w:cstheme="minorBidi"/>
          <w:szCs w:val="20"/>
          <w:lang w:val="en-GB"/>
        </w:rPr>
        <w:t>counselling</w:t>
      </w:r>
      <w:r w:rsidRPr="00B4791B">
        <w:rPr>
          <w:rFonts w:asciiTheme="minorBidi" w:hAnsiTheme="minorBidi" w:cstheme="minorBidi"/>
          <w:szCs w:val="20"/>
          <w:lang w:val="en-GB"/>
        </w:rPr>
        <w:t xml:space="preserve"> and provision, including preferences </w:t>
      </w:r>
      <w:r w:rsidR="6CE11ABE" w:rsidRPr="00B4791B">
        <w:rPr>
          <w:rFonts w:asciiTheme="minorBidi" w:hAnsiTheme="minorBidi" w:cstheme="minorBidi"/>
          <w:szCs w:val="20"/>
          <w:lang w:val="en-GB"/>
        </w:rPr>
        <w:t xml:space="preserve">for </w:t>
      </w:r>
      <w:r w:rsidRPr="00B4791B">
        <w:rPr>
          <w:rFonts w:asciiTheme="minorBidi" w:hAnsiTheme="minorBidi" w:cstheme="minorBidi"/>
          <w:szCs w:val="20"/>
          <w:lang w:val="en-GB"/>
        </w:rPr>
        <w:t>ring insertion by providers vs. teaching self-insertion at initial and follow-up visits, perceived time investment, utility of draft provider training materials/job aids, and factors motivating</w:t>
      </w:r>
      <w:r w:rsidR="6CE11ABE" w:rsidRPr="00B4791B">
        <w:rPr>
          <w:rFonts w:asciiTheme="minorBidi" w:hAnsiTheme="minorBidi" w:cstheme="minorBidi"/>
          <w:szCs w:val="20"/>
          <w:lang w:val="en-GB"/>
        </w:rPr>
        <w:t xml:space="preserve"> or </w:t>
      </w:r>
      <w:r w:rsidRPr="00B4791B">
        <w:rPr>
          <w:rFonts w:asciiTheme="minorBidi" w:hAnsiTheme="minorBidi" w:cstheme="minorBidi"/>
          <w:szCs w:val="20"/>
          <w:lang w:val="en-GB"/>
        </w:rPr>
        <w:t xml:space="preserve">dissuading providers from </w:t>
      </w:r>
      <w:r w:rsidR="00D20C32" w:rsidRPr="00B4791B">
        <w:rPr>
          <w:rFonts w:asciiTheme="minorBidi" w:hAnsiTheme="minorBidi" w:cstheme="minorBidi"/>
          <w:szCs w:val="20"/>
          <w:lang w:val="en-GB"/>
        </w:rPr>
        <w:t>counselling</w:t>
      </w:r>
      <w:r w:rsidRPr="00B4791B">
        <w:rPr>
          <w:rFonts w:asciiTheme="minorBidi" w:hAnsiTheme="minorBidi" w:cstheme="minorBidi"/>
          <w:szCs w:val="20"/>
          <w:lang w:val="en-GB"/>
        </w:rPr>
        <w:t xml:space="preserve"> or providing </w:t>
      </w:r>
      <w:r w:rsidR="00377276" w:rsidRPr="00B4791B">
        <w:rPr>
          <w:rFonts w:asciiTheme="minorBidi" w:hAnsiTheme="minorBidi" w:cstheme="minorBidi"/>
          <w:szCs w:val="20"/>
          <w:lang w:val="en-GB"/>
        </w:rPr>
        <w:t xml:space="preserve">the </w:t>
      </w:r>
      <w:r w:rsidRPr="00B4791B">
        <w:rPr>
          <w:rFonts w:asciiTheme="minorBidi" w:hAnsiTheme="minorBidi" w:cstheme="minorBidi"/>
          <w:szCs w:val="20"/>
          <w:lang w:val="en-GB"/>
        </w:rPr>
        <w:t xml:space="preserve">ring. Interviews may also explore provider-targeted </w:t>
      </w:r>
      <w:r w:rsidR="6CE11ABE" w:rsidRPr="00B4791B">
        <w:rPr>
          <w:rFonts w:asciiTheme="minorBidi" w:hAnsiTheme="minorBidi" w:cstheme="minorBidi"/>
          <w:szCs w:val="20"/>
          <w:lang w:val="en-GB"/>
        </w:rPr>
        <w:t xml:space="preserve">strategies for </w:t>
      </w:r>
      <w:r w:rsidRPr="00B4791B">
        <w:rPr>
          <w:rFonts w:asciiTheme="minorBidi" w:hAnsiTheme="minorBidi" w:cstheme="minorBidi"/>
          <w:szCs w:val="20"/>
          <w:lang w:val="en-GB"/>
        </w:rPr>
        <w:t>communication</w:t>
      </w:r>
      <w:r w:rsidR="6CE11ABE" w:rsidRPr="00B4791B">
        <w:rPr>
          <w:rFonts w:asciiTheme="minorBidi" w:hAnsiTheme="minorBidi" w:cstheme="minorBidi"/>
          <w:szCs w:val="20"/>
          <w:lang w:val="en-GB"/>
        </w:rPr>
        <w:t>,</w:t>
      </w:r>
      <w:r w:rsidRPr="00B4791B">
        <w:rPr>
          <w:rFonts w:asciiTheme="minorBidi" w:hAnsiTheme="minorBidi" w:cstheme="minorBidi"/>
          <w:szCs w:val="20"/>
          <w:lang w:val="en-GB"/>
        </w:rPr>
        <w:t xml:space="preserve"> demand creation</w:t>
      </w:r>
      <w:r w:rsidR="6CE11ABE" w:rsidRPr="00B4791B">
        <w:rPr>
          <w:rFonts w:asciiTheme="minorBidi" w:hAnsiTheme="minorBidi" w:cstheme="minorBidi"/>
          <w:szCs w:val="20"/>
          <w:lang w:val="en-GB"/>
        </w:rPr>
        <w:t>,</w:t>
      </w:r>
      <w:r w:rsidRPr="00B4791B">
        <w:rPr>
          <w:rFonts w:asciiTheme="minorBidi" w:hAnsiTheme="minorBidi" w:cstheme="minorBidi"/>
          <w:szCs w:val="20"/>
          <w:lang w:val="en-GB"/>
        </w:rPr>
        <w:t xml:space="preserve"> and adherence support. Interviews will ideally include providers</w:t>
      </w:r>
      <w:r w:rsidR="6CE11ABE" w:rsidRPr="00B4791B">
        <w:rPr>
          <w:rFonts w:asciiTheme="minorBidi" w:hAnsiTheme="minorBidi" w:cstheme="minorBidi"/>
          <w:szCs w:val="20"/>
          <w:lang w:val="en-GB"/>
        </w:rPr>
        <w:t xml:space="preserve"> representing</w:t>
      </w:r>
      <w:r w:rsidRPr="00B4791B">
        <w:rPr>
          <w:rFonts w:asciiTheme="minorBidi" w:hAnsiTheme="minorBidi" w:cstheme="minorBidi"/>
          <w:szCs w:val="20"/>
          <w:lang w:val="en-GB"/>
        </w:rPr>
        <w:t xml:space="preserve"> different cadres</w:t>
      </w:r>
      <w:r w:rsidR="6CE11ABE" w:rsidRPr="00B4791B">
        <w:rPr>
          <w:rFonts w:asciiTheme="minorBidi" w:hAnsiTheme="minorBidi" w:cstheme="minorBidi"/>
          <w:szCs w:val="20"/>
          <w:lang w:val="en-GB"/>
        </w:rPr>
        <w:t>,</w:t>
      </w:r>
      <w:r w:rsidRPr="00B4791B">
        <w:rPr>
          <w:rFonts w:asciiTheme="minorBidi" w:hAnsiTheme="minorBidi" w:cstheme="minorBidi"/>
          <w:szCs w:val="20"/>
          <w:lang w:val="en-GB"/>
        </w:rPr>
        <w:t xml:space="preserve"> sex</w:t>
      </w:r>
      <w:r w:rsidR="6CE11ABE" w:rsidRPr="00B4791B">
        <w:rPr>
          <w:rFonts w:asciiTheme="minorBidi" w:hAnsiTheme="minorBidi" w:cstheme="minorBidi"/>
          <w:szCs w:val="20"/>
          <w:lang w:val="en-GB"/>
        </w:rPr>
        <w:t>es</w:t>
      </w:r>
      <w:r w:rsidRPr="00B4791B">
        <w:rPr>
          <w:rFonts w:asciiTheme="minorBidi" w:hAnsiTheme="minorBidi" w:cstheme="minorBidi"/>
          <w:szCs w:val="20"/>
          <w:lang w:val="en-GB"/>
        </w:rPr>
        <w:t>, years in practice, and service area</w:t>
      </w:r>
      <w:r w:rsidR="6CE11ABE" w:rsidRPr="00B4791B">
        <w:rPr>
          <w:rFonts w:asciiTheme="minorBidi" w:hAnsiTheme="minorBidi" w:cstheme="minorBidi"/>
          <w:szCs w:val="20"/>
          <w:lang w:val="en-GB"/>
        </w:rPr>
        <w:t>s</w:t>
      </w:r>
      <w:r w:rsidRPr="00B4791B">
        <w:rPr>
          <w:rFonts w:asciiTheme="minorBidi" w:hAnsiTheme="minorBidi" w:cstheme="minorBidi"/>
          <w:szCs w:val="20"/>
          <w:lang w:val="en-GB"/>
        </w:rPr>
        <w:t xml:space="preserve"> (e.g., HIV service sites vs. family planning clinics vs. mobile/community/DREAMS services).</w:t>
      </w:r>
    </w:p>
    <w:p w14:paraId="121F06BB" w14:textId="65393E3B" w:rsidR="009754D5" w:rsidRPr="00B4791B" w:rsidRDefault="005D3027" w:rsidP="009754D5">
      <w:pPr>
        <w:pStyle w:val="ListParagraph"/>
        <w:numPr>
          <w:ilvl w:val="0"/>
          <w:numId w:val="12"/>
        </w:numPr>
        <w:spacing w:before="240" w:after="0" w:line="300" w:lineRule="exact"/>
        <w:rPr>
          <w:rFonts w:asciiTheme="minorBidi" w:hAnsiTheme="minorBidi" w:cstheme="minorBidi"/>
          <w:szCs w:val="20"/>
          <w:lang w:val="en-GB"/>
        </w:rPr>
      </w:pPr>
      <w:r w:rsidRPr="00B4791B">
        <w:rPr>
          <w:rFonts w:asciiTheme="minorBidi" w:hAnsiTheme="minorBidi" w:cstheme="minorBidi"/>
          <w:szCs w:val="20"/>
          <w:lang w:val="en-GB"/>
        </w:rPr>
        <w:t xml:space="preserve">The </w:t>
      </w:r>
      <w:r w:rsidR="009754D5" w:rsidRPr="00B4791B">
        <w:rPr>
          <w:rFonts w:asciiTheme="minorBidi" w:hAnsiTheme="minorBidi" w:cstheme="minorBidi"/>
          <w:szCs w:val="20"/>
          <w:lang w:val="en-GB"/>
        </w:rPr>
        <w:t>MOH [</w:t>
      </w:r>
      <w:r w:rsidR="009754D5" w:rsidRPr="00B4791B">
        <w:rPr>
          <w:rFonts w:asciiTheme="minorBidi" w:hAnsiTheme="minorBidi" w:cstheme="minorBidi"/>
          <w:szCs w:val="20"/>
          <w:highlight w:val="yellow"/>
          <w:lang w:val="en-GB"/>
        </w:rPr>
        <w:t>or other health authority</w:t>
      </w:r>
      <w:r w:rsidR="009754D5" w:rsidRPr="00B4791B">
        <w:rPr>
          <w:rFonts w:asciiTheme="minorBidi" w:hAnsiTheme="minorBidi" w:cstheme="minorBidi"/>
          <w:szCs w:val="20"/>
          <w:lang w:val="en-GB"/>
        </w:rPr>
        <w:t xml:space="preserve">] requests inclusion of measures to inform ring cost </w:t>
      </w:r>
      <w:r w:rsidR="00D20C32" w:rsidRPr="00B4791B">
        <w:rPr>
          <w:rFonts w:asciiTheme="minorBidi" w:hAnsiTheme="minorBidi" w:cstheme="minorBidi"/>
          <w:szCs w:val="20"/>
          <w:lang w:val="en-GB"/>
        </w:rPr>
        <w:t>modelling</w:t>
      </w:r>
      <w:r w:rsidR="009754D5" w:rsidRPr="00B4791B">
        <w:rPr>
          <w:rFonts w:asciiTheme="minorBidi" w:hAnsiTheme="minorBidi" w:cstheme="minorBidi"/>
          <w:szCs w:val="20"/>
          <w:lang w:val="en-GB"/>
        </w:rPr>
        <w:t xml:space="preserve"> across studies (Table </w:t>
      </w:r>
      <w:r w:rsidR="00D62B77" w:rsidRPr="00B4791B">
        <w:rPr>
          <w:rFonts w:asciiTheme="minorBidi" w:hAnsiTheme="minorBidi" w:cstheme="minorBidi"/>
          <w:szCs w:val="20"/>
          <w:lang w:val="en-GB"/>
        </w:rPr>
        <w:t>5</w:t>
      </w:r>
      <w:r w:rsidR="009754D5" w:rsidRPr="00B4791B">
        <w:rPr>
          <w:rFonts w:asciiTheme="minorBidi" w:hAnsiTheme="minorBidi" w:cstheme="minorBidi"/>
          <w:szCs w:val="20"/>
          <w:lang w:val="en-GB"/>
        </w:rPr>
        <w:t xml:space="preserve">); these measures are germane to feasibility outcomes and </w:t>
      </w:r>
      <w:r w:rsidR="00D20C32" w:rsidRPr="00B4791B">
        <w:rPr>
          <w:rFonts w:asciiTheme="minorBidi" w:hAnsiTheme="minorBidi" w:cstheme="minorBidi"/>
          <w:szCs w:val="20"/>
          <w:lang w:val="en-GB"/>
        </w:rPr>
        <w:t>centre</w:t>
      </w:r>
      <w:r w:rsidR="009754D5" w:rsidRPr="00B4791B">
        <w:rPr>
          <w:rFonts w:asciiTheme="minorBidi" w:hAnsiTheme="minorBidi" w:cstheme="minorBidi"/>
          <w:szCs w:val="20"/>
          <w:lang w:val="en-GB"/>
        </w:rPr>
        <w:t xml:space="preserve"> on supply side considerations.</w:t>
      </w:r>
    </w:p>
    <w:p w14:paraId="4B51DCFE" w14:textId="540A33EB" w:rsidR="009754D5" w:rsidRPr="00B4791B" w:rsidRDefault="009754D5" w:rsidP="009754D5">
      <w:pPr>
        <w:pStyle w:val="ListParagraph"/>
        <w:numPr>
          <w:ilvl w:val="0"/>
          <w:numId w:val="12"/>
        </w:numPr>
        <w:spacing w:before="240" w:after="0" w:line="300" w:lineRule="exact"/>
        <w:rPr>
          <w:rFonts w:asciiTheme="minorBidi" w:hAnsiTheme="minorBidi" w:cstheme="minorBidi"/>
          <w:szCs w:val="20"/>
          <w:lang w:val="en-GB"/>
        </w:rPr>
      </w:pPr>
      <w:r w:rsidRPr="00B4791B">
        <w:rPr>
          <w:rFonts w:asciiTheme="minorBidi" w:hAnsiTheme="minorBidi" w:cstheme="minorBidi"/>
          <w:szCs w:val="20"/>
          <w:lang w:val="en-GB"/>
        </w:rPr>
        <w:lastRenderedPageBreak/>
        <w:t>Study duration should be at least six</w:t>
      </w:r>
      <w:r w:rsidR="005D3027" w:rsidRPr="00B4791B">
        <w:rPr>
          <w:rFonts w:asciiTheme="minorBidi" w:hAnsiTheme="minorBidi" w:cstheme="minorBidi"/>
          <w:szCs w:val="20"/>
          <w:lang w:val="en-GB"/>
        </w:rPr>
        <w:t xml:space="preserve"> </w:t>
      </w:r>
      <w:r w:rsidRPr="00B4791B">
        <w:rPr>
          <w:rFonts w:asciiTheme="minorBidi" w:hAnsiTheme="minorBidi" w:cstheme="minorBidi"/>
          <w:szCs w:val="20"/>
          <w:lang w:val="en-GB"/>
        </w:rPr>
        <w:t xml:space="preserve">months of follow-up overall with a proposed two-phase analysis of results: at </w:t>
      </w:r>
      <w:r w:rsidR="005D3027" w:rsidRPr="00B4791B">
        <w:rPr>
          <w:rFonts w:asciiTheme="minorBidi" w:hAnsiTheme="minorBidi" w:cstheme="minorBidi"/>
          <w:szCs w:val="20"/>
          <w:lang w:val="en-GB"/>
        </w:rPr>
        <w:t>one to three</w:t>
      </w:r>
      <w:r w:rsidRPr="00B4791B">
        <w:rPr>
          <w:rFonts w:asciiTheme="minorBidi" w:hAnsiTheme="minorBidi" w:cstheme="minorBidi"/>
          <w:szCs w:val="20"/>
          <w:lang w:val="en-GB"/>
        </w:rPr>
        <w:t xml:space="preserve"> months </w:t>
      </w:r>
      <w:r w:rsidR="005D3027" w:rsidRPr="00B4791B">
        <w:rPr>
          <w:rFonts w:asciiTheme="minorBidi" w:hAnsiTheme="minorBidi" w:cstheme="minorBidi"/>
          <w:szCs w:val="20"/>
          <w:lang w:val="en-GB"/>
        </w:rPr>
        <w:t>(</w:t>
      </w:r>
      <w:r w:rsidR="00A118B4" w:rsidRPr="00B4791B">
        <w:rPr>
          <w:rFonts w:asciiTheme="minorBidi" w:hAnsiTheme="minorBidi" w:cstheme="minorBidi"/>
          <w:szCs w:val="20"/>
          <w:lang w:val="en-GB"/>
        </w:rPr>
        <w:t xml:space="preserve">at </w:t>
      </w:r>
      <w:r w:rsidR="005D3027" w:rsidRPr="00B4791B">
        <w:rPr>
          <w:rFonts w:asciiTheme="minorBidi" w:hAnsiTheme="minorBidi" w:cstheme="minorBidi"/>
          <w:szCs w:val="20"/>
          <w:lang w:val="en-GB"/>
        </w:rPr>
        <w:t xml:space="preserve">the end of cohort recruitment) </w:t>
      </w:r>
      <w:r w:rsidRPr="00B4791B">
        <w:rPr>
          <w:rFonts w:asciiTheme="minorBidi" w:hAnsiTheme="minorBidi" w:cstheme="minorBidi"/>
          <w:szCs w:val="20"/>
          <w:lang w:val="en-GB"/>
        </w:rPr>
        <w:t>to focus on feasibility and early acceptability (e.g., uptake) and at six months to focus on acceptability outcomes.</w:t>
      </w:r>
    </w:p>
    <w:p w14:paraId="1E97EACC" w14:textId="1D580DB8" w:rsidR="009754D5" w:rsidRPr="00B4791B" w:rsidRDefault="00A118B4" w:rsidP="009754D5">
      <w:pPr>
        <w:pStyle w:val="ListParagraph"/>
        <w:numPr>
          <w:ilvl w:val="0"/>
          <w:numId w:val="12"/>
        </w:numPr>
        <w:spacing w:before="240" w:after="0" w:line="300" w:lineRule="exact"/>
        <w:rPr>
          <w:rFonts w:asciiTheme="minorBidi" w:hAnsiTheme="minorBidi" w:cstheme="minorBidi"/>
          <w:szCs w:val="20"/>
          <w:lang w:val="en-GB"/>
        </w:rPr>
      </w:pPr>
      <w:r w:rsidRPr="00B4791B">
        <w:rPr>
          <w:rFonts w:asciiTheme="minorBidi" w:hAnsiTheme="minorBidi" w:cstheme="minorBidi"/>
          <w:szCs w:val="20"/>
          <w:lang w:val="en-GB"/>
        </w:rPr>
        <w:t>A</w:t>
      </w:r>
      <w:r w:rsidR="009754D5" w:rsidRPr="00B4791B">
        <w:rPr>
          <w:rFonts w:asciiTheme="minorBidi" w:hAnsiTheme="minorBidi" w:cstheme="minorBidi"/>
          <w:szCs w:val="20"/>
          <w:lang w:val="en-GB"/>
        </w:rPr>
        <w:t xml:space="preserve"> member of the subnational</w:t>
      </w:r>
      <w:r w:rsidRPr="00B4791B">
        <w:rPr>
          <w:rFonts w:asciiTheme="minorBidi" w:hAnsiTheme="minorBidi" w:cstheme="minorBidi"/>
          <w:szCs w:val="20"/>
          <w:lang w:val="en-GB"/>
        </w:rPr>
        <w:t>-</w:t>
      </w:r>
      <w:r w:rsidR="009754D5" w:rsidRPr="00B4791B">
        <w:rPr>
          <w:rFonts w:asciiTheme="minorBidi" w:hAnsiTheme="minorBidi" w:cstheme="minorBidi"/>
          <w:szCs w:val="20"/>
          <w:lang w:val="en-GB"/>
        </w:rPr>
        <w:t>level health authorit</w:t>
      </w:r>
      <w:r w:rsidR="00B626AD" w:rsidRPr="00B4791B">
        <w:rPr>
          <w:rFonts w:asciiTheme="minorBidi" w:hAnsiTheme="minorBidi" w:cstheme="minorBidi"/>
          <w:szCs w:val="20"/>
          <w:lang w:val="en-GB"/>
        </w:rPr>
        <w:t>y</w:t>
      </w:r>
      <w:r w:rsidR="009754D5" w:rsidRPr="00B4791B">
        <w:rPr>
          <w:rFonts w:asciiTheme="minorBidi" w:hAnsiTheme="minorBidi" w:cstheme="minorBidi"/>
          <w:szCs w:val="20"/>
          <w:lang w:val="en-GB"/>
        </w:rPr>
        <w:t xml:space="preserve"> </w:t>
      </w:r>
      <w:proofErr w:type="gramStart"/>
      <w:r w:rsidR="009754D5" w:rsidRPr="00B4791B">
        <w:rPr>
          <w:rFonts w:asciiTheme="minorBidi" w:hAnsiTheme="minorBidi" w:cstheme="minorBidi"/>
          <w:szCs w:val="20"/>
          <w:lang w:val="en-GB"/>
        </w:rPr>
        <w:t xml:space="preserve">in the </w:t>
      </w:r>
      <w:r w:rsidR="00955B3C" w:rsidRPr="00B4791B">
        <w:rPr>
          <w:rFonts w:asciiTheme="minorBidi" w:hAnsiTheme="minorBidi" w:cstheme="minorBidi"/>
          <w:szCs w:val="20"/>
          <w:lang w:val="en-GB"/>
        </w:rPr>
        <w:t>area of</w:t>
      </w:r>
      <w:proofErr w:type="gramEnd"/>
      <w:r w:rsidR="00955B3C" w:rsidRPr="00B4791B">
        <w:rPr>
          <w:rFonts w:asciiTheme="minorBidi" w:hAnsiTheme="minorBidi" w:cstheme="minorBidi"/>
          <w:szCs w:val="20"/>
          <w:lang w:val="en-GB"/>
        </w:rPr>
        <w:t xml:space="preserve"> pilot implementation </w:t>
      </w:r>
      <w:r w:rsidRPr="00B4791B">
        <w:rPr>
          <w:rFonts w:asciiTheme="minorBidi" w:hAnsiTheme="minorBidi" w:cstheme="minorBidi"/>
          <w:szCs w:val="20"/>
          <w:lang w:val="en-GB"/>
        </w:rPr>
        <w:t xml:space="preserve">should be included in the </w:t>
      </w:r>
      <w:r w:rsidR="009754D5" w:rsidRPr="00B4791B">
        <w:rPr>
          <w:rFonts w:asciiTheme="minorBidi" w:hAnsiTheme="minorBidi" w:cstheme="minorBidi"/>
          <w:szCs w:val="20"/>
          <w:lang w:val="en-GB"/>
        </w:rPr>
        <w:t>implementation as a co-investigator with funding for routine oversight visits to the study site.</w:t>
      </w:r>
    </w:p>
    <w:p w14:paraId="45174483" w14:textId="6859D366" w:rsidR="009754D5" w:rsidRPr="00B4791B" w:rsidRDefault="00A118B4" w:rsidP="009754D5">
      <w:pPr>
        <w:pStyle w:val="ListParagraph"/>
        <w:numPr>
          <w:ilvl w:val="0"/>
          <w:numId w:val="12"/>
        </w:numPr>
        <w:spacing w:before="240" w:after="0" w:line="300" w:lineRule="exact"/>
        <w:rPr>
          <w:rFonts w:asciiTheme="minorBidi" w:hAnsiTheme="minorBidi" w:cstheme="minorBidi"/>
          <w:szCs w:val="20"/>
          <w:lang w:val="en-GB"/>
        </w:rPr>
      </w:pPr>
      <w:r w:rsidRPr="00B4791B">
        <w:rPr>
          <w:rFonts w:asciiTheme="minorBidi" w:hAnsiTheme="minorBidi" w:cstheme="minorBidi"/>
          <w:szCs w:val="20"/>
          <w:lang w:val="en-GB"/>
        </w:rPr>
        <w:t>The MOH requests</w:t>
      </w:r>
      <w:r w:rsidR="00B626AD" w:rsidRPr="00B4791B">
        <w:rPr>
          <w:rFonts w:asciiTheme="minorBidi" w:hAnsiTheme="minorBidi" w:cstheme="minorBidi"/>
          <w:szCs w:val="20"/>
          <w:lang w:val="en-GB"/>
        </w:rPr>
        <w:t xml:space="preserve"> the</w:t>
      </w:r>
      <w:r w:rsidRPr="00B4791B">
        <w:rPr>
          <w:rFonts w:asciiTheme="minorBidi" w:hAnsiTheme="minorBidi" w:cstheme="minorBidi"/>
          <w:szCs w:val="20"/>
          <w:lang w:val="en-GB"/>
        </w:rPr>
        <w:t xml:space="preserve"> i</w:t>
      </w:r>
      <w:r w:rsidR="009754D5" w:rsidRPr="00B4791B">
        <w:rPr>
          <w:rFonts w:asciiTheme="minorBidi" w:hAnsiTheme="minorBidi" w:cstheme="minorBidi"/>
          <w:szCs w:val="20"/>
          <w:lang w:val="en-GB"/>
        </w:rPr>
        <w:t>nclusion of a</w:t>
      </w:r>
      <w:r w:rsidRPr="00B4791B">
        <w:rPr>
          <w:rFonts w:asciiTheme="minorBidi" w:hAnsiTheme="minorBidi" w:cstheme="minorBidi"/>
          <w:szCs w:val="20"/>
          <w:lang w:val="en-GB"/>
        </w:rPr>
        <w:t>n</w:t>
      </w:r>
      <w:r w:rsidR="009754D5" w:rsidRPr="00B4791B">
        <w:rPr>
          <w:rFonts w:asciiTheme="minorBidi" w:hAnsiTheme="minorBidi" w:cstheme="minorBidi"/>
          <w:szCs w:val="20"/>
          <w:lang w:val="en-GB"/>
        </w:rPr>
        <w:t xml:space="preserve"> MOH [</w:t>
      </w:r>
      <w:r w:rsidR="009754D5" w:rsidRPr="00B4791B">
        <w:rPr>
          <w:rFonts w:asciiTheme="minorBidi" w:hAnsiTheme="minorBidi" w:cstheme="minorBidi"/>
          <w:szCs w:val="20"/>
          <w:highlight w:val="yellow"/>
          <w:lang w:val="en-GB"/>
        </w:rPr>
        <w:t>or other health authority</w:t>
      </w:r>
      <w:r w:rsidR="009754D5" w:rsidRPr="00B4791B">
        <w:rPr>
          <w:rFonts w:asciiTheme="minorBidi" w:hAnsiTheme="minorBidi" w:cstheme="minorBidi"/>
          <w:szCs w:val="20"/>
          <w:lang w:val="en-GB"/>
        </w:rPr>
        <w:t>]</w:t>
      </w:r>
      <w:r w:rsidRPr="00B4791B">
        <w:rPr>
          <w:rFonts w:asciiTheme="minorBidi" w:hAnsiTheme="minorBidi" w:cstheme="minorBidi"/>
          <w:szCs w:val="20"/>
          <w:lang w:val="en-GB"/>
        </w:rPr>
        <w:t>-convened</w:t>
      </w:r>
      <w:r w:rsidR="009754D5" w:rsidRPr="00B4791B">
        <w:rPr>
          <w:rFonts w:asciiTheme="minorBidi" w:hAnsiTheme="minorBidi" w:cstheme="minorBidi"/>
          <w:szCs w:val="20"/>
          <w:lang w:val="en-GB"/>
        </w:rPr>
        <w:t xml:space="preserve"> Advisory Committee to include inputs from potential end-user groups (e.g., adolescent girls and young women, sex workers, and gender</w:t>
      </w:r>
      <w:r w:rsidRPr="00B4791B">
        <w:rPr>
          <w:rFonts w:asciiTheme="minorBidi" w:hAnsiTheme="minorBidi" w:cstheme="minorBidi"/>
          <w:szCs w:val="20"/>
          <w:lang w:val="en-GB"/>
        </w:rPr>
        <w:t>-</w:t>
      </w:r>
      <w:r w:rsidR="009754D5" w:rsidRPr="00B4791B">
        <w:rPr>
          <w:rFonts w:asciiTheme="minorBidi" w:hAnsiTheme="minorBidi" w:cstheme="minorBidi"/>
          <w:szCs w:val="20"/>
          <w:lang w:val="en-GB"/>
        </w:rPr>
        <w:t xml:space="preserve">diverse individuals) and their communities in the design (upon investigator or MOH request) and oversight of research (please see Advisory Committee section). Please ensure that </w:t>
      </w:r>
      <w:r w:rsidRPr="00B4791B">
        <w:rPr>
          <w:rFonts w:asciiTheme="minorBidi" w:hAnsiTheme="minorBidi" w:cstheme="minorBidi"/>
          <w:szCs w:val="20"/>
          <w:lang w:val="en-GB"/>
        </w:rPr>
        <w:t xml:space="preserve">study budgets include </w:t>
      </w:r>
      <w:r w:rsidR="009754D5" w:rsidRPr="00B4791B">
        <w:rPr>
          <w:rFonts w:asciiTheme="minorBidi" w:hAnsiTheme="minorBidi" w:cstheme="minorBidi"/>
          <w:szCs w:val="20"/>
          <w:lang w:val="en-GB"/>
        </w:rPr>
        <w:t xml:space="preserve">costs for </w:t>
      </w:r>
      <w:r w:rsidRPr="00B4791B">
        <w:rPr>
          <w:rFonts w:asciiTheme="minorBidi" w:hAnsiTheme="minorBidi" w:cstheme="minorBidi"/>
          <w:szCs w:val="20"/>
          <w:lang w:val="en-GB"/>
        </w:rPr>
        <w:t xml:space="preserve">monthly </w:t>
      </w:r>
      <w:r w:rsidR="009754D5" w:rsidRPr="00B4791B">
        <w:rPr>
          <w:rFonts w:asciiTheme="minorBidi" w:hAnsiTheme="minorBidi" w:cstheme="minorBidi"/>
          <w:szCs w:val="20"/>
          <w:lang w:val="en-GB"/>
        </w:rPr>
        <w:t xml:space="preserve">site visits </w:t>
      </w:r>
      <w:r w:rsidRPr="00B4791B">
        <w:rPr>
          <w:rFonts w:asciiTheme="minorBidi" w:hAnsiTheme="minorBidi" w:cstheme="minorBidi"/>
          <w:szCs w:val="20"/>
          <w:lang w:val="en-GB"/>
        </w:rPr>
        <w:t xml:space="preserve">by </w:t>
      </w:r>
      <w:r w:rsidR="009754D5" w:rsidRPr="00B4791B">
        <w:rPr>
          <w:rFonts w:asciiTheme="minorBidi" w:hAnsiTheme="minorBidi" w:cstheme="minorBidi"/>
          <w:szCs w:val="20"/>
          <w:lang w:val="en-GB"/>
        </w:rPr>
        <w:t>one member of the Advisory Committee.</w:t>
      </w:r>
    </w:p>
    <w:p w14:paraId="0BAE0B03" w14:textId="590FE8D6" w:rsidR="00C529CE" w:rsidRPr="00D20C32" w:rsidRDefault="00C529CE" w:rsidP="00C529CE">
      <w:pPr>
        <w:pStyle w:val="Tabletitle"/>
        <w:rPr>
          <w:sz w:val="26"/>
          <w:szCs w:val="26"/>
          <w:lang w:val="en-GB"/>
        </w:rPr>
      </w:pPr>
      <w:r w:rsidRPr="00D20C32">
        <w:rPr>
          <w:rStyle w:val="Heading2Char"/>
          <w:rFonts w:eastAsiaTheme="minorEastAsia" w:cstheme="minorBidi"/>
          <w:b/>
          <w:bCs/>
          <w:lang w:val="en-GB"/>
        </w:rPr>
        <w:t xml:space="preserve">Inclusion and exclusion criteria             </w:t>
      </w:r>
    </w:p>
    <w:p w14:paraId="0106F5F3" w14:textId="52645273" w:rsidR="00B350EB" w:rsidRPr="00B4791B" w:rsidRDefault="00B350EB" w:rsidP="00C529CE">
      <w:pPr>
        <w:spacing w:before="0"/>
        <w:contextualSpacing/>
        <w:rPr>
          <w:rFonts w:cs="Arial"/>
          <w:b/>
          <w:bCs w:val="0"/>
          <w:szCs w:val="20"/>
          <w:lang w:val="en-GB"/>
        </w:rPr>
      </w:pPr>
      <w:r w:rsidRPr="00B4791B">
        <w:rPr>
          <w:rFonts w:cs="Arial"/>
          <w:b/>
          <w:bCs w:val="0"/>
          <w:szCs w:val="20"/>
          <w:lang w:val="en-GB"/>
        </w:rPr>
        <w:t>Facility or care site features</w:t>
      </w:r>
    </w:p>
    <w:p w14:paraId="3E9AD9C7" w14:textId="79A67D44" w:rsidR="00B350EB" w:rsidRPr="00B4791B" w:rsidRDefault="00B350EB" w:rsidP="00C529CE">
      <w:pPr>
        <w:spacing w:before="0"/>
        <w:contextualSpacing/>
        <w:rPr>
          <w:rFonts w:cs="Arial"/>
          <w:szCs w:val="20"/>
          <w:lang w:val="en-GB"/>
        </w:rPr>
      </w:pPr>
      <w:r w:rsidRPr="00B4791B">
        <w:rPr>
          <w:rFonts w:cs="Arial"/>
          <w:szCs w:val="20"/>
          <w:lang w:val="en-GB"/>
        </w:rPr>
        <w:t>All study sites should meet the following criteria:</w:t>
      </w:r>
    </w:p>
    <w:p w14:paraId="03209257" w14:textId="08818F7F" w:rsidR="00B350EB" w:rsidRPr="00B4791B" w:rsidRDefault="67503D91" w:rsidP="2104C340">
      <w:pPr>
        <w:pStyle w:val="ListParagraph"/>
        <w:numPr>
          <w:ilvl w:val="0"/>
          <w:numId w:val="15"/>
        </w:numPr>
        <w:rPr>
          <w:rFonts w:ascii="Arial" w:hAnsi="Arial" w:cs="Arial"/>
          <w:lang w:val="en-GB"/>
        </w:rPr>
      </w:pPr>
      <w:r w:rsidRPr="00B4791B">
        <w:rPr>
          <w:rFonts w:ascii="Arial" w:hAnsi="Arial" w:cs="Arial"/>
          <w:lang w:val="en-GB"/>
        </w:rPr>
        <w:t>Have experience providing oral PrEP counsel</w:t>
      </w:r>
      <w:r w:rsidR="4D5E7504" w:rsidRPr="00B4791B">
        <w:rPr>
          <w:rFonts w:ascii="Arial" w:hAnsi="Arial" w:cs="Arial"/>
          <w:lang w:val="en-GB"/>
        </w:rPr>
        <w:t>l</w:t>
      </w:r>
      <w:r w:rsidRPr="00B4791B">
        <w:rPr>
          <w:rFonts w:ascii="Arial" w:hAnsi="Arial" w:cs="Arial"/>
          <w:lang w:val="en-GB"/>
        </w:rPr>
        <w:t>ing and/or service</w:t>
      </w:r>
      <w:r w:rsidR="0069B651" w:rsidRPr="00B4791B">
        <w:rPr>
          <w:rFonts w:ascii="Arial" w:hAnsi="Arial" w:cs="Arial"/>
          <w:lang w:val="en-GB"/>
        </w:rPr>
        <w:t>s</w:t>
      </w:r>
    </w:p>
    <w:p w14:paraId="31174B70" w14:textId="5F1378D0" w:rsidR="00B350EB" w:rsidRPr="00B4791B" w:rsidRDefault="00B350EB" w:rsidP="00B350EB">
      <w:pPr>
        <w:pStyle w:val="ListParagraph"/>
        <w:numPr>
          <w:ilvl w:val="0"/>
          <w:numId w:val="15"/>
        </w:numPr>
        <w:rPr>
          <w:rFonts w:ascii="Arial" w:hAnsi="Arial" w:cs="Arial"/>
          <w:szCs w:val="20"/>
          <w:lang w:val="en-GB"/>
        </w:rPr>
      </w:pPr>
      <w:r w:rsidRPr="00B4791B">
        <w:rPr>
          <w:rFonts w:ascii="Arial" w:hAnsi="Arial" w:cs="Arial"/>
          <w:szCs w:val="20"/>
          <w:lang w:val="en-GB"/>
        </w:rPr>
        <w:t xml:space="preserve">Have links to </w:t>
      </w:r>
      <w:r w:rsidR="00A118B4" w:rsidRPr="00B4791B">
        <w:rPr>
          <w:rFonts w:ascii="Arial" w:hAnsi="Arial" w:cs="Arial"/>
          <w:szCs w:val="20"/>
          <w:lang w:val="en-GB"/>
        </w:rPr>
        <w:t xml:space="preserve">the </w:t>
      </w:r>
      <w:r w:rsidRPr="00B4791B">
        <w:rPr>
          <w:rFonts w:ascii="Arial" w:hAnsi="Arial" w:cs="Arial"/>
          <w:szCs w:val="20"/>
          <w:lang w:val="en-GB"/>
        </w:rPr>
        <w:t xml:space="preserve">public sector supply chain and </w:t>
      </w:r>
      <w:r w:rsidR="00440909" w:rsidRPr="00B4791B">
        <w:rPr>
          <w:rFonts w:ascii="Arial" w:hAnsi="Arial" w:cs="Arial"/>
          <w:szCs w:val="20"/>
          <w:lang w:val="en-GB"/>
        </w:rPr>
        <w:t>service quality oversight to ensure minimum service standards are met for oral PrEP</w:t>
      </w:r>
    </w:p>
    <w:p w14:paraId="2BBCF66D" w14:textId="2E0FF598" w:rsidR="00440909" w:rsidRPr="00B4791B" w:rsidRDefault="00440909" w:rsidP="00B350EB">
      <w:pPr>
        <w:pStyle w:val="ListParagraph"/>
        <w:numPr>
          <w:ilvl w:val="0"/>
          <w:numId w:val="15"/>
        </w:numPr>
        <w:rPr>
          <w:rFonts w:ascii="Arial" w:hAnsi="Arial" w:cs="Arial"/>
          <w:szCs w:val="20"/>
          <w:lang w:val="en-GB"/>
        </w:rPr>
      </w:pPr>
      <w:r w:rsidRPr="00B4791B">
        <w:rPr>
          <w:rFonts w:ascii="Arial" w:hAnsi="Arial" w:cs="Arial"/>
          <w:szCs w:val="20"/>
          <w:lang w:val="en-GB"/>
        </w:rPr>
        <w:t>Have authori</w:t>
      </w:r>
      <w:r w:rsidR="00830795" w:rsidRPr="00B4791B">
        <w:rPr>
          <w:rFonts w:ascii="Arial" w:hAnsi="Arial" w:cs="Arial"/>
          <w:szCs w:val="20"/>
          <w:lang w:val="en-GB"/>
        </w:rPr>
        <w:t>s</w:t>
      </w:r>
      <w:r w:rsidRPr="00B4791B">
        <w:rPr>
          <w:rFonts w:ascii="Arial" w:hAnsi="Arial" w:cs="Arial"/>
          <w:szCs w:val="20"/>
          <w:lang w:val="en-GB"/>
        </w:rPr>
        <w:t>ation from local authorities to expand service delivery to include oral PrEP provision (e.g., reproductive health care sites)</w:t>
      </w:r>
    </w:p>
    <w:p w14:paraId="2EE92A36" w14:textId="14E0DA3E" w:rsidR="00C529CE" w:rsidRPr="00D20C32" w:rsidRDefault="00C529CE" w:rsidP="00C529CE">
      <w:pPr>
        <w:spacing w:before="0"/>
        <w:contextualSpacing/>
        <w:rPr>
          <w:rFonts w:cs="Arial"/>
          <w:b/>
          <w:bCs w:val="0"/>
          <w:szCs w:val="20"/>
          <w:lang w:val="en-GB"/>
        </w:rPr>
      </w:pPr>
      <w:r w:rsidRPr="00D20C32">
        <w:rPr>
          <w:rFonts w:cs="Arial"/>
          <w:b/>
          <w:bCs w:val="0"/>
          <w:szCs w:val="20"/>
          <w:lang w:val="en-GB"/>
        </w:rPr>
        <w:t>End-user participants</w:t>
      </w:r>
    </w:p>
    <w:p w14:paraId="42053554" w14:textId="1121394B" w:rsidR="00C529CE" w:rsidRPr="00D20C32" w:rsidRDefault="00C529CE" w:rsidP="00C529CE">
      <w:pPr>
        <w:spacing w:before="0"/>
        <w:contextualSpacing/>
        <w:rPr>
          <w:rFonts w:cs="Arial"/>
          <w:szCs w:val="20"/>
          <w:lang w:val="en-GB"/>
        </w:rPr>
      </w:pPr>
      <w:r w:rsidRPr="00D20C32">
        <w:rPr>
          <w:rFonts w:cs="Arial"/>
          <w:szCs w:val="20"/>
          <w:lang w:val="en-GB"/>
        </w:rPr>
        <w:t>All studies should have the following inclusion criteria for end-user participants</w:t>
      </w:r>
      <w:r w:rsidR="00A118B4" w:rsidRPr="00D20C32">
        <w:rPr>
          <w:rFonts w:cs="Arial"/>
          <w:szCs w:val="20"/>
          <w:lang w:val="en-GB"/>
        </w:rPr>
        <w:t>:</w:t>
      </w:r>
    </w:p>
    <w:p w14:paraId="5CDBBDF1" w14:textId="036E8752" w:rsidR="00C529CE" w:rsidRPr="00D20C32" w:rsidRDefault="00C529CE" w:rsidP="00C529CE">
      <w:pPr>
        <w:pStyle w:val="ListParagraph"/>
        <w:numPr>
          <w:ilvl w:val="0"/>
          <w:numId w:val="13"/>
        </w:numPr>
        <w:spacing w:after="0" w:line="300" w:lineRule="exact"/>
        <w:rPr>
          <w:rFonts w:ascii="Arial" w:hAnsi="Arial" w:cs="Arial"/>
          <w:szCs w:val="20"/>
          <w:lang w:val="en-GB"/>
        </w:rPr>
      </w:pPr>
      <w:r w:rsidRPr="00D20C32">
        <w:rPr>
          <w:rFonts w:ascii="Arial" w:hAnsi="Arial" w:cs="Arial"/>
          <w:szCs w:val="20"/>
          <w:lang w:val="en-GB"/>
        </w:rPr>
        <w:t>At least 1</w:t>
      </w:r>
      <w:r w:rsidR="00206CD8" w:rsidRPr="00D20C32">
        <w:rPr>
          <w:rFonts w:ascii="Arial" w:hAnsi="Arial" w:cs="Arial"/>
          <w:szCs w:val="20"/>
          <w:lang w:val="en-GB"/>
        </w:rPr>
        <w:t>8</w:t>
      </w:r>
      <w:r w:rsidRPr="00D20C32">
        <w:rPr>
          <w:rFonts w:ascii="Arial" w:hAnsi="Arial" w:cs="Arial"/>
          <w:szCs w:val="20"/>
          <w:lang w:val="en-GB"/>
        </w:rPr>
        <w:t xml:space="preserve"> years of age</w:t>
      </w:r>
      <w:r w:rsidR="0060396B" w:rsidRPr="00D20C32">
        <w:rPr>
          <w:rFonts w:ascii="Arial" w:hAnsi="Arial" w:cs="Arial"/>
          <w:szCs w:val="20"/>
          <w:lang w:val="en-GB"/>
        </w:rPr>
        <w:t xml:space="preserve"> [</w:t>
      </w:r>
      <w:r w:rsidR="0060396B" w:rsidRPr="00D20C32">
        <w:rPr>
          <w:rFonts w:ascii="Arial" w:hAnsi="Arial" w:cs="Arial"/>
          <w:szCs w:val="20"/>
          <w:highlight w:val="yellow"/>
          <w:lang w:val="en-GB"/>
        </w:rPr>
        <w:t xml:space="preserve">Can consider revising this </w:t>
      </w:r>
      <w:proofErr w:type="gramStart"/>
      <w:r w:rsidR="0060396B" w:rsidRPr="00D20C32">
        <w:rPr>
          <w:rFonts w:ascii="Arial" w:hAnsi="Arial" w:cs="Arial"/>
          <w:szCs w:val="20"/>
          <w:highlight w:val="yellow"/>
          <w:lang w:val="en-GB"/>
        </w:rPr>
        <w:t>if and when</w:t>
      </w:r>
      <w:proofErr w:type="gramEnd"/>
      <w:r w:rsidR="0060396B" w:rsidRPr="00D20C32">
        <w:rPr>
          <w:rFonts w:ascii="Arial" w:hAnsi="Arial" w:cs="Arial"/>
          <w:szCs w:val="20"/>
          <w:highlight w:val="yellow"/>
          <w:lang w:val="en-GB"/>
        </w:rPr>
        <w:t xml:space="preserve"> </w:t>
      </w:r>
      <w:r w:rsidR="00A118B4" w:rsidRPr="00D20C32">
        <w:rPr>
          <w:rFonts w:ascii="Arial" w:hAnsi="Arial" w:cs="Arial"/>
          <w:szCs w:val="20"/>
          <w:highlight w:val="yellow"/>
          <w:lang w:val="en-GB"/>
        </w:rPr>
        <w:t xml:space="preserve">data on </w:t>
      </w:r>
      <w:r w:rsidR="0060396B" w:rsidRPr="00D20C32">
        <w:rPr>
          <w:rFonts w:ascii="Arial" w:hAnsi="Arial" w:cs="Arial"/>
          <w:szCs w:val="20"/>
          <w:highlight w:val="yellow"/>
          <w:lang w:val="en-GB"/>
        </w:rPr>
        <w:t xml:space="preserve">ring product safety among adolescents </w:t>
      </w:r>
      <w:r w:rsidR="00A118B4" w:rsidRPr="00D20C32">
        <w:rPr>
          <w:rFonts w:ascii="Arial" w:hAnsi="Arial" w:cs="Arial"/>
          <w:szCs w:val="20"/>
          <w:highlight w:val="yellow"/>
          <w:lang w:val="en-GB"/>
        </w:rPr>
        <w:t xml:space="preserve">older than </w:t>
      </w:r>
      <w:r w:rsidR="0060396B" w:rsidRPr="00D20C32">
        <w:rPr>
          <w:rFonts w:ascii="Arial" w:hAnsi="Arial" w:cs="Arial"/>
          <w:szCs w:val="20"/>
          <w:highlight w:val="yellow"/>
          <w:lang w:val="en-GB"/>
        </w:rPr>
        <w:t>15 years become available and international guidelines are adapted accordingly</w:t>
      </w:r>
      <w:r w:rsidR="0060396B" w:rsidRPr="00D20C32">
        <w:rPr>
          <w:rFonts w:ascii="Arial" w:hAnsi="Arial" w:cs="Arial"/>
          <w:szCs w:val="20"/>
          <w:lang w:val="en-GB"/>
        </w:rPr>
        <w:t>]</w:t>
      </w:r>
    </w:p>
    <w:p w14:paraId="7512AC00" w14:textId="5D1DCB66" w:rsidR="00C529CE" w:rsidRPr="00D20C32" w:rsidRDefault="00A118B4" w:rsidP="00C529CE">
      <w:pPr>
        <w:pStyle w:val="ListParagraph"/>
        <w:numPr>
          <w:ilvl w:val="0"/>
          <w:numId w:val="13"/>
        </w:numPr>
        <w:spacing w:after="0" w:line="300" w:lineRule="exact"/>
        <w:rPr>
          <w:rFonts w:ascii="Arial" w:hAnsi="Arial" w:cs="Arial"/>
          <w:szCs w:val="20"/>
          <w:lang w:val="en-GB"/>
        </w:rPr>
      </w:pPr>
      <w:r w:rsidRPr="00D20C32">
        <w:rPr>
          <w:rFonts w:ascii="Arial" w:hAnsi="Arial" w:cs="Arial"/>
          <w:szCs w:val="20"/>
          <w:lang w:val="en-GB"/>
        </w:rPr>
        <w:t>A</w:t>
      </w:r>
      <w:r w:rsidR="00C529CE" w:rsidRPr="00D20C32">
        <w:rPr>
          <w:rFonts w:ascii="Arial" w:hAnsi="Arial" w:cs="Arial"/>
          <w:szCs w:val="20"/>
          <w:lang w:val="en-GB"/>
        </w:rPr>
        <w:t xml:space="preserve">ssigned female sex at birth </w:t>
      </w:r>
      <w:r w:rsidR="00B227B5" w:rsidRPr="00D20C32">
        <w:rPr>
          <w:rFonts w:ascii="Arial" w:hAnsi="Arial" w:cs="Arial"/>
          <w:szCs w:val="20"/>
          <w:lang w:val="en-GB"/>
        </w:rPr>
        <w:t>—</w:t>
      </w:r>
      <w:r w:rsidRPr="00D20C32">
        <w:rPr>
          <w:rFonts w:ascii="Arial" w:hAnsi="Arial" w:cs="Arial"/>
          <w:szCs w:val="20"/>
          <w:lang w:val="en-GB"/>
        </w:rPr>
        <w:t xml:space="preserve"> </w:t>
      </w:r>
      <w:r w:rsidR="00C529CE" w:rsidRPr="00D20C32">
        <w:rPr>
          <w:rFonts w:ascii="Arial" w:hAnsi="Arial" w:cs="Arial"/>
          <w:szCs w:val="20"/>
          <w:lang w:val="en-GB"/>
        </w:rPr>
        <w:t xml:space="preserve">eligibility questions will need to ask potential participants </w:t>
      </w:r>
      <w:r w:rsidRPr="00D20C32">
        <w:rPr>
          <w:rFonts w:ascii="Arial" w:hAnsi="Arial" w:cs="Arial"/>
          <w:szCs w:val="20"/>
          <w:lang w:val="en-GB"/>
        </w:rPr>
        <w:t xml:space="preserve">about their </w:t>
      </w:r>
      <w:r w:rsidR="00C529CE" w:rsidRPr="00D20C32">
        <w:rPr>
          <w:rFonts w:ascii="Arial" w:hAnsi="Arial" w:cs="Arial"/>
          <w:szCs w:val="20"/>
          <w:lang w:val="en-GB"/>
        </w:rPr>
        <w:t xml:space="preserve">sex assigned at birth and gender identity and </w:t>
      </w:r>
      <w:r w:rsidRPr="00D20C32">
        <w:rPr>
          <w:rFonts w:ascii="Arial" w:hAnsi="Arial" w:cs="Arial"/>
          <w:szCs w:val="20"/>
          <w:lang w:val="en-GB"/>
        </w:rPr>
        <w:t>to help</w:t>
      </w:r>
      <w:r w:rsidR="00C529CE" w:rsidRPr="00D20C32">
        <w:rPr>
          <w:rFonts w:ascii="Arial" w:hAnsi="Arial" w:cs="Arial"/>
          <w:szCs w:val="20"/>
          <w:lang w:val="en-GB"/>
        </w:rPr>
        <w:t xml:space="preserve"> those who are unfamiliar with these terms to answer easily</w:t>
      </w:r>
    </w:p>
    <w:p w14:paraId="685D79F4" w14:textId="2E49CFA1" w:rsidR="00C529CE" w:rsidRPr="00D20C32" w:rsidRDefault="00954C43" w:rsidP="42A9FCB0">
      <w:pPr>
        <w:pStyle w:val="ListParagraph"/>
        <w:numPr>
          <w:ilvl w:val="0"/>
          <w:numId w:val="13"/>
        </w:numPr>
        <w:spacing w:after="0" w:line="300" w:lineRule="exact"/>
        <w:rPr>
          <w:rFonts w:ascii="Arial" w:hAnsi="Arial" w:cs="Arial"/>
          <w:lang w:val="en-GB"/>
        </w:rPr>
      </w:pPr>
      <w:r w:rsidRPr="00D20C32">
        <w:rPr>
          <w:rFonts w:ascii="Arial" w:hAnsi="Arial" w:cs="Arial"/>
          <w:lang w:val="en-GB"/>
        </w:rPr>
        <w:t>S</w:t>
      </w:r>
      <w:r w:rsidR="150BBC26" w:rsidRPr="00D20C32">
        <w:rPr>
          <w:rFonts w:ascii="Arial" w:hAnsi="Arial" w:cs="Arial"/>
          <w:lang w:val="en-GB"/>
        </w:rPr>
        <w:t xml:space="preserve">exually active </w:t>
      </w:r>
      <w:r w:rsidRPr="00D20C32">
        <w:rPr>
          <w:rFonts w:ascii="Arial" w:hAnsi="Arial" w:cs="Arial"/>
          <w:lang w:val="en-GB"/>
        </w:rPr>
        <w:t xml:space="preserve">and </w:t>
      </w:r>
      <w:r w:rsidR="150BBC26" w:rsidRPr="00D20C32">
        <w:rPr>
          <w:rFonts w:ascii="Arial" w:hAnsi="Arial" w:cs="Arial"/>
          <w:lang w:val="en-GB"/>
        </w:rPr>
        <w:t>wishing to prevent HIV acquisition during receptive vaginal</w:t>
      </w:r>
      <w:r w:rsidR="3D905A3A" w:rsidRPr="00D20C32">
        <w:rPr>
          <w:rFonts w:ascii="Arial" w:hAnsi="Arial" w:cs="Arial"/>
          <w:lang w:val="en-GB"/>
        </w:rPr>
        <w:t xml:space="preserve"> </w:t>
      </w:r>
      <w:r w:rsidR="150BBC26" w:rsidRPr="00D20C32">
        <w:rPr>
          <w:rFonts w:ascii="Arial" w:hAnsi="Arial" w:cs="Arial"/>
          <w:lang w:val="en-GB"/>
        </w:rPr>
        <w:t>sex</w:t>
      </w:r>
    </w:p>
    <w:p w14:paraId="651C6C84" w14:textId="0794C799" w:rsidR="00C529CE" w:rsidRPr="00D20C32" w:rsidRDefault="00C529CE" w:rsidP="00C529CE">
      <w:pPr>
        <w:pStyle w:val="ListParagraph"/>
        <w:numPr>
          <w:ilvl w:val="0"/>
          <w:numId w:val="13"/>
        </w:numPr>
        <w:spacing w:after="0" w:line="300" w:lineRule="exact"/>
        <w:rPr>
          <w:rFonts w:ascii="Arial" w:hAnsi="Arial" w:cs="Arial"/>
          <w:szCs w:val="20"/>
          <w:lang w:val="en-GB"/>
        </w:rPr>
      </w:pPr>
      <w:r w:rsidRPr="00D20C32">
        <w:rPr>
          <w:rFonts w:ascii="Arial" w:hAnsi="Arial" w:cs="Arial"/>
          <w:szCs w:val="20"/>
          <w:lang w:val="en-GB"/>
        </w:rPr>
        <w:t>Able to provide informed consent</w:t>
      </w:r>
    </w:p>
    <w:p w14:paraId="0E7BECDB" w14:textId="1DBE3389" w:rsidR="00C529CE" w:rsidRPr="00D20C32" w:rsidRDefault="00C529CE" w:rsidP="00C529CE">
      <w:pPr>
        <w:pStyle w:val="ListParagraph"/>
        <w:numPr>
          <w:ilvl w:val="0"/>
          <w:numId w:val="13"/>
        </w:numPr>
        <w:spacing w:after="0" w:line="300" w:lineRule="exact"/>
        <w:rPr>
          <w:rFonts w:ascii="Arial" w:hAnsi="Arial" w:cs="Arial"/>
          <w:szCs w:val="20"/>
          <w:lang w:val="en-GB"/>
        </w:rPr>
      </w:pPr>
      <w:r w:rsidRPr="00D20C32">
        <w:rPr>
          <w:rFonts w:ascii="Arial" w:hAnsi="Arial" w:cs="Arial"/>
          <w:szCs w:val="20"/>
          <w:lang w:val="en-GB"/>
        </w:rPr>
        <w:t>Member of priority group</w:t>
      </w:r>
      <w:r w:rsidR="00206CD8" w:rsidRPr="00D20C32">
        <w:rPr>
          <w:rFonts w:ascii="Arial" w:hAnsi="Arial" w:cs="Arial"/>
          <w:szCs w:val="20"/>
          <w:lang w:val="en-GB"/>
        </w:rPr>
        <w:t>s</w:t>
      </w:r>
      <w:r w:rsidRPr="00D20C32">
        <w:rPr>
          <w:rFonts w:ascii="Arial" w:hAnsi="Arial" w:cs="Arial"/>
          <w:szCs w:val="20"/>
          <w:lang w:val="en-GB"/>
        </w:rPr>
        <w:t xml:space="preserve"> for HIV prevention: sexually</w:t>
      </w:r>
      <w:r w:rsidR="00954C43" w:rsidRPr="00D20C32">
        <w:rPr>
          <w:rFonts w:ascii="Arial" w:hAnsi="Arial" w:cs="Arial"/>
          <w:szCs w:val="20"/>
          <w:lang w:val="en-GB"/>
        </w:rPr>
        <w:t xml:space="preserve"> </w:t>
      </w:r>
      <w:r w:rsidRPr="00D20C32">
        <w:rPr>
          <w:rFonts w:ascii="Arial" w:hAnsi="Arial" w:cs="Arial"/>
          <w:szCs w:val="20"/>
          <w:lang w:val="en-GB"/>
        </w:rPr>
        <w:t xml:space="preserve">active adolescent girls and young women; sex workers or </w:t>
      </w:r>
      <w:r w:rsidR="00954C43" w:rsidRPr="00D20C32">
        <w:rPr>
          <w:rFonts w:ascii="Arial" w:hAnsi="Arial" w:cs="Arial"/>
          <w:szCs w:val="20"/>
          <w:lang w:val="en-GB"/>
        </w:rPr>
        <w:t>other</w:t>
      </w:r>
      <w:r w:rsidR="00B626AD" w:rsidRPr="00D20C32">
        <w:rPr>
          <w:rFonts w:ascii="Arial" w:hAnsi="Arial" w:cs="Arial"/>
          <w:szCs w:val="20"/>
          <w:lang w:val="en-GB"/>
        </w:rPr>
        <w:t xml:space="preserve"> women</w:t>
      </w:r>
      <w:r w:rsidRPr="00D20C32">
        <w:rPr>
          <w:rFonts w:ascii="Arial" w:hAnsi="Arial" w:cs="Arial"/>
          <w:szCs w:val="20"/>
          <w:lang w:val="en-GB"/>
        </w:rPr>
        <w:t xml:space="preserve"> </w:t>
      </w:r>
      <w:r w:rsidR="00B626AD" w:rsidRPr="00D20C32">
        <w:rPr>
          <w:rFonts w:ascii="Arial" w:hAnsi="Arial" w:cs="Arial"/>
          <w:szCs w:val="20"/>
          <w:lang w:val="en-GB"/>
        </w:rPr>
        <w:t xml:space="preserve">engaged </w:t>
      </w:r>
      <w:r w:rsidRPr="00D20C32">
        <w:rPr>
          <w:rFonts w:ascii="Arial" w:hAnsi="Arial" w:cs="Arial"/>
          <w:szCs w:val="20"/>
          <w:lang w:val="en-GB"/>
        </w:rPr>
        <w:t xml:space="preserve">in transactional sexual partnerships; clients with a partner of unknown or positive HIV status; </w:t>
      </w:r>
      <w:r w:rsidR="00B626AD" w:rsidRPr="00D20C32">
        <w:rPr>
          <w:rFonts w:ascii="Arial" w:hAnsi="Arial" w:cs="Arial"/>
          <w:szCs w:val="20"/>
          <w:lang w:val="en-GB"/>
        </w:rPr>
        <w:t xml:space="preserve">or </w:t>
      </w:r>
      <w:r w:rsidRPr="00D20C32">
        <w:rPr>
          <w:rFonts w:ascii="Arial" w:hAnsi="Arial" w:cs="Arial"/>
          <w:szCs w:val="20"/>
          <w:lang w:val="en-GB"/>
        </w:rPr>
        <w:t>any client who meets other eligibility criteria and requests access to PrEP</w:t>
      </w:r>
    </w:p>
    <w:p w14:paraId="433A4C6C" w14:textId="3CE12345" w:rsidR="00C529CE" w:rsidRPr="00D20C32" w:rsidRDefault="00954C43" w:rsidP="00C529CE">
      <w:pPr>
        <w:pStyle w:val="ListParagraph"/>
        <w:numPr>
          <w:ilvl w:val="0"/>
          <w:numId w:val="13"/>
        </w:numPr>
        <w:spacing w:after="0" w:line="300" w:lineRule="exact"/>
        <w:rPr>
          <w:rFonts w:ascii="Arial" w:hAnsi="Arial" w:cs="Arial"/>
          <w:szCs w:val="20"/>
          <w:lang w:val="en-GB"/>
        </w:rPr>
      </w:pPr>
      <w:r w:rsidRPr="00D20C32">
        <w:rPr>
          <w:rFonts w:ascii="Arial" w:hAnsi="Arial" w:cs="Arial"/>
          <w:szCs w:val="20"/>
          <w:lang w:val="en-GB"/>
        </w:rPr>
        <w:t>U</w:t>
      </w:r>
      <w:r w:rsidR="00C529CE" w:rsidRPr="00D20C32">
        <w:rPr>
          <w:rFonts w:ascii="Arial" w:hAnsi="Arial" w:cs="Arial"/>
          <w:szCs w:val="20"/>
          <w:lang w:val="en-GB"/>
        </w:rPr>
        <w:t>sing a modern contraceptive</w:t>
      </w:r>
      <w:r w:rsidR="009C0F9D" w:rsidRPr="00D20C32">
        <w:rPr>
          <w:rFonts w:ascii="Arial" w:hAnsi="Arial" w:cs="Arial"/>
          <w:szCs w:val="20"/>
          <w:lang w:val="en-GB"/>
        </w:rPr>
        <w:t xml:space="preserve"> </w:t>
      </w:r>
      <w:r w:rsidRPr="00D20C32">
        <w:rPr>
          <w:rFonts w:ascii="Arial" w:hAnsi="Arial" w:cs="Arial"/>
          <w:szCs w:val="20"/>
          <w:lang w:val="en-GB"/>
        </w:rPr>
        <w:t xml:space="preserve">method </w:t>
      </w:r>
      <w:r w:rsidR="009C0F9D" w:rsidRPr="00D20C32">
        <w:rPr>
          <w:rFonts w:ascii="Arial" w:hAnsi="Arial" w:cs="Arial"/>
          <w:szCs w:val="20"/>
          <w:lang w:val="en-GB"/>
        </w:rPr>
        <w:t>(e.g., hormonal contraceptives, male or female condoms, intrauterine contraceptive device, standard days method)</w:t>
      </w:r>
      <w:r w:rsidR="0060396B" w:rsidRPr="00D20C32">
        <w:rPr>
          <w:rFonts w:ascii="Arial" w:hAnsi="Arial" w:cs="Arial"/>
          <w:szCs w:val="20"/>
          <w:lang w:val="en-GB"/>
        </w:rPr>
        <w:t xml:space="preserve"> [</w:t>
      </w:r>
      <w:r w:rsidR="0060396B" w:rsidRPr="00D20C32">
        <w:rPr>
          <w:rFonts w:ascii="Arial" w:hAnsi="Arial" w:cs="Arial"/>
          <w:szCs w:val="20"/>
          <w:highlight w:val="yellow"/>
          <w:lang w:val="en-GB"/>
        </w:rPr>
        <w:t xml:space="preserve">Can consider revising this </w:t>
      </w:r>
      <w:r w:rsidRPr="00D20C32">
        <w:rPr>
          <w:rFonts w:ascii="Arial" w:hAnsi="Arial" w:cs="Arial"/>
          <w:szCs w:val="20"/>
          <w:highlight w:val="yellow"/>
          <w:lang w:val="en-GB"/>
        </w:rPr>
        <w:t xml:space="preserve">requirement </w:t>
      </w:r>
      <w:proofErr w:type="gramStart"/>
      <w:r w:rsidR="0060396B" w:rsidRPr="00D20C32">
        <w:rPr>
          <w:rFonts w:ascii="Arial" w:hAnsi="Arial" w:cs="Arial"/>
          <w:szCs w:val="20"/>
          <w:highlight w:val="yellow"/>
          <w:lang w:val="en-GB"/>
        </w:rPr>
        <w:t>if and when</w:t>
      </w:r>
      <w:proofErr w:type="gramEnd"/>
      <w:r w:rsidR="0060396B" w:rsidRPr="00D20C32">
        <w:rPr>
          <w:rFonts w:ascii="Arial" w:hAnsi="Arial" w:cs="Arial"/>
          <w:szCs w:val="20"/>
          <w:highlight w:val="yellow"/>
          <w:lang w:val="en-GB"/>
        </w:rPr>
        <w:t xml:space="preserve"> </w:t>
      </w:r>
      <w:r w:rsidRPr="00D20C32">
        <w:rPr>
          <w:rFonts w:ascii="Arial" w:hAnsi="Arial" w:cs="Arial"/>
          <w:szCs w:val="20"/>
          <w:highlight w:val="yellow"/>
          <w:lang w:val="en-GB"/>
        </w:rPr>
        <w:t xml:space="preserve">data on </w:t>
      </w:r>
      <w:r w:rsidR="0060396B" w:rsidRPr="00D20C32">
        <w:rPr>
          <w:rFonts w:ascii="Arial" w:hAnsi="Arial" w:cs="Arial"/>
          <w:szCs w:val="20"/>
          <w:highlight w:val="yellow"/>
          <w:lang w:val="en-GB"/>
        </w:rPr>
        <w:t>product safety during pregnancy and breastfeeding become available and international guidelines are adapted accordingly.</w:t>
      </w:r>
      <w:r w:rsidR="0060396B" w:rsidRPr="00D20C32">
        <w:rPr>
          <w:rFonts w:ascii="Arial" w:hAnsi="Arial" w:cs="Arial"/>
          <w:szCs w:val="20"/>
          <w:lang w:val="en-GB"/>
        </w:rPr>
        <w:t>]</w:t>
      </w:r>
    </w:p>
    <w:p w14:paraId="70EBBD49" w14:textId="21E3CC39" w:rsidR="00B27AA4" w:rsidRPr="00D20C32" w:rsidRDefault="00B27AA4" w:rsidP="00C529CE">
      <w:pPr>
        <w:pStyle w:val="ListParagraph"/>
        <w:numPr>
          <w:ilvl w:val="0"/>
          <w:numId w:val="13"/>
        </w:numPr>
        <w:spacing w:after="0" w:line="300" w:lineRule="exact"/>
        <w:rPr>
          <w:rFonts w:ascii="Arial" w:hAnsi="Arial" w:cs="Arial"/>
          <w:szCs w:val="20"/>
          <w:lang w:val="en-GB"/>
        </w:rPr>
      </w:pPr>
      <w:r w:rsidRPr="00D20C32">
        <w:rPr>
          <w:rFonts w:ascii="Arial" w:hAnsi="Arial" w:cs="Arial"/>
          <w:szCs w:val="20"/>
          <w:lang w:val="en-GB"/>
        </w:rPr>
        <w:t xml:space="preserve">Able to return to the same health facility or care site </w:t>
      </w:r>
      <w:r w:rsidR="00954C43" w:rsidRPr="00D20C32">
        <w:rPr>
          <w:rFonts w:ascii="Arial" w:hAnsi="Arial" w:cs="Arial"/>
          <w:szCs w:val="20"/>
          <w:lang w:val="en-GB"/>
        </w:rPr>
        <w:t xml:space="preserve">during </w:t>
      </w:r>
      <w:r w:rsidRPr="00D20C32">
        <w:rPr>
          <w:rFonts w:ascii="Arial" w:hAnsi="Arial" w:cs="Arial"/>
          <w:szCs w:val="20"/>
          <w:lang w:val="en-GB"/>
        </w:rPr>
        <w:t>a six</w:t>
      </w:r>
      <w:r w:rsidR="00954C43" w:rsidRPr="00D20C32">
        <w:rPr>
          <w:rFonts w:ascii="Arial" w:hAnsi="Arial" w:cs="Arial"/>
          <w:szCs w:val="20"/>
          <w:lang w:val="en-GB"/>
        </w:rPr>
        <w:t>-</w:t>
      </w:r>
      <w:r w:rsidRPr="00D20C32">
        <w:rPr>
          <w:rFonts w:ascii="Arial" w:hAnsi="Arial" w:cs="Arial"/>
          <w:szCs w:val="20"/>
          <w:lang w:val="en-GB"/>
        </w:rPr>
        <w:t>month period</w:t>
      </w:r>
    </w:p>
    <w:p w14:paraId="4D1B2152" w14:textId="77777777" w:rsidR="00C529CE" w:rsidRPr="00D20C32" w:rsidRDefault="00C529CE" w:rsidP="00C529CE">
      <w:pPr>
        <w:spacing w:before="0"/>
        <w:contextualSpacing/>
        <w:rPr>
          <w:rFonts w:cs="Arial"/>
          <w:szCs w:val="20"/>
          <w:lang w:val="en-GB"/>
        </w:rPr>
      </w:pPr>
    </w:p>
    <w:p w14:paraId="24DA2799" w14:textId="47C6FE67" w:rsidR="00C529CE" w:rsidRPr="00D20C32" w:rsidRDefault="00C529CE" w:rsidP="00C529CE">
      <w:pPr>
        <w:spacing w:before="0"/>
        <w:contextualSpacing/>
        <w:rPr>
          <w:rFonts w:cs="Arial"/>
          <w:szCs w:val="20"/>
          <w:lang w:val="en-GB"/>
        </w:rPr>
      </w:pPr>
      <w:r w:rsidRPr="00D20C32">
        <w:rPr>
          <w:rFonts w:cs="Arial"/>
          <w:szCs w:val="20"/>
          <w:lang w:val="en-GB"/>
        </w:rPr>
        <w:t>All studies should have the following exclusion criteria for end-user participants:</w:t>
      </w:r>
    </w:p>
    <w:p w14:paraId="602DE622" w14:textId="5F6CD4E2" w:rsidR="00C529CE" w:rsidRPr="00D20C32" w:rsidRDefault="00285AD4" w:rsidP="00C529CE">
      <w:pPr>
        <w:pStyle w:val="ListParagraph"/>
        <w:numPr>
          <w:ilvl w:val="0"/>
          <w:numId w:val="14"/>
        </w:numPr>
        <w:spacing w:after="0" w:line="300" w:lineRule="exact"/>
        <w:rPr>
          <w:rFonts w:ascii="Arial" w:hAnsi="Arial" w:cs="Arial"/>
          <w:szCs w:val="20"/>
          <w:lang w:val="en-GB"/>
        </w:rPr>
      </w:pPr>
      <w:r w:rsidRPr="00D20C32">
        <w:rPr>
          <w:rFonts w:ascii="Arial" w:hAnsi="Arial" w:cs="Arial"/>
          <w:szCs w:val="20"/>
          <w:lang w:val="en-GB"/>
        </w:rPr>
        <w:t>Y</w:t>
      </w:r>
      <w:r w:rsidR="00954C43" w:rsidRPr="00D20C32">
        <w:rPr>
          <w:rFonts w:ascii="Arial" w:hAnsi="Arial" w:cs="Arial"/>
          <w:szCs w:val="20"/>
          <w:lang w:val="en-GB"/>
        </w:rPr>
        <w:t xml:space="preserve">ounger </w:t>
      </w:r>
      <w:r w:rsidR="00C529CE" w:rsidRPr="00D20C32">
        <w:rPr>
          <w:rFonts w:ascii="Arial" w:hAnsi="Arial" w:cs="Arial"/>
          <w:szCs w:val="20"/>
          <w:lang w:val="en-GB"/>
        </w:rPr>
        <w:t>than 1</w:t>
      </w:r>
      <w:r w:rsidR="009C0F9D" w:rsidRPr="00D20C32">
        <w:rPr>
          <w:rFonts w:ascii="Arial" w:hAnsi="Arial" w:cs="Arial"/>
          <w:szCs w:val="20"/>
          <w:lang w:val="en-GB"/>
        </w:rPr>
        <w:t>8</w:t>
      </w:r>
      <w:r w:rsidR="00C529CE" w:rsidRPr="00D20C32">
        <w:rPr>
          <w:rFonts w:ascii="Arial" w:hAnsi="Arial" w:cs="Arial"/>
          <w:szCs w:val="20"/>
          <w:lang w:val="en-GB"/>
        </w:rPr>
        <w:t xml:space="preserve"> years</w:t>
      </w:r>
      <w:r w:rsidR="0060396B" w:rsidRPr="00D20C32">
        <w:rPr>
          <w:rFonts w:ascii="Arial" w:hAnsi="Arial" w:cs="Arial"/>
          <w:szCs w:val="20"/>
          <w:lang w:val="en-GB"/>
        </w:rPr>
        <w:t xml:space="preserve"> [</w:t>
      </w:r>
      <w:r w:rsidR="0060396B" w:rsidRPr="00D20C32">
        <w:rPr>
          <w:rFonts w:ascii="Arial" w:hAnsi="Arial" w:cs="Arial"/>
          <w:szCs w:val="20"/>
          <w:highlight w:val="yellow"/>
          <w:lang w:val="en-GB"/>
        </w:rPr>
        <w:t>Please see above</w:t>
      </w:r>
      <w:r w:rsidR="0060396B" w:rsidRPr="00D20C32">
        <w:rPr>
          <w:rFonts w:ascii="Arial" w:hAnsi="Arial" w:cs="Arial"/>
          <w:szCs w:val="20"/>
          <w:lang w:val="en-GB"/>
        </w:rPr>
        <w:t>.]</w:t>
      </w:r>
    </w:p>
    <w:p w14:paraId="5BE2801D" w14:textId="177C22FB" w:rsidR="00C529CE" w:rsidRPr="00D20C32" w:rsidRDefault="00285AD4" w:rsidP="00C529CE">
      <w:pPr>
        <w:pStyle w:val="ListParagraph"/>
        <w:numPr>
          <w:ilvl w:val="0"/>
          <w:numId w:val="14"/>
        </w:numPr>
        <w:spacing w:after="0" w:line="300" w:lineRule="exact"/>
        <w:rPr>
          <w:rFonts w:ascii="Arial" w:hAnsi="Arial" w:cs="Arial"/>
          <w:szCs w:val="20"/>
          <w:lang w:val="en-GB"/>
        </w:rPr>
      </w:pPr>
      <w:r w:rsidRPr="00D20C32">
        <w:rPr>
          <w:rFonts w:ascii="Arial" w:hAnsi="Arial" w:cs="Arial"/>
          <w:szCs w:val="20"/>
          <w:lang w:val="en-GB"/>
        </w:rPr>
        <w:lastRenderedPageBreak/>
        <w:t>C</w:t>
      </w:r>
      <w:r w:rsidR="00C529CE" w:rsidRPr="00D20C32">
        <w:rPr>
          <w:rFonts w:ascii="Arial" w:hAnsi="Arial" w:cs="Arial"/>
          <w:szCs w:val="20"/>
          <w:lang w:val="en-GB"/>
        </w:rPr>
        <w:t xml:space="preserve">urrently pregnant or breastfeeding or planning to become pregnant or breastfeed within the </w:t>
      </w:r>
      <w:r w:rsidR="00954C43" w:rsidRPr="00D20C32">
        <w:rPr>
          <w:rFonts w:ascii="Arial" w:hAnsi="Arial" w:cs="Arial"/>
          <w:szCs w:val="20"/>
          <w:lang w:val="en-GB"/>
        </w:rPr>
        <w:t xml:space="preserve">next nine to </w:t>
      </w:r>
      <w:r w:rsidR="00C529CE" w:rsidRPr="00D20C32">
        <w:rPr>
          <w:rFonts w:ascii="Arial" w:hAnsi="Arial" w:cs="Arial"/>
          <w:szCs w:val="20"/>
          <w:lang w:val="en-GB"/>
        </w:rPr>
        <w:t>12 months</w:t>
      </w:r>
      <w:r w:rsidRPr="00D20C32">
        <w:rPr>
          <w:rFonts w:ascii="Arial" w:hAnsi="Arial" w:cs="Arial"/>
          <w:szCs w:val="20"/>
          <w:lang w:val="en-GB"/>
        </w:rPr>
        <w:t xml:space="preserve"> </w:t>
      </w:r>
      <w:r w:rsidR="00B227B5" w:rsidRPr="00D20C32">
        <w:rPr>
          <w:rFonts w:ascii="Arial" w:hAnsi="Arial" w:cs="Arial"/>
          <w:szCs w:val="20"/>
          <w:lang w:val="en-GB"/>
        </w:rPr>
        <w:t>—</w:t>
      </w:r>
      <w:r w:rsidR="009F25D0" w:rsidRPr="00D20C32">
        <w:rPr>
          <w:rFonts w:ascii="Arial" w:hAnsi="Arial" w:cs="Arial"/>
          <w:szCs w:val="20"/>
          <w:lang w:val="en-GB"/>
        </w:rPr>
        <w:t xml:space="preserve"> The rationale for this criterion is that data for ring safety in pregnancy and during lactation, while reassuring, are relatively sparse. Ongoing studies</w:t>
      </w:r>
      <w:r w:rsidR="00293D51" w:rsidRPr="00D20C32">
        <w:rPr>
          <w:rFonts w:ascii="Arial" w:hAnsi="Arial" w:cs="Arial"/>
          <w:szCs w:val="20"/>
          <w:lang w:val="en-GB"/>
        </w:rPr>
        <w:t xml:space="preserve"> (DELIVER, B-PROTECTED)</w:t>
      </w:r>
      <w:r w:rsidR="009F25D0" w:rsidRPr="00D20C32">
        <w:rPr>
          <w:rFonts w:ascii="Arial" w:hAnsi="Arial" w:cs="Arial"/>
          <w:szCs w:val="20"/>
          <w:lang w:val="en-GB"/>
        </w:rPr>
        <w:t xml:space="preserve"> are inve</w:t>
      </w:r>
      <w:r w:rsidR="00293D51" w:rsidRPr="00D20C32">
        <w:rPr>
          <w:rFonts w:ascii="Arial" w:hAnsi="Arial" w:cs="Arial"/>
          <w:szCs w:val="20"/>
          <w:lang w:val="en-GB"/>
        </w:rPr>
        <w:t>s</w:t>
      </w:r>
      <w:r w:rsidR="009F25D0" w:rsidRPr="00D20C32">
        <w:rPr>
          <w:rFonts w:ascii="Arial" w:hAnsi="Arial" w:cs="Arial"/>
          <w:szCs w:val="20"/>
          <w:lang w:val="en-GB"/>
        </w:rPr>
        <w:t xml:space="preserve">tigating this issue, but these pilot studies will adhere to current ring </w:t>
      </w:r>
      <w:r w:rsidR="00293D51" w:rsidRPr="00D20C32">
        <w:rPr>
          <w:rFonts w:ascii="Arial" w:hAnsi="Arial" w:cs="Arial"/>
          <w:szCs w:val="20"/>
          <w:lang w:val="en-GB"/>
        </w:rPr>
        <w:t>prescribing guidelines</w:t>
      </w:r>
      <w:r w:rsidR="00954C43" w:rsidRPr="00D20C32">
        <w:rPr>
          <w:rFonts w:ascii="Arial" w:hAnsi="Arial" w:cs="Arial"/>
          <w:szCs w:val="20"/>
          <w:lang w:val="en-GB"/>
        </w:rPr>
        <w:t>,</w:t>
      </w:r>
      <w:r w:rsidR="00293D51" w:rsidRPr="00D20C32">
        <w:rPr>
          <w:rFonts w:ascii="Arial" w:hAnsi="Arial" w:cs="Arial"/>
          <w:szCs w:val="20"/>
          <w:lang w:val="en-GB"/>
        </w:rPr>
        <w:t xml:space="preserve"> which stipulate </w:t>
      </w:r>
      <w:r w:rsidR="00954C43" w:rsidRPr="00D20C32">
        <w:rPr>
          <w:rFonts w:ascii="Arial" w:hAnsi="Arial" w:cs="Arial"/>
          <w:szCs w:val="20"/>
          <w:lang w:val="en-GB"/>
        </w:rPr>
        <w:t>that the</w:t>
      </w:r>
      <w:r w:rsidR="00293D51" w:rsidRPr="00D20C32">
        <w:rPr>
          <w:rFonts w:ascii="Arial" w:hAnsi="Arial" w:cs="Arial"/>
          <w:szCs w:val="20"/>
          <w:lang w:val="en-GB"/>
        </w:rPr>
        <w:t xml:space="preserve"> ring should not be used by pregnant or lactating women. </w:t>
      </w:r>
      <w:r w:rsidR="00954C43" w:rsidRPr="00D20C32">
        <w:rPr>
          <w:rFonts w:ascii="Arial" w:hAnsi="Arial" w:cs="Arial"/>
          <w:szCs w:val="20"/>
          <w:lang w:val="en-GB"/>
        </w:rPr>
        <w:t>W</w:t>
      </w:r>
      <w:r w:rsidR="00293D51" w:rsidRPr="00D20C32">
        <w:rPr>
          <w:rFonts w:ascii="Arial" w:hAnsi="Arial" w:cs="Arial"/>
          <w:szCs w:val="20"/>
          <w:lang w:val="en-GB"/>
        </w:rPr>
        <w:t>omen using the ring who become pregnant during the study period</w:t>
      </w:r>
      <w:r w:rsidR="00954C43" w:rsidRPr="00D20C32">
        <w:rPr>
          <w:rFonts w:ascii="Arial" w:hAnsi="Arial" w:cs="Arial"/>
          <w:szCs w:val="20"/>
          <w:lang w:val="en-GB"/>
        </w:rPr>
        <w:t xml:space="preserve"> should</w:t>
      </w:r>
      <w:r w:rsidR="00293D51" w:rsidRPr="00D20C32">
        <w:rPr>
          <w:rFonts w:ascii="Arial" w:hAnsi="Arial" w:cs="Arial"/>
          <w:szCs w:val="20"/>
          <w:lang w:val="en-GB"/>
        </w:rPr>
        <w:t xml:space="preserve"> be </w:t>
      </w:r>
      <w:r w:rsidR="00D20C32" w:rsidRPr="00D20C32">
        <w:rPr>
          <w:rFonts w:ascii="Arial" w:hAnsi="Arial" w:cs="Arial"/>
          <w:szCs w:val="20"/>
          <w:lang w:val="en-GB"/>
        </w:rPr>
        <w:t>counselled</w:t>
      </w:r>
      <w:r w:rsidR="00293D51" w:rsidRPr="00D20C32">
        <w:rPr>
          <w:rFonts w:ascii="Arial" w:hAnsi="Arial" w:cs="Arial"/>
          <w:szCs w:val="20"/>
          <w:lang w:val="en-GB"/>
        </w:rPr>
        <w:t xml:space="preserve"> based on </w:t>
      </w:r>
      <w:r w:rsidRPr="00D20C32">
        <w:rPr>
          <w:rFonts w:ascii="Arial" w:hAnsi="Arial" w:cs="Arial"/>
          <w:szCs w:val="20"/>
          <w:lang w:val="en-GB"/>
        </w:rPr>
        <w:t xml:space="preserve">the </w:t>
      </w:r>
      <w:r w:rsidR="00293D51" w:rsidRPr="00D20C32">
        <w:rPr>
          <w:rFonts w:ascii="Arial" w:hAnsi="Arial" w:cs="Arial"/>
          <w:szCs w:val="20"/>
          <w:lang w:val="en-GB"/>
        </w:rPr>
        <w:t xml:space="preserve">evidence available at that time and offered </w:t>
      </w:r>
      <w:r w:rsidRPr="00D20C32">
        <w:rPr>
          <w:rFonts w:ascii="Arial" w:hAnsi="Arial" w:cs="Arial"/>
          <w:szCs w:val="20"/>
          <w:lang w:val="en-GB"/>
        </w:rPr>
        <w:t xml:space="preserve">the opportunity </w:t>
      </w:r>
      <w:r w:rsidR="00293D51" w:rsidRPr="00D20C32">
        <w:rPr>
          <w:rFonts w:ascii="Arial" w:hAnsi="Arial" w:cs="Arial"/>
          <w:szCs w:val="20"/>
          <w:lang w:val="en-GB"/>
        </w:rPr>
        <w:t xml:space="preserve">to switch to oral </w:t>
      </w:r>
      <w:proofErr w:type="spellStart"/>
      <w:r w:rsidR="00293D51" w:rsidRPr="00D20C32">
        <w:rPr>
          <w:rFonts w:ascii="Arial" w:hAnsi="Arial" w:cs="Arial"/>
          <w:szCs w:val="20"/>
          <w:lang w:val="en-GB"/>
        </w:rPr>
        <w:t>PrEP.</w:t>
      </w:r>
      <w:proofErr w:type="spellEnd"/>
      <w:r w:rsidR="0060396B" w:rsidRPr="00D20C32">
        <w:rPr>
          <w:rFonts w:ascii="Arial" w:hAnsi="Arial" w:cs="Arial"/>
          <w:szCs w:val="20"/>
          <w:lang w:val="en-GB"/>
        </w:rPr>
        <w:t xml:space="preserve"> [</w:t>
      </w:r>
      <w:r w:rsidR="0060396B" w:rsidRPr="00D20C32">
        <w:rPr>
          <w:rFonts w:ascii="Arial" w:hAnsi="Arial" w:cs="Arial"/>
          <w:szCs w:val="20"/>
          <w:highlight w:val="yellow"/>
          <w:lang w:val="en-GB"/>
        </w:rPr>
        <w:t>Please see above.</w:t>
      </w:r>
      <w:r w:rsidR="0060396B" w:rsidRPr="00D20C32">
        <w:rPr>
          <w:rFonts w:ascii="Arial" w:hAnsi="Arial" w:cs="Arial"/>
          <w:szCs w:val="20"/>
          <w:lang w:val="en-GB"/>
        </w:rPr>
        <w:t>]</w:t>
      </w:r>
    </w:p>
    <w:p w14:paraId="1B59C99B" w14:textId="1C6D4F8B" w:rsidR="00C529CE" w:rsidRPr="00D20C32" w:rsidRDefault="00285AD4" w:rsidP="00C529CE">
      <w:pPr>
        <w:pStyle w:val="ListParagraph"/>
        <w:numPr>
          <w:ilvl w:val="0"/>
          <w:numId w:val="14"/>
        </w:numPr>
        <w:spacing w:after="0" w:line="300" w:lineRule="exact"/>
        <w:rPr>
          <w:rFonts w:ascii="Arial" w:hAnsi="Arial" w:cs="Arial"/>
          <w:szCs w:val="20"/>
          <w:lang w:val="en-GB"/>
        </w:rPr>
      </w:pPr>
      <w:r w:rsidRPr="00D20C32">
        <w:rPr>
          <w:rFonts w:ascii="Arial" w:hAnsi="Arial" w:cs="Arial"/>
          <w:szCs w:val="20"/>
          <w:lang w:val="en-GB"/>
        </w:rPr>
        <w:t>H</w:t>
      </w:r>
      <w:r w:rsidR="00C529CE" w:rsidRPr="00D20C32">
        <w:rPr>
          <w:rFonts w:ascii="Arial" w:hAnsi="Arial" w:cs="Arial"/>
          <w:szCs w:val="20"/>
          <w:lang w:val="en-GB"/>
        </w:rPr>
        <w:t>ave documented HIV infection</w:t>
      </w:r>
      <w:r w:rsidR="009709AD" w:rsidRPr="00D20C32">
        <w:rPr>
          <w:rFonts w:ascii="Arial" w:hAnsi="Arial" w:cs="Arial"/>
          <w:szCs w:val="20"/>
          <w:lang w:val="en-GB"/>
        </w:rPr>
        <w:t>,</w:t>
      </w:r>
      <w:r w:rsidR="009709AD" w:rsidRPr="00D20C32">
        <w:rPr>
          <w:rFonts w:eastAsiaTheme="minorEastAsia" w:hAnsiTheme="minorHAnsi" w:cstheme="minorBidi"/>
          <w:bCs w:val="0"/>
          <w:sz w:val="24"/>
          <w:szCs w:val="24"/>
          <w:lang w:val="en-GB" w:eastAsia="zh-CN"/>
        </w:rPr>
        <w:t xml:space="preserve"> </w:t>
      </w:r>
      <w:r w:rsidR="009709AD" w:rsidRPr="00D20C32">
        <w:rPr>
          <w:rFonts w:ascii="Arial" w:hAnsi="Arial" w:cs="Arial"/>
          <w:szCs w:val="20"/>
          <w:lang w:val="en-GB"/>
        </w:rPr>
        <w:t xml:space="preserve">signs or symptoms of acute HIV infection, </w:t>
      </w:r>
      <w:r w:rsidRPr="00D20C32">
        <w:rPr>
          <w:rFonts w:ascii="Arial" w:hAnsi="Arial" w:cs="Arial"/>
          <w:szCs w:val="20"/>
          <w:lang w:val="en-GB"/>
        </w:rPr>
        <w:t xml:space="preserve">or </w:t>
      </w:r>
      <w:r w:rsidR="009709AD" w:rsidRPr="00D20C32">
        <w:rPr>
          <w:rFonts w:ascii="Arial" w:hAnsi="Arial" w:cs="Arial"/>
          <w:szCs w:val="20"/>
          <w:lang w:val="en-GB"/>
        </w:rPr>
        <w:t xml:space="preserve">suspected HIV exposure in the last 72 hours (i.e., candidate for </w:t>
      </w:r>
      <w:r w:rsidRPr="00D20C32">
        <w:rPr>
          <w:rFonts w:ascii="Arial" w:hAnsi="Arial" w:cs="Arial"/>
          <w:szCs w:val="20"/>
          <w:lang w:val="en-GB"/>
        </w:rPr>
        <w:t>post-exposure prophylaxis</w:t>
      </w:r>
      <w:r w:rsidR="009709AD" w:rsidRPr="00D20C32">
        <w:rPr>
          <w:rFonts w:ascii="Arial" w:hAnsi="Arial" w:cs="Arial"/>
          <w:szCs w:val="20"/>
          <w:lang w:val="en-GB"/>
        </w:rPr>
        <w:t xml:space="preserve">), </w:t>
      </w:r>
      <w:r w:rsidR="00C529CE" w:rsidRPr="00D20C32">
        <w:rPr>
          <w:rFonts w:ascii="Arial" w:hAnsi="Arial" w:cs="Arial"/>
          <w:szCs w:val="20"/>
          <w:lang w:val="en-GB"/>
        </w:rPr>
        <w:t xml:space="preserve">or </w:t>
      </w:r>
      <w:r w:rsidRPr="00D20C32">
        <w:rPr>
          <w:rFonts w:ascii="Arial" w:hAnsi="Arial" w:cs="Arial"/>
          <w:szCs w:val="20"/>
          <w:lang w:val="en-GB"/>
        </w:rPr>
        <w:t xml:space="preserve">have </w:t>
      </w:r>
      <w:r w:rsidR="00C529CE" w:rsidRPr="00D20C32">
        <w:rPr>
          <w:rFonts w:ascii="Arial" w:hAnsi="Arial" w:cs="Arial"/>
          <w:szCs w:val="20"/>
          <w:lang w:val="en-GB"/>
        </w:rPr>
        <w:t>decline</w:t>
      </w:r>
      <w:r w:rsidRPr="00D20C32">
        <w:rPr>
          <w:rFonts w:ascii="Arial" w:hAnsi="Arial" w:cs="Arial"/>
          <w:szCs w:val="20"/>
          <w:lang w:val="en-GB"/>
        </w:rPr>
        <w:t>d</w:t>
      </w:r>
      <w:r w:rsidR="00C529CE" w:rsidRPr="00D20C32">
        <w:rPr>
          <w:rFonts w:ascii="Arial" w:hAnsi="Arial" w:cs="Arial"/>
          <w:szCs w:val="20"/>
          <w:lang w:val="en-GB"/>
        </w:rPr>
        <w:t xml:space="preserve"> HIV testing</w:t>
      </w:r>
    </w:p>
    <w:p w14:paraId="5E97F674" w14:textId="289136B4" w:rsidR="00C529CE" w:rsidRPr="00D20C32" w:rsidRDefault="00285AD4" w:rsidP="00C529CE">
      <w:pPr>
        <w:pStyle w:val="ListParagraph"/>
        <w:numPr>
          <w:ilvl w:val="0"/>
          <w:numId w:val="14"/>
        </w:numPr>
        <w:spacing w:after="0" w:line="300" w:lineRule="exact"/>
        <w:rPr>
          <w:rFonts w:ascii="Arial" w:hAnsi="Arial" w:cs="Arial"/>
          <w:szCs w:val="20"/>
          <w:lang w:val="en-GB"/>
        </w:rPr>
      </w:pPr>
      <w:r w:rsidRPr="00D20C32">
        <w:rPr>
          <w:rFonts w:ascii="Arial" w:hAnsi="Arial" w:cs="Arial"/>
          <w:szCs w:val="20"/>
          <w:lang w:val="en-GB"/>
        </w:rPr>
        <w:t>U</w:t>
      </w:r>
      <w:r w:rsidR="00C529CE" w:rsidRPr="00D20C32">
        <w:rPr>
          <w:rFonts w:ascii="Arial" w:hAnsi="Arial" w:cs="Arial"/>
          <w:szCs w:val="20"/>
          <w:lang w:val="en-GB"/>
        </w:rPr>
        <w:t>nable or unwilling to be contacted for follow-up appointments</w:t>
      </w:r>
    </w:p>
    <w:p w14:paraId="06D6B45C" w14:textId="77777777" w:rsidR="00C529CE" w:rsidRPr="00D20C32" w:rsidRDefault="00C529CE" w:rsidP="00C529CE">
      <w:pPr>
        <w:spacing w:before="0"/>
        <w:contextualSpacing/>
        <w:rPr>
          <w:rFonts w:cs="Arial"/>
          <w:szCs w:val="20"/>
          <w:lang w:val="en-GB"/>
        </w:rPr>
      </w:pPr>
    </w:p>
    <w:p w14:paraId="75D1D654" w14:textId="65EC5B80" w:rsidR="00C529CE" w:rsidRPr="00D20C32" w:rsidRDefault="00C529CE" w:rsidP="00C529CE">
      <w:pPr>
        <w:spacing w:before="0"/>
        <w:contextualSpacing/>
        <w:rPr>
          <w:rFonts w:cs="Arial"/>
          <w:b/>
          <w:bCs w:val="0"/>
          <w:szCs w:val="20"/>
          <w:lang w:val="en-GB"/>
        </w:rPr>
      </w:pPr>
      <w:r w:rsidRPr="00D20C32">
        <w:rPr>
          <w:rFonts w:cs="Arial"/>
          <w:b/>
          <w:bCs w:val="0"/>
          <w:szCs w:val="20"/>
          <w:lang w:val="en-GB"/>
        </w:rPr>
        <w:t>Healthcare providers</w:t>
      </w:r>
    </w:p>
    <w:p w14:paraId="304602E0" w14:textId="17E566A2" w:rsidR="0060396B" w:rsidRPr="00D20C32" w:rsidRDefault="0060396B" w:rsidP="00C529CE">
      <w:pPr>
        <w:spacing w:before="0"/>
        <w:contextualSpacing/>
        <w:rPr>
          <w:rFonts w:cs="Arial"/>
          <w:szCs w:val="20"/>
          <w:lang w:val="en-GB"/>
        </w:rPr>
      </w:pPr>
      <w:r w:rsidRPr="00D20C32">
        <w:rPr>
          <w:rFonts w:cs="Arial"/>
          <w:szCs w:val="20"/>
          <w:lang w:val="en-GB"/>
        </w:rPr>
        <w:t>[</w:t>
      </w:r>
      <w:r w:rsidRPr="00D20C32">
        <w:rPr>
          <w:rFonts w:cs="Arial"/>
          <w:szCs w:val="20"/>
          <w:highlight w:val="yellow"/>
          <w:lang w:val="en-GB"/>
        </w:rPr>
        <w:t>Please adapt based on current/intended PrEP service site features in your context.</w:t>
      </w:r>
      <w:r w:rsidRPr="00D20C32">
        <w:rPr>
          <w:rFonts w:cs="Arial"/>
          <w:szCs w:val="20"/>
          <w:lang w:val="en-GB"/>
        </w:rPr>
        <w:t xml:space="preserve">] </w:t>
      </w:r>
    </w:p>
    <w:p w14:paraId="0E185B77" w14:textId="39313834" w:rsidR="00C529CE" w:rsidRPr="00D20C32" w:rsidRDefault="00C529CE" w:rsidP="00C529CE">
      <w:pPr>
        <w:spacing w:before="0"/>
        <w:contextualSpacing/>
        <w:rPr>
          <w:rFonts w:cs="Arial"/>
          <w:szCs w:val="20"/>
          <w:lang w:val="en-GB"/>
        </w:rPr>
      </w:pPr>
      <w:r w:rsidRPr="00D20C32">
        <w:rPr>
          <w:rFonts w:cs="Arial"/>
          <w:szCs w:val="20"/>
          <w:lang w:val="en-GB"/>
        </w:rPr>
        <w:t>All studies should have the following inclusion criteria for health care provider participants:</w:t>
      </w:r>
    </w:p>
    <w:p w14:paraId="51A46A8F" w14:textId="2B2A0065" w:rsidR="00293D51" w:rsidRPr="00D20C32" w:rsidRDefault="00293D51" w:rsidP="00C529CE">
      <w:pPr>
        <w:pStyle w:val="ListParagraph"/>
        <w:numPr>
          <w:ilvl w:val="0"/>
          <w:numId w:val="13"/>
        </w:numPr>
        <w:spacing w:after="0" w:line="300" w:lineRule="exact"/>
        <w:rPr>
          <w:rFonts w:ascii="Arial" w:hAnsi="Arial" w:cs="Arial"/>
          <w:szCs w:val="20"/>
          <w:lang w:val="en-GB"/>
        </w:rPr>
      </w:pPr>
      <w:r w:rsidRPr="00D20C32">
        <w:rPr>
          <w:rFonts w:ascii="Arial" w:hAnsi="Arial" w:cs="Arial"/>
          <w:szCs w:val="20"/>
          <w:lang w:val="en-GB"/>
        </w:rPr>
        <w:t>Experience with providing oral PrEP services</w:t>
      </w:r>
    </w:p>
    <w:p w14:paraId="57799CF3" w14:textId="0029404B" w:rsidR="00C529CE" w:rsidRPr="00D20C32" w:rsidRDefault="00C529CE" w:rsidP="00C529CE">
      <w:pPr>
        <w:pStyle w:val="ListParagraph"/>
        <w:numPr>
          <w:ilvl w:val="0"/>
          <w:numId w:val="13"/>
        </w:numPr>
        <w:spacing w:after="0" w:line="300" w:lineRule="exact"/>
        <w:rPr>
          <w:rFonts w:ascii="Arial" w:hAnsi="Arial" w:cs="Arial"/>
          <w:szCs w:val="20"/>
          <w:lang w:val="en-GB"/>
        </w:rPr>
      </w:pPr>
      <w:r w:rsidRPr="00D20C32">
        <w:rPr>
          <w:rFonts w:ascii="Arial" w:hAnsi="Arial" w:cs="Arial"/>
          <w:szCs w:val="20"/>
          <w:lang w:val="en-GB"/>
        </w:rPr>
        <w:t xml:space="preserve">Currently providing </w:t>
      </w:r>
      <w:r w:rsidR="00B27AA4" w:rsidRPr="00D20C32">
        <w:rPr>
          <w:rFonts w:ascii="Arial" w:hAnsi="Arial" w:cs="Arial"/>
          <w:szCs w:val="20"/>
          <w:lang w:val="en-GB"/>
        </w:rPr>
        <w:t>social harm</w:t>
      </w:r>
      <w:r w:rsidR="00293D51" w:rsidRPr="00D20C32">
        <w:rPr>
          <w:rFonts w:ascii="Arial" w:hAnsi="Arial" w:cs="Arial"/>
          <w:szCs w:val="20"/>
          <w:lang w:val="en-GB"/>
        </w:rPr>
        <w:t xml:space="preserve"> screening and care services</w:t>
      </w:r>
      <w:r w:rsidRPr="00D20C32">
        <w:rPr>
          <w:rFonts w:ascii="Arial" w:hAnsi="Arial" w:cs="Arial"/>
          <w:szCs w:val="20"/>
          <w:lang w:val="en-GB"/>
        </w:rPr>
        <w:t xml:space="preserve"> at the selected facility/site</w:t>
      </w:r>
    </w:p>
    <w:p w14:paraId="6F87035F" w14:textId="77777777" w:rsidR="00C529CE" w:rsidRPr="00D20C32" w:rsidRDefault="00C529CE" w:rsidP="00C529CE">
      <w:pPr>
        <w:pStyle w:val="ListParagraph"/>
        <w:numPr>
          <w:ilvl w:val="0"/>
          <w:numId w:val="13"/>
        </w:numPr>
        <w:spacing w:after="0" w:line="300" w:lineRule="exact"/>
        <w:rPr>
          <w:rFonts w:ascii="Arial" w:hAnsi="Arial" w:cs="Arial"/>
          <w:szCs w:val="20"/>
          <w:lang w:val="en-GB"/>
        </w:rPr>
      </w:pPr>
      <w:r w:rsidRPr="00D20C32">
        <w:rPr>
          <w:rFonts w:ascii="Arial" w:hAnsi="Arial" w:cs="Arial"/>
          <w:szCs w:val="20"/>
          <w:lang w:val="en-GB"/>
        </w:rPr>
        <w:t>Able to provide informed consent</w:t>
      </w:r>
    </w:p>
    <w:p w14:paraId="29993F56" w14:textId="0E87706D" w:rsidR="00C529CE" w:rsidRPr="00D20C32" w:rsidRDefault="150BBC26" w:rsidP="42A9FCB0">
      <w:pPr>
        <w:pStyle w:val="ListParagraph"/>
        <w:numPr>
          <w:ilvl w:val="0"/>
          <w:numId w:val="13"/>
        </w:numPr>
        <w:spacing w:after="0" w:line="300" w:lineRule="exact"/>
        <w:rPr>
          <w:rFonts w:ascii="Arial" w:hAnsi="Arial" w:cs="Arial"/>
          <w:lang w:val="en-GB"/>
        </w:rPr>
      </w:pPr>
      <w:r w:rsidRPr="00D20C32">
        <w:rPr>
          <w:rFonts w:ascii="Arial" w:hAnsi="Arial" w:cs="Arial"/>
          <w:lang w:val="en-GB"/>
        </w:rPr>
        <w:t xml:space="preserve">Have </w:t>
      </w:r>
      <w:r w:rsidR="14F70C04" w:rsidRPr="00D20C32">
        <w:rPr>
          <w:rFonts w:ascii="Arial" w:hAnsi="Arial" w:cs="Arial"/>
          <w:lang w:val="en-GB"/>
        </w:rPr>
        <w:t xml:space="preserve">participated in </w:t>
      </w:r>
      <w:r w:rsidRPr="00D20C32">
        <w:rPr>
          <w:rFonts w:ascii="Arial" w:hAnsi="Arial" w:cs="Arial"/>
          <w:lang w:val="en-GB"/>
        </w:rPr>
        <w:t xml:space="preserve">the draft provider ring </w:t>
      </w:r>
      <w:r w:rsidR="00D20C32" w:rsidRPr="00D20C32">
        <w:rPr>
          <w:rFonts w:ascii="Arial" w:hAnsi="Arial" w:cs="Arial"/>
          <w:lang w:val="en-GB"/>
        </w:rPr>
        <w:t>counselling</w:t>
      </w:r>
      <w:r w:rsidRPr="00D20C32">
        <w:rPr>
          <w:rFonts w:ascii="Arial" w:hAnsi="Arial" w:cs="Arial"/>
          <w:lang w:val="en-GB"/>
        </w:rPr>
        <w:t>, provision, and management training course</w:t>
      </w:r>
    </w:p>
    <w:p w14:paraId="771F8867" w14:textId="15659AD2" w:rsidR="00C529CE" w:rsidRPr="00D20C32" w:rsidRDefault="00C529CE" w:rsidP="00C529CE">
      <w:pPr>
        <w:pStyle w:val="ListParagraph"/>
        <w:numPr>
          <w:ilvl w:val="0"/>
          <w:numId w:val="13"/>
        </w:numPr>
        <w:spacing w:after="0" w:line="300" w:lineRule="exact"/>
        <w:rPr>
          <w:rFonts w:ascii="Arial" w:hAnsi="Arial" w:cs="Arial"/>
          <w:szCs w:val="20"/>
          <w:lang w:val="en-GB"/>
        </w:rPr>
      </w:pPr>
      <w:r w:rsidRPr="00D20C32">
        <w:rPr>
          <w:rFonts w:ascii="Arial" w:hAnsi="Arial" w:cs="Arial"/>
          <w:szCs w:val="20"/>
          <w:lang w:val="en-GB"/>
        </w:rPr>
        <w:t xml:space="preserve">Have recent experience screening for </w:t>
      </w:r>
      <w:r w:rsidR="00B27AA4" w:rsidRPr="00D20C32">
        <w:rPr>
          <w:rFonts w:ascii="Arial" w:hAnsi="Arial" w:cs="Arial"/>
          <w:szCs w:val="20"/>
          <w:lang w:val="en-GB"/>
        </w:rPr>
        <w:t xml:space="preserve">and treating </w:t>
      </w:r>
      <w:r w:rsidRPr="00D20C32">
        <w:rPr>
          <w:rFonts w:ascii="Arial" w:hAnsi="Arial" w:cs="Arial"/>
          <w:szCs w:val="20"/>
          <w:lang w:val="en-GB"/>
        </w:rPr>
        <w:t>sexually transmitted and other reproductive tract infections</w:t>
      </w:r>
    </w:p>
    <w:p w14:paraId="0FC0C02C" w14:textId="58FD1A93" w:rsidR="00C529CE" w:rsidRPr="00D20C32" w:rsidRDefault="00C529CE" w:rsidP="00C529CE">
      <w:pPr>
        <w:pStyle w:val="ListParagraph"/>
        <w:numPr>
          <w:ilvl w:val="0"/>
          <w:numId w:val="13"/>
        </w:numPr>
        <w:spacing w:after="0" w:line="300" w:lineRule="exact"/>
        <w:rPr>
          <w:rFonts w:ascii="Arial" w:hAnsi="Arial" w:cs="Arial"/>
          <w:szCs w:val="20"/>
          <w:lang w:val="en-GB"/>
        </w:rPr>
      </w:pPr>
      <w:r w:rsidRPr="00D20C32">
        <w:rPr>
          <w:rFonts w:ascii="Arial" w:hAnsi="Arial" w:cs="Arial"/>
          <w:szCs w:val="20"/>
          <w:lang w:val="en-GB"/>
        </w:rPr>
        <w:t xml:space="preserve">Have recent experience providing HIV </w:t>
      </w:r>
      <w:r w:rsidR="00D20C32" w:rsidRPr="00D20C32">
        <w:rPr>
          <w:rFonts w:ascii="Arial" w:hAnsi="Arial" w:cs="Arial"/>
          <w:szCs w:val="20"/>
          <w:lang w:val="en-GB"/>
        </w:rPr>
        <w:t>counselling</w:t>
      </w:r>
      <w:r w:rsidRPr="00D20C32">
        <w:rPr>
          <w:rFonts w:ascii="Arial" w:hAnsi="Arial" w:cs="Arial"/>
          <w:szCs w:val="20"/>
          <w:lang w:val="en-GB"/>
        </w:rPr>
        <w:t xml:space="preserve"> and testing</w:t>
      </w:r>
    </w:p>
    <w:p w14:paraId="7099090F" w14:textId="77777777" w:rsidR="00C529CE" w:rsidRPr="00D20C32" w:rsidRDefault="00C529CE" w:rsidP="00C529CE">
      <w:pPr>
        <w:spacing w:before="0"/>
        <w:contextualSpacing/>
        <w:rPr>
          <w:rFonts w:cs="Arial"/>
          <w:szCs w:val="20"/>
          <w:lang w:val="en-GB"/>
        </w:rPr>
      </w:pPr>
    </w:p>
    <w:p w14:paraId="39FD83AE" w14:textId="77777777" w:rsidR="00C529CE" w:rsidRPr="00D20C32" w:rsidRDefault="00C529CE" w:rsidP="00C529CE">
      <w:pPr>
        <w:spacing w:before="0"/>
        <w:contextualSpacing/>
        <w:rPr>
          <w:rFonts w:cs="Arial"/>
          <w:szCs w:val="20"/>
          <w:lang w:val="en-GB"/>
        </w:rPr>
      </w:pPr>
      <w:r w:rsidRPr="00D20C32">
        <w:rPr>
          <w:rFonts w:cs="Arial"/>
          <w:szCs w:val="20"/>
          <w:lang w:val="en-GB"/>
        </w:rPr>
        <w:t>All studies should have the following exclusion criteria for health care providers:</w:t>
      </w:r>
    </w:p>
    <w:p w14:paraId="4DB16E2C" w14:textId="77777777" w:rsidR="00C529CE" w:rsidRPr="00D20C32" w:rsidRDefault="00C529CE" w:rsidP="00C529CE">
      <w:pPr>
        <w:pStyle w:val="ListParagraph"/>
        <w:numPr>
          <w:ilvl w:val="0"/>
          <w:numId w:val="14"/>
        </w:numPr>
        <w:spacing w:after="0" w:line="300" w:lineRule="exact"/>
        <w:rPr>
          <w:rFonts w:ascii="Arial" w:hAnsi="Arial" w:cs="Arial"/>
          <w:szCs w:val="20"/>
          <w:lang w:val="en-GB"/>
        </w:rPr>
      </w:pPr>
      <w:r w:rsidRPr="00D20C32">
        <w:rPr>
          <w:rFonts w:ascii="Arial" w:hAnsi="Arial" w:cs="Arial"/>
          <w:szCs w:val="20"/>
          <w:lang w:val="en-GB"/>
        </w:rPr>
        <w:t>Unwilling to provide the ring</w:t>
      </w:r>
    </w:p>
    <w:p w14:paraId="2ADC5E29" w14:textId="031BD03A" w:rsidR="00C529CE" w:rsidRPr="00D20C32" w:rsidRDefault="00C529CE" w:rsidP="00C529CE">
      <w:pPr>
        <w:pStyle w:val="ListParagraph"/>
        <w:numPr>
          <w:ilvl w:val="0"/>
          <w:numId w:val="14"/>
        </w:numPr>
        <w:spacing w:after="0" w:line="300" w:lineRule="exact"/>
        <w:rPr>
          <w:rFonts w:ascii="Arial" w:hAnsi="Arial" w:cs="Arial"/>
          <w:szCs w:val="20"/>
          <w:lang w:val="en-GB"/>
        </w:rPr>
      </w:pPr>
      <w:r w:rsidRPr="00D20C32">
        <w:rPr>
          <w:rFonts w:ascii="Arial" w:hAnsi="Arial" w:cs="Arial"/>
          <w:szCs w:val="20"/>
          <w:lang w:val="en-GB"/>
        </w:rPr>
        <w:t xml:space="preserve">No experience providing </w:t>
      </w:r>
      <w:r w:rsidR="00625C3C" w:rsidRPr="00D20C32">
        <w:rPr>
          <w:rFonts w:ascii="Arial" w:hAnsi="Arial" w:cs="Arial"/>
          <w:szCs w:val="20"/>
          <w:lang w:val="en-GB"/>
        </w:rPr>
        <w:t xml:space="preserve">HIV, </w:t>
      </w:r>
      <w:r w:rsidRPr="00D20C32">
        <w:rPr>
          <w:rFonts w:ascii="Arial" w:hAnsi="Arial" w:cs="Arial"/>
          <w:szCs w:val="20"/>
          <w:lang w:val="en-GB"/>
        </w:rPr>
        <w:t>PrEP</w:t>
      </w:r>
      <w:r w:rsidR="00285AD4" w:rsidRPr="00D20C32">
        <w:rPr>
          <w:rFonts w:ascii="Arial" w:hAnsi="Arial" w:cs="Arial"/>
          <w:szCs w:val="20"/>
          <w:lang w:val="en-GB"/>
        </w:rPr>
        <w:t>,</w:t>
      </w:r>
      <w:r w:rsidRPr="00D20C32">
        <w:rPr>
          <w:rFonts w:ascii="Arial" w:hAnsi="Arial" w:cs="Arial"/>
          <w:szCs w:val="20"/>
          <w:lang w:val="en-GB"/>
        </w:rPr>
        <w:t xml:space="preserve"> or </w:t>
      </w:r>
      <w:r w:rsidR="00625C3C" w:rsidRPr="00D20C32">
        <w:rPr>
          <w:rFonts w:ascii="Arial" w:hAnsi="Arial" w:cs="Arial"/>
          <w:szCs w:val="20"/>
          <w:lang w:val="en-GB"/>
        </w:rPr>
        <w:t xml:space="preserve">sexual </w:t>
      </w:r>
      <w:r w:rsidR="0060396B" w:rsidRPr="00D20C32">
        <w:rPr>
          <w:rFonts w:ascii="Arial" w:hAnsi="Arial" w:cs="Arial"/>
          <w:szCs w:val="20"/>
          <w:lang w:val="en-GB"/>
        </w:rPr>
        <w:t xml:space="preserve">and </w:t>
      </w:r>
      <w:r w:rsidRPr="00D20C32">
        <w:rPr>
          <w:rFonts w:ascii="Arial" w:hAnsi="Arial" w:cs="Arial"/>
          <w:szCs w:val="20"/>
          <w:lang w:val="en-GB"/>
        </w:rPr>
        <w:t>reproductive health services</w:t>
      </w:r>
    </w:p>
    <w:p w14:paraId="36F4253F" w14:textId="77777777" w:rsidR="00C529CE" w:rsidRPr="00D20C32" w:rsidRDefault="00C529CE" w:rsidP="00C529CE">
      <w:pPr>
        <w:spacing w:before="0"/>
        <w:contextualSpacing/>
        <w:rPr>
          <w:rFonts w:cs="Arial"/>
          <w:szCs w:val="20"/>
          <w:lang w:val="en-GB"/>
        </w:rPr>
      </w:pPr>
    </w:p>
    <w:p w14:paraId="182142D7" w14:textId="77777777" w:rsidR="007B437C" w:rsidRDefault="007B437C">
      <w:pPr>
        <w:spacing w:before="0" w:line="240" w:lineRule="auto"/>
        <w:rPr>
          <w:rFonts w:cs="Arial"/>
          <w:b/>
          <w:bCs w:val="0"/>
          <w:szCs w:val="20"/>
          <w:lang w:val="en-GB"/>
        </w:rPr>
      </w:pPr>
      <w:r>
        <w:rPr>
          <w:rFonts w:cs="Arial"/>
          <w:b/>
          <w:bCs w:val="0"/>
          <w:szCs w:val="20"/>
          <w:lang w:val="en-GB"/>
        </w:rPr>
        <w:br w:type="page"/>
      </w:r>
    </w:p>
    <w:p w14:paraId="39133C83" w14:textId="1E149EEA" w:rsidR="00440909" w:rsidRPr="00B4791B" w:rsidRDefault="00440909" w:rsidP="00C529CE">
      <w:pPr>
        <w:spacing w:before="0"/>
        <w:contextualSpacing/>
        <w:rPr>
          <w:rFonts w:cs="Arial"/>
          <w:b/>
          <w:bCs w:val="0"/>
          <w:szCs w:val="20"/>
          <w:lang w:val="en-GB"/>
        </w:rPr>
      </w:pPr>
      <w:r w:rsidRPr="00B4791B">
        <w:rPr>
          <w:rFonts w:cs="Arial"/>
          <w:b/>
          <w:bCs w:val="0"/>
          <w:szCs w:val="20"/>
          <w:lang w:val="en-GB"/>
        </w:rPr>
        <w:lastRenderedPageBreak/>
        <w:t>Public health sector administrators and key informants</w:t>
      </w:r>
    </w:p>
    <w:p w14:paraId="6B36EF77" w14:textId="429783DB" w:rsidR="00440909" w:rsidRPr="00B4791B" w:rsidRDefault="00440909" w:rsidP="00C529CE">
      <w:pPr>
        <w:spacing w:before="0"/>
        <w:contextualSpacing/>
        <w:rPr>
          <w:rFonts w:cs="Arial"/>
          <w:szCs w:val="20"/>
          <w:lang w:val="en-GB"/>
        </w:rPr>
      </w:pPr>
      <w:r w:rsidRPr="00B4791B">
        <w:rPr>
          <w:rFonts w:cs="Arial"/>
          <w:szCs w:val="20"/>
          <w:lang w:val="en-GB"/>
        </w:rPr>
        <w:t>[</w:t>
      </w:r>
      <w:r w:rsidRPr="00B4791B">
        <w:rPr>
          <w:rFonts w:cs="Arial"/>
          <w:szCs w:val="20"/>
          <w:highlight w:val="yellow"/>
          <w:lang w:val="en-GB"/>
        </w:rPr>
        <w:t>This participant group is optional but recommended for add</w:t>
      </w:r>
      <w:r w:rsidR="00285AD4" w:rsidRPr="00B4791B">
        <w:rPr>
          <w:rFonts w:cs="Arial"/>
          <w:szCs w:val="20"/>
          <w:highlight w:val="yellow"/>
          <w:lang w:val="en-GB"/>
        </w:rPr>
        <w:t>itional</w:t>
      </w:r>
      <w:r w:rsidRPr="00B4791B">
        <w:rPr>
          <w:rFonts w:cs="Arial"/>
          <w:szCs w:val="20"/>
          <w:highlight w:val="yellow"/>
          <w:lang w:val="en-GB"/>
        </w:rPr>
        <w:t xml:space="preserve"> insights </w:t>
      </w:r>
      <w:r w:rsidR="00285AD4" w:rsidRPr="00B4791B">
        <w:rPr>
          <w:rFonts w:cs="Arial"/>
          <w:szCs w:val="20"/>
          <w:highlight w:val="yellow"/>
          <w:lang w:val="en-GB"/>
        </w:rPr>
        <w:t>into</w:t>
      </w:r>
      <w:r w:rsidRPr="00B4791B">
        <w:rPr>
          <w:rFonts w:cs="Arial"/>
          <w:szCs w:val="20"/>
          <w:highlight w:val="yellow"/>
          <w:lang w:val="en-GB"/>
        </w:rPr>
        <w:t xml:space="preserve"> feasibility, fidelity, and cost measures.]</w:t>
      </w:r>
    </w:p>
    <w:p w14:paraId="2DDA89E5" w14:textId="77777777" w:rsidR="00440909" w:rsidRPr="00B4791B" w:rsidRDefault="00440909" w:rsidP="00C529CE">
      <w:pPr>
        <w:spacing w:before="0"/>
        <w:contextualSpacing/>
        <w:rPr>
          <w:rFonts w:cs="Arial"/>
          <w:szCs w:val="20"/>
          <w:lang w:val="en-GB"/>
        </w:rPr>
      </w:pPr>
      <w:r w:rsidRPr="00B4791B">
        <w:rPr>
          <w:rFonts w:cs="Arial"/>
          <w:szCs w:val="20"/>
          <w:lang w:val="en-GB"/>
        </w:rPr>
        <w:t>Studies may consider inclusion of the following groups for insights into ring feasibility, fidelity of implementation and adaptations, and perceived costs:</w:t>
      </w:r>
    </w:p>
    <w:p w14:paraId="27C141DE" w14:textId="56131A11" w:rsidR="00440909" w:rsidRPr="00B4791B" w:rsidRDefault="00440909" w:rsidP="00440909">
      <w:pPr>
        <w:pStyle w:val="ListParagraph"/>
        <w:numPr>
          <w:ilvl w:val="0"/>
          <w:numId w:val="16"/>
        </w:numPr>
        <w:rPr>
          <w:rFonts w:ascii="Arial" w:hAnsi="Arial" w:cs="Arial"/>
          <w:szCs w:val="20"/>
          <w:lang w:val="en-GB"/>
        </w:rPr>
      </w:pPr>
      <w:r w:rsidRPr="00B4791B">
        <w:rPr>
          <w:rFonts w:ascii="Arial" w:hAnsi="Arial" w:cs="Arial"/>
          <w:szCs w:val="20"/>
          <w:lang w:val="en-GB"/>
        </w:rPr>
        <w:t>Provincial</w:t>
      </w:r>
      <w:r w:rsidR="00B47A5A" w:rsidRPr="00B4791B">
        <w:rPr>
          <w:rFonts w:ascii="Arial" w:hAnsi="Arial" w:cs="Arial"/>
          <w:szCs w:val="20"/>
          <w:lang w:val="en-GB"/>
        </w:rPr>
        <w:t>/county/</w:t>
      </w:r>
      <w:r w:rsidRPr="00B4791B">
        <w:rPr>
          <w:rFonts w:ascii="Arial" w:hAnsi="Arial" w:cs="Arial"/>
          <w:szCs w:val="20"/>
          <w:lang w:val="en-GB"/>
        </w:rPr>
        <w:t>district</w:t>
      </w:r>
      <w:r w:rsidR="00B47A5A" w:rsidRPr="00B4791B">
        <w:rPr>
          <w:rFonts w:ascii="Arial" w:hAnsi="Arial" w:cs="Arial"/>
          <w:szCs w:val="20"/>
          <w:lang w:val="en-GB"/>
        </w:rPr>
        <w:t>-level</w:t>
      </w:r>
      <w:r w:rsidRPr="00B4791B">
        <w:rPr>
          <w:rFonts w:ascii="Arial" w:hAnsi="Arial" w:cs="Arial"/>
          <w:szCs w:val="20"/>
          <w:lang w:val="en-GB"/>
        </w:rPr>
        <w:t xml:space="preserve"> health administrators</w:t>
      </w:r>
    </w:p>
    <w:p w14:paraId="56160612" w14:textId="3685C1B7" w:rsidR="00440909" w:rsidRPr="00B4791B" w:rsidRDefault="00440909" w:rsidP="00440909">
      <w:pPr>
        <w:pStyle w:val="ListParagraph"/>
        <w:numPr>
          <w:ilvl w:val="0"/>
          <w:numId w:val="16"/>
        </w:numPr>
        <w:rPr>
          <w:rFonts w:ascii="Arial" w:hAnsi="Arial" w:cs="Arial"/>
          <w:szCs w:val="20"/>
          <w:lang w:val="en-GB"/>
        </w:rPr>
      </w:pPr>
      <w:r w:rsidRPr="00B4791B">
        <w:rPr>
          <w:rFonts w:ascii="Arial" w:hAnsi="Arial" w:cs="Arial"/>
          <w:szCs w:val="20"/>
          <w:lang w:val="en-GB"/>
        </w:rPr>
        <w:t xml:space="preserve">Government or implementing partner technical </w:t>
      </w:r>
      <w:r w:rsidR="00E13043" w:rsidRPr="00B4791B">
        <w:rPr>
          <w:rFonts w:ascii="Arial" w:hAnsi="Arial" w:cs="Arial"/>
          <w:szCs w:val="20"/>
          <w:lang w:val="en-GB"/>
        </w:rPr>
        <w:t>advisers</w:t>
      </w:r>
      <w:r w:rsidRPr="00B4791B">
        <w:rPr>
          <w:rFonts w:ascii="Arial" w:hAnsi="Arial" w:cs="Arial"/>
          <w:szCs w:val="20"/>
          <w:lang w:val="en-GB"/>
        </w:rPr>
        <w:t xml:space="preserve"> for HIV service delivery</w:t>
      </w:r>
    </w:p>
    <w:p w14:paraId="26A1DA4B" w14:textId="41D4088F" w:rsidR="00440909" w:rsidRPr="00B4791B" w:rsidRDefault="00440909" w:rsidP="00440909">
      <w:pPr>
        <w:pStyle w:val="ListParagraph"/>
        <w:numPr>
          <w:ilvl w:val="0"/>
          <w:numId w:val="16"/>
        </w:numPr>
        <w:rPr>
          <w:rFonts w:ascii="Arial" w:hAnsi="Arial" w:cs="Arial"/>
          <w:szCs w:val="20"/>
          <w:lang w:val="en-GB"/>
        </w:rPr>
      </w:pPr>
      <w:r w:rsidRPr="00B4791B">
        <w:rPr>
          <w:rFonts w:ascii="Arial" w:hAnsi="Arial" w:cs="Arial"/>
          <w:szCs w:val="20"/>
          <w:lang w:val="en-GB"/>
        </w:rPr>
        <w:t>Community leaders</w:t>
      </w:r>
    </w:p>
    <w:p w14:paraId="0C537504" w14:textId="1A461B58" w:rsidR="00440909" w:rsidRPr="00B4791B" w:rsidRDefault="00440909" w:rsidP="00440909">
      <w:pPr>
        <w:pStyle w:val="ListParagraph"/>
        <w:numPr>
          <w:ilvl w:val="0"/>
          <w:numId w:val="16"/>
        </w:numPr>
        <w:rPr>
          <w:rFonts w:ascii="Arial" w:hAnsi="Arial" w:cs="Arial"/>
          <w:szCs w:val="20"/>
          <w:lang w:val="en-GB"/>
        </w:rPr>
      </w:pPr>
      <w:r w:rsidRPr="00B4791B">
        <w:rPr>
          <w:rFonts w:ascii="Arial" w:hAnsi="Arial" w:cs="Arial"/>
          <w:szCs w:val="20"/>
          <w:lang w:val="en-GB"/>
        </w:rPr>
        <w:t>Members of HIV advocacy groups</w:t>
      </w:r>
    </w:p>
    <w:p w14:paraId="4F45B97A" w14:textId="260F5A37" w:rsidR="00C529CE" w:rsidRPr="00B4791B" w:rsidRDefault="00C529CE" w:rsidP="00C529CE">
      <w:pPr>
        <w:spacing w:before="0"/>
        <w:contextualSpacing/>
        <w:rPr>
          <w:rFonts w:cs="Arial"/>
          <w:i/>
          <w:iCs/>
          <w:szCs w:val="20"/>
          <w:lang w:val="en-GB"/>
        </w:rPr>
      </w:pPr>
      <w:r w:rsidRPr="00B4791B">
        <w:rPr>
          <w:rFonts w:cs="Arial"/>
          <w:i/>
          <w:iCs/>
          <w:szCs w:val="20"/>
          <w:lang w:val="en-GB"/>
        </w:rPr>
        <w:t>All studies should record the number of potential participants deemed ineligible</w:t>
      </w:r>
      <w:r w:rsidR="00285AD4" w:rsidRPr="00B4791B">
        <w:rPr>
          <w:rFonts w:cs="Arial"/>
          <w:i/>
          <w:iCs/>
          <w:szCs w:val="20"/>
          <w:lang w:val="en-GB"/>
        </w:rPr>
        <w:t xml:space="preserve">, </w:t>
      </w:r>
      <w:r w:rsidRPr="00B4791B">
        <w:rPr>
          <w:rFonts w:cs="Arial"/>
          <w:i/>
          <w:iCs/>
          <w:szCs w:val="20"/>
          <w:lang w:val="en-GB"/>
        </w:rPr>
        <w:t>the reason for ineligibility</w:t>
      </w:r>
      <w:r w:rsidR="00285AD4" w:rsidRPr="00B4791B">
        <w:rPr>
          <w:rFonts w:cs="Arial"/>
          <w:i/>
          <w:iCs/>
          <w:szCs w:val="20"/>
          <w:lang w:val="en-GB"/>
        </w:rPr>
        <w:t>,</w:t>
      </w:r>
      <w:r w:rsidRPr="00B4791B">
        <w:rPr>
          <w:rFonts w:cs="Arial"/>
          <w:i/>
          <w:iCs/>
          <w:szCs w:val="20"/>
          <w:lang w:val="en-GB"/>
        </w:rPr>
        <w:t xml:space="preserve"> and, separately, the number who are eligible but declined study participation.</w:t>
      </w:r>
    </w:p>
    <w:p w14:paraId="2B552998" w14:textId="708E7128" w:rsidR="007022F9" w:rsidRPr="00DA2B08" w:rsidRDefault="007022F9" w:rsidP="007022F9">
      <w:pPr>
        <w:pStyle w:val="Tabletitle"/>
        <w:rPr>
          <w:sz w:val="26"/>
          <w:szCs w:val="26"/>
          <w:lang w:val="en-GB"/>
        </w:rPr>
      </w:pPr>
      <w:r w:rsidRPr="00DA2B08">
        <w:rPr>
          <w:sz w:val="26"/>
          <w:szCs w:val="26"/>
          <w:lang w:val="en-GB"/>
        </w:rPr>
        <w:t>Visit schedule</w:t>
      </w:r>
      <w:r w:rsidR="00285AD4" w:rsidRPr="00DA2B08">
        <w:rPr>
          <w:sz w:val="26"/>
          <w:szCs w:val="26"/>
          <w:lang w:val="en-GB"/>
        </w:rPr>
        <w:t xml:space="preserve"> and </w:t>
      </w:r>
      <w:r w:rsidRPr="00DA2B08">
        <w:rPr>
          <w:sz w:val="26"/>
          <w:szCs w:val="26"/>
          <w:lang w:val="en-GB"/>
        </w:rPr>
        <w:t>o</w:t>
      </w:r>
      <w:r w:rsidR="00C529CE" w:rsidRPr="00DA2B08">
        <w:rPr>
          <w:sz w:val="26"/>
          <w:szCs w:val="26"/>
          <w:lang w:val="en-GB"/>
        </w:rPr>
        <w:t xml:space="preserve">utcome measures and indicators </w:t>
      </w:r>
    </w:p>
    <w:p w14:paraId="7D296383" w14:textId="2398049E" w:rsidR="007022F9" w:rsidRPr="00D20C32" w:rsidRDefault="007022F9" w:rsidP="00DA2B08">
      <w:pPr>
        <w:spacing w:before="120"/>
        <w:rPr>
          <w:rFonts w:cs="Arial"/>
          <w:szCs w:val="20"/>
          <w:lang w:val="en-GB"/>
        </w:rPr>
      </w:pPr>
      <w:r w:rsidRPr="00D20C32">
        <w:rPr>
          <w:rFonts w:cs="Arial"/>
          <w:szCs w:val="20"/>
          <w:lang w:val="en-GB"/>
        </w:rPr>
        <w:t>The MOH [</w:t>
      </w:r>
      <w:r w:rsidRPr="00D20C32">
        <w:rPr>
          <w:rFonts w:cs="Arial"/>
          <w:szCs w:val="20"/>
          <w:highlight w:val="yellow"/>
          <w:lang w:val="en-GB"/>
        </w:rPr>
        <w:t>or health authority</w:t>
      </w:r>
      <w:r w:rsidRPr="00D20C32">
        <w:rPr>
          <w:rFonts w:cs="Arial"/>
          <w:szCs w:val="20"/>
          <w:lang w:val="en-GB"/>
        </w:rPr>
        <w:t xml:space="preserve">] asks that all investigator teams include the following required measures/indicators for feasibility and acceptability analyses and safety </w:t>
      </w:r>
      <w:proofErr w:type="gramStart"/>
      <w:r w:rsidRPr="00D20C32">
        <w:rPr>
          <w:rFonts w:cs="Arial"/>
          <w:szCs w:val="20"/>
          <w:lang w:val="en-GB"/>
        </w:rPr>
        <w:t>and also</w:t>
      </w:r>
      <w:proofErr w:type="gramEnd"/>
      <w:r w:rsidRPr="00D20C32">
        <w:rPr>
          <w:rFonts w:cs="Arial"/>
          <w:szCs w:val="20"/>
          <w:lang w:val="en-GB"/>
        </w:rPr>
        <w:t xml:space="preserve"> proposes a number of additional indicators for inclusion for each objective. The rationale for this mandate is to ensure comparability across studies and consistent data quality to sufficiently power analyses.</w:t>
      </w:r>
    </w:p>
    <w:p w14:paraId="37DB9ABE" w14:textId="0A0243E0" w:rsidR="007022F9" w:rsidRPr="00D20C32" w:rsidRDefault="007022F9" w:rsidP="007022F9">
      <w:pPr>
        <w:rPr>
          <w:lang w:val="en-GB"/>
        </w:rPr>
      </w:pPr>
      <w:r w:rsidRPr="00D20C32">
        <w:rPr>
          <w:lang w:val="en-GB"/>
        </w:rPr>
        <w:t xml:space="preserve">We have mapped a minimum visit schedule, location, and interview type within presumed routine care visits to capture the “real world” nature of implementation studies as well as respect cost and time constraints within study operations (Table </w:t>
      </w:r>
      <w:r w:rsidR="00D62B77" w:rsidRPr="00D20C32">
        <w:rPr>
          <w:lang w:val="en-GB"/>
        </w:rPr>
        <w:t>2</w:t>
      </w:r>
      <w:r w:rsidRPr="00D20C32">
        <w:rPr>
          <w:lang w:val="en-GB"/>
        </w:rPr>
        <w:t>). This table is illustrative and should be adjusted based on the oral PrEP minimum service package and, where available, draft ring minimum service package schedules unique to each implementing country.</w:t>
      </w:r>
    </w:p>
    <w:p w14:paraId="54141E8B" w14:textId="5403A81C" w:rsidR="007022F9" w:rsidRPr="00D20C32" w:rsidRDefault="007022F9" w:rsidP="007022F9">
      <w:pPr>
        <w:pStyle w:val="Tabletitle"/>
        <w:rPr>
          <w:lang w:val="en-GB"/>
        </w:rPr>
        <w:sectPr w:rsidR="007022F9" w:rsidRPr="00D20C32" w:rsidSect="005D2002">
          <w:endnotePr>
            <w:numFmt w:val="decimal"/>
          </w:endnotePr>
          <w:pgSz w:w="12240" w:h="15840" w:code="1"/>
          <w:pgMar w:top="900" w:right="1440" w:bottom="1440" w:left="1440" w:header="144" w:footer="144" w:gutter="0"/>
          <w:cols w:space="720"/>
          <w:titlePg/>
          <w:docGrid w:linePitch="360"/>
        </w:sectPr>
      </w:pPr>
    </w:p>
    <w:p w14:paraId="1907CA9C" w14:textId="2A7D7F58" w:rsidR="00B945B1" w:rsidRPr="00D20C32" w:rsidRDefault="00B945B1" w:rsidP="00140E4C">
      <w:pPr>
        <w:ind w:left="-900"/>
        <w:rPr>
          <w:b/>
          <w:bCs w:val="0"/>
          <w:lang w:val="en-GB"/>
        </w:rPr>
      </w:pPr>
      <w:r w:rsidRPr="00D20C32">
        <w:rPr>
          <w:b/>
          <w:bCs w:val="0"/>
          <w:lang w:val="en-GB"/>
        </w:rPr>
        <w:lastRenderedPageBreak/>
        <w:t xml:space="preserve">Table </w:t>
      </w:r>
      <w:r w:rsidR="00D62B77" w:rsidRPr="00D20C32">
        <w:rPr>
          <w:b/>
          <w:bCs w:val="0"/>
          <w:lang w:val="en-GB"/>
        </w:rPr>
        <w:t>2</w:t>
      </w:r>
      <w:r w:rsidRPr="00D20C32">
        <w:rPr>
          <w:b/>
          <w:bCs w:val="0"/>
          <w:lang w:val="en-GB"/>
        </w:rPr>
        <w:t xml:space="preserve">. Illustrative </w:t>
      </w:r>
      <w:r w:rsidR="00EA20CA" w:rsidRPr="00D20C32">
        <w:rPr>
          <w:b/>
          <w:bCs w:val="0"/>
          <w:lang w:val="en-GB"/>
        </w:rPr>
        <w:t>study data collection mapped to service engagement points</w:t>
      </w:r>
    </w:p>
    <w:tbl>
      <w:tblPr>
        <w:tblStyle w:val="TableGrid"/>
        <w:tblW w:w="13230" w:type="dxa"/>
        <w:tblInd w:w="-905" w:type="dxa"/>
        <w:tblLook w:val="04A0" w:firstRow="1" w:lastRow="0" w:firstColumn="1" w:lastColumn="0" w:noHBand="0" w:noVBand="1"/>
      </w:tblPr>
      <w:tblGrid>
        <w:gridCol w:w="4471"/>
        <w:gridCol w:w="3143"/>
        <w:gridCol w:w="5616"/>
      </w:tblGrid>
      <w:tr w:rsidR="00AA4D20" w:rsidRPr="00D20C32" w14:paraId="2C1D40E8" w14:textId="77777777" w:rsidTr="000B6DFF">
        <w:tc>
          <w:tcPr>
            <w:tcW w:w="4471" w:type="dxa"/>
            <w:tcBorders>
              <w:bottom w:val="single" w:sz="4" w:space="0" w:color="auto"/>
            </w:tcBorders>
            <w:shd w:val="clear" w:color="auto" w:fill="FCE2D2" w:themeFill="accent4" w:themeFillTint="33"/>
          </w:tcPr>
          <w:p w14:paraId="5AF4788B" w14:textId="77777777" w:rsidR="00B945B1" w:rsidRPr="008E4FDF" w:rsidRDefault="00B945B1" w:rsidP="00837B5A">
            <w:pPr>
              <w:rPr>
                <w:b/>
                <w:bCs w:val="0"/>
                <w:color w:val="F4711F" w:themeColor="accent4"/>
                <w:lang w:val="en-GB"/>
              </w:rPr>
            </w:pPr>
            <w:r w:rsidRPr="008E4FDF">
              <w:rPr>
                <w:b/>
                <w:bCs w:val="0"/>
                <w:color w:val="F4711F" w:themeColor="accent4"/>
                <w:lang w:val="en-GB"/>
              </w:rPr>
              <w:t>Service delivery point</w:t>
            </w:r>
          </w:p>
        </w:tc>
        <w:tc>
          <w:tcPr>
            <w:tcW w:w="3143" w:type="dxa"/>
            <w:tcBorders>
              <w:bottom w:val="single" w:sz="4" w:space="0" w:color="auto"/>
            </w:tcBorders>
            <w:shd w:val="clear" w:color="auto" w:fill="FCE2D2" w:themeFill="accent4" w:themeFillTint="33"/>
          </w:tcPr>
          <w:p w14:paraId="6FC15D56" w14:textId="691738F8" w:rsidR="00B945B1" w:rsidRPr="008E4FDF" w:rsidRDefault="00B945B1" w:rsidP="00837B5A">
            <w:pPr>
              <w:rPr>
                <w:b/>
                <w:bCs w:val="0"/>
                <w:color w:val="F4711F" w:themeColor="accent4"/>
                <w:lang w:val="en-GB"/>
              </w:rPr>
            </w:pPr>
            <w:r w:rsidRPr="008E4FDF">
              <w:rPr>
                <w:b/>
                <w:bCs w:val="0"/>
                <w:color w:val="F4711F" w:themeColor="accent4"/>
                <w:lang w:val="en-GB"/>
              </w:rPr>
              <w:t>Participant</w:t>
            </w:r>
            <w:r w:rsidR="00A537A1">
              <w:rPr>
                <w:b/>
                <w:bCs w:val="0"/>
                <w:color w:val="F4711F" w:themeColor="accent4"/>
                <w:lang w:val="en-GB"/>
              </w:rPr>
              <w:t xml:space="preserve"> g</w:t>
            </w:r>
            <w:r w:rsidRPr="008E4FDF">
              <w:rPr>
                <w:b/>
                <w:bCs w:val="0"/>
                <w:color w:val="F4711F" w:themeColor="accent4"/>
                <w:lang w:val="en-GB"/>
              </w:rPr>
              <w:t>roup</w:t>
            </w:r>
            <w:r w:rsidR="00D93992" w:rsidRPr="008E4FDF">
              <w:rPr>
                <w:b/>
                <w:bCs w:val="0"/>
                <w:color w:val="F4711F" w:themeColor="accent4"/>
                <w:lang w:val="en-GB"/>
              </w:rPr>
              <w:t>;</w:t>
            </w:r>
            <w:r w:rsidRPr="008E4FDF">
              <w:rPr>
                <w:b/>
                <w:bCs w:val="0"/>
                <w:color w:val="F4711F" w:themeColor="accent4"/>
                <w:lang w:val="en-GB"/>
              </w:rPr>
              <w:t xml:space="preserve"> </w:t>
            </w:r>
            <w:r w:rsidR="00A537A1">
              <w:rPr>
                <w:b/>
                <w:bCs w:val="0"/>
                <w:color w:val="F4711F" w:themeColor="accent4"/>
                <w:lang w:val="en-GB"/>
              </w:rPr>
              <w:t>o</w:t>
            </w:r>
            <w:r w:rsidRPr="008E4FDF">
              <w:rPr>
                <w:b/>
                <w:bCs w:val="0"/>
                <w:color w:val="F4711F" w:themeColor="accent4"/>
                <w:lang w:val="en-GB"/>
              </w:rPr>
              <w:t>utcome</w:t>
            </w:r>
          </w:p>
        </w:tc>
        <w:tc>
          <w:tcPr>
            <w:tcW w:w="5616" w:type="dxa"/>
            <w:tcBorders>
              <w:bottom w:val="single" w:sz="4" w:space="0" w:color="auto"/>
            </w:tcBorders>
            <w:shd w:val="clear" w:color="auto" w:fill="FCE2D2" w:themeFill="accent4" w:themeFillTint="33"/>
          </w:tcPr>
          <w:p w14:paraId="68269B35" w14:textId="3AF166A6" w:rsidR="00B945B1" w:rsidRPr="008E4FDF" w:rsidRDefault="00B945B1" w:rsidP="00837B5A">
            <w:pPr>
              <w:rPr>
                <w:b/>
                <w:bCs w:val="0"/>
                <w:color w:val="F4711F" w:themeColor="accent4"/>
                <w:lang w:val="en-GB"/>
              </w:rPr>
            </w:pPr>
            <w:r w:rsidRPr="008E4FDF">
              <w:rPr>
                <w:b/>
                <w:bCs w:val="0"/>
                <w:color w:val="F4711F" w:themeColor="accent4"/>
                <w:lang w:val="en-GB"/>
              </w:rPr>
              <w:t xml:space="preserve">Interview </w:t>
            </w:r>
            <w:r w:rsidR="00A537A1">
              <w:rPr>
                <w:b/>
                <w:bCs w:val="0"/>
                <w:color w:val="F4711F" w:themeColor="accent4"/>
                <w:lang w:val="en-GB"/>
              </w:rPr>
              <w:t>t</w:t>
            </w:r>
            <w:r w:rsidRPr="008E4FDF">
              <w:rPr>
                <w:b/>
                <w:bCs w:val="0"/>
                <w:color w:val="F4711F" w:themeColor="accent4"/>
                <w:lang w:val="en-GB"/>
              </w:rPr>
              <w:t>ype</w:t>
            </w:r>
          </w:p>
        </w:tc>
      </w:tr>
      <w:tr w:rsidR="00B945B1" w:rsidRPr="00D20C32" w14:paraId="520CED4D" w14:textId="77777777" w:rsidTr="000B6DFF">
        <w:tc>
          <w:tcPr>
            <w:tcW w:w="4471" w:type="dxa"/>
            <w:shd w:val="clear" w:color="auto" w:fill="auto"/>
          </w:tcPr>
          <w:p w14:paraId="794FD966" w14:textId="77777777" w:rsidR="00B945B1" w:rsidRPr="00D20C32" w:rsidRDefault="00B945B1" w:rsidP="00A445AD">
            <w:pPr>
              <w:spacing w:before="0"/>
              <w:rPr>
                <w:lang w:val="en-GB"/>
              </w:rPr>
            </w:pPr>
            <w:r w:rsidRPr="00D20C32">
              <w:rPr>
                <w:lang w:val="en-GB"/>
              </w:rPr>
              <w:t>Pre-service: Initial service site engagement following provider training</w:t>
            </w:r>
          </w:p>
        </w:tc>
        <w:tc>
          <w:tcPr>
            <w:tcW w:w="3143" w:type="dxa"/>
            <w:shd w:val="clear" w:color="auto" w:fill="auto"/>
          </w:tcPr>
          <w:p w14:paraId="07540516" w14:textId="51920DF0" w:rsidR="00B945B1" w:rsidRPr="00D20C32" w:rsidRDefault="00B945B1" w:rsidP="00A445AD">
            <w:pPr>
              <w:spacing w:before="0"/>
              <w:rPr>
                <w:lang w:val="en-GB"/>
              </w:rPr>
            </w:pPr>
            <w:r w:rsidRPr="00D20C32">
              <w:rPr>
                <w:lang w:val="en-GB"/>
              </w:rPr>
              <w:t>Provider; feasibility</w:t>
            </w:r>
          </w:p>
        </w:tc>
        <w:tc>
          <w:tcPr>
            <w:tcW w:w="5616" w:type="dxa"/>
            <w:shd w:val="clear" w:color="auto" w:fill="auto"/>
          </w:tcPr>
          <w:p w14:paraId="3D53C72D" w14:textId="68737EF0" w:rsidR="00B945B1" w:rsidRPr="00D20C32" w:rsidRDefault="00B945B1" w:rsidP="00A445AD">
            <w:pPr>
              <w:spacing w:before="0"/>
              <w:rPr>
                <w:lang w:val="en-GB"/>
              </w:rPr>
            </w:pPr>
            <w:r w:rsidRPr="00D20C32">
              <w:rPr>
                <w:lang w:val="en-GB"/>
              </w:rPr>
              <w:t>Provider interview with quantitative questions for all; for subsample, qualitative interviews o</w:t>
            </w:r>
            <w:r w:rsidR="00EA20CA" w:rsidRPr="00D20C32">
              <w:rPr>
                <w:lang w:val="en-GB"/>
              </w:rPr>
              <w:t>n</w:t>
            </w:r>
            <w:r w:rsidRPr="00D20C32">
              <w:rPr>
                <w:lang w:val="en-GB"/>
              </w:rPr>
              <w:t xml:space="preserve"> how to improve in-service training, factors contributing to perceived service readiness</w:t>
            </w:r>
            <w:r w:rsidR="00BF6188" w:rsidRPr="00D20C32">
              <w:rPr>
                <w:lang w:val="en-GB"/>
              </w:rPr>
              <w:t>,</w:t>
            </w:r>
            <w:r w:rsidRPr="00D20C32">
              <w:rPr>
                <w:lang w:val="en-GB"/>
              </w:rPr>
              <w:t xml:space="preserve"> and appropriateness </w:t>
            </w:r>
          </w:p>
        </w:tc>
      </w:tr>
      <w:tr w:rsidR="00B945B1" w:rsidRPr="00D20C32" w14:paraId="4913ABB3" w14:textId="77777777" w:rsidTr="000B6DFF">
        <w:tc>
          <w:tcPr>
            <w:tcW w:w="4471" w:type="dxa"/>
            <w:tcBorders>
              <w:bottom w:val="single" w:sz="4" w:space="0" w:color="auto"/>
            </w:tcBorders>
            <w:shd w:val="clear" w:color="auto" w:fill="auto"/>
          </w:tcPr>
          <w:p w14:paraId="54F888A6" w14:textId="17960595" w:rsidR="00B945B1" w:rsidRPr="00D20C32" w:rsidRDefault="00B945B1" w:rsidP="00A445AD">
            <w:pPr>
              <w:spacing w:before="0"/>
              <w:rPr>
                <w:lang w:val="en-GB"/>
              </w:rPr>
            </w:pPr>
            <w:r w:rsidRPr="00D20C32">
              <w:rPr>
                <w:lang w:val="en-GB"/>
              </w:rPr>
              <w:t xml:space="preserve">Initial patient consultation with </w:t>
            </w:r>
            <w:r w:rsidR="00EA20CA" w:rsidRPr="00D20C32">
              <w:rPr>
                <w:lang w:val="en-GB"/>
              </w:rPr>
              <w:t>HIV testing services (</w:t>
            </w:r>
            <w:r w:rsidRPr="00D20C32">
              <w:rPr>
                <w:lang w:val="en-GB"/>
              </w:rPr>
              <w:t>HTS</w:t>
            </w:r>
            <w:r w:rsidR="00EA20CA" w:rsidRPr="00D20C32">
              <w:rPr>
                <w:lang w:val="en-GB"/>
              </w:rPr>
              <w:t>)</w:t>
            </w:r>
            <w:r w:rsidRPr="00D20C32">
              <w:rPr>
                <w:lang w:val="en-GB"/>
              </w:rPr>
              <w:t xml:space="preserve"> and HIV prevention</w:t>
            </w:r>
            <w:r w:rsidR="00EA20CA" w:rsidRPr="00D20C32">
              <w:rPr>
                <w:lang w:val="en-GB"/>
              </w:rPr>
              <w:t xml:space="preserve"> </w:t>
            </w:r>
            <w:r w:rsidR="00D20C32" w:rsidRPr="00D20C32">
              <w:rPr>
                <w:lang w:val="en-GB"/>
              </w:rPr>
              <w:t>counselling</w:t>
            </w:r>
            <w:r w:rsidRPr="00D20C32">
              <w:rPr>
                <w:lang w:val="en-GB"/>
              </w:rPr>
              <w:t xml:space="preserve"> (</w:t>
            </w:r>
            <w:r w:rsidR="00EA20CA" w:rsidRPr="00D20C32">
              <w:rPr>
                <w:lang w:val="en-GB"/>
              </w:rPr>
              <w:t xml:space="preserve">including </w:t>
            </w:r>
            <w:r w:rsidRPr="00D20C32">
              <w:rPr>
                <w:lang w:val="en-GB"/>
              </w:rPr>
              <w:t>PrEP)</w:t>
            </w:r>
          </w:p>
        </w:tc>
        <w:tc>
          <w:tcPr>
            <w:tcW w:w="3143" w:type="dxa"/>
            <w:tcBorders>
              <w:bottom w:val="single" w:sz="4" w:space="0" w:color="auto"/>
            </w:tcBorders>
            <w:shd w:val="clear" w:color="auto" w:fill="auto"/>
          </w:tcPr>
          <w:p w14:paraId="5D9F34CD" w14:textId="519E3939" w:rsidR="00B945B1" w:rsidRPr="008E4FDF" w:rsidRDefault="00B945B1" w:rsidP="00A445AD">
            <w:pPr>
              <w:spacing w:before="0"/>
              <w:rPr>
                <w:lang w:val="en-GB"/>
              </w:rPr>
            </w:pPr>
            <w:proofErr w:type="gramStart"/>
            <w:r w:rsidRPr="00D20C32">
              <w:rPr>
                <w:lang w:val="en-GB"/>
              </w:rPr>
              <w:t>End</w:t>
            </w:r>
            <w:r w:rsidR="001A312D" w:rsidRPr="00D20C32">
              <w:rPr>
                <w:lang w:val="en-GB"/>
              </w:rPr>
              <w:t>-</w:t>
            </w:r>
            <w:r w:rsidRPr="00D20C32">
              <w:rPr>
                <w:lang w:val="en-GB"/>
              </w:rPr>
              <w:t>user;</w:t>
            </w:r>
            <w:proofErr w:type="gramEnd"/>
            <w:r w:rsidRPr="00D20C32">
              <w:rPr>
                <w:lang w:val="en-GB"/>
              </w:rPr>
              <w:t xml:space="preserve"> feasibility, acceptability (service and method uptake), </w:t>
            </w:r>
            <w:r w:rsidR="00D20C32" w:rsidRPr="00D20C32">
              <w:rPr>
                <w:lang w:val="en-GB"/>
              </w:rPr>
              <w:t xml:space="preserve">and </w:t>
            </w:r>
            <w:r w:rsidRPr="00D20C32">
              <w:rPr>
                <w:lang w:val="en-GB"/>
              </w:rPr>
              <w:t xml:space="preserve">fidelity (HIV prevention &amp; PrEP </w:t>
            </w:r>
            <w:r w:rsidR="00D20C32" w:rsidRPr="00D20C32">
              <w:rPr>
                <w:lang w:val="en-GB"/>
              </w:rPr>
              <w:t>counselling</w:t>
            </w:r>
            <w:r w:rsidRPr="00D20C32">
              <w:rPr>
                <w:lang w:val="en-GB"/>
              </w:rPr>
              <w:t xml:space="preserve"> conducted with main points included) </w:t>
            </w:r>
          </w:p>
        </w:tc>
        <w:tc>
          <w:tcPr>
            <w:tcW w:w="5616" w:type="dxa"/>
            <w:tcBorders>
              <w:bottom w:val="single" w:sz="4" w:space="0" w:color="auto"/>
            </w:tcBorders>
            <w:shd w:val="clear" w:color="auto" w:fill="auto"/>
          </w:tcPr>
          <w:p w14:paraId="3FB976E9" w14:textId="6E395C97" w:rsidR="00B945B1" w:rsidRPr="00D20C32" w:rsidRDefault="00D20C32" w:rsidP="00A445AD">
            <w:pPr>
              <w:spacing w:before="0"/>
              <w:rPr>
                <w:lang w:val="en-GB"/>
              </w:rPr>
            </w:pPr>
            <w:r w:rsidRPr="00D20C32">
              <w:rPr>
                <w:lang w:val="en-GB"/>
              </w:rPr>
              <w:t>Enrolment</w:t>
            </w:r>
            <w:r w:rsidR="00B945B1" w:rsidRPr="00D20C32">
              <w:rPr>
                <w:lang w:val="en-GB"/>
              </w:rPr>
              <w:t xml:space="preserve"> visit conducted as exit interview; for subsample, qualitative interview regarding perceived service quality and reasons for PrEP choice/non-use</w:t>
            </w:r>
          </w:p>
        </w:tc>
      </w:tr>
      <w:tr w:rsidR="00B945B1" w:rsidRPr="00D20C32" w14:paraId="0C835452" w14:textId="77777777" w:rsidTr="000B6DFF">
        <w:tc>
          <w:tcPr>
            <w:tcW w:w="4471" w:type="dxa"/>
            <w:shd w:val="clear" w:color="auto" w:fill="auto"/>
          </w:tcPr>
          <w:p w14:paraId="12AED0D1" w14:textId="3DDC27B5" w:rsidR="00B945B1" w:rsidRPr="00D20C32" w:rsidRDefault="00B945B1" w:rsidP="00A445AD">
            <w:pPr>
              <w:spacing w:before="0"/>
              <w:rPr>
                <w:lang w:val="en-GB"/>
              </w:rPr>
            </w:pPr>
            <w:r w:rsidRPr="00D20C32">
              <w:rPr>
                <w:lang w:val="en-GB"/>
              </w:rPr>
              <w:t>Initial patient consultation with HTS and HIV prevention</w:t>
            </w:r>
            <w:r w:rsidR="00EA20CA" w:rsidRPr="00D20C32">
              <w:rPr>
                <w:lang w:val="en-GB"/>
              </w:rPr>
              <w:t xml:space="preserve"> </w:t>
            </w:r>
            <w:r w:rsidR="00D20C32" w:rsidRPr="00D20C32">
              <w:rPr>
                <w:lang w:val="en-GB"/>
              </w:rPr>
              <w:t>counselling</w:t>
            </w:r>
            <w:r w:rsidRPr="00D20C32">
              <w:rPr>
                <w:lang w:val="en-GB"/>
              </w:rPr>
              <w:t xml:space="preserve"> (</w:t>
            </w:r>
            <w:r w:rsidR="00EA20CA" w:rsidRPr="00D20C32">
              <w:rPr>
                <w:lang w:val="en-GB"/>
              </w:rPr>
              <w:t>including</w:t>
            </w:r>
            <w:r w:rsidRPr="00D20C32">
              <w:rPr>
                <w:lang w:val="en-GB"/>
              </w:rPr>
              <w:t xml:space="preserve"> PrEP)</w:t>
            </w:r>
          </w:p>
        </w:tc>
        <w:tc>
          <w:tcPr>
            <w:tcW w:w="3143" w:type="dxa"/>
            <w:shd w:val="clear" w:color="auto" w:fill="auto"/>
          </w:tcPr>
          <w:p w14:paraId="578D8CC9" w14:textId="77777777" w:rsidR="00B945B1" w:rsidRPr="00D20C32" w:rsidRDefault="00B945B1" w:rsidP="00A445AD">
            <w:pPr>
              <w:spacing w:before="0"/>
              <w:rPr>
                <w:lang w:val="en-GB"/>
              </w:rPr>
            </w:pPr>
            <w:r w:rsidRPr="00D20C32">
              <w:rPr>
                <w:lang w:val="en-GB"/>
              </w:rPr>
              <w:t>Provider; fidelity</w:t>
            </w:r>
          </w:p>
        </w:tc>
        <w:tc>
          <w:tcPr>
            <w:tcW w:w="5616" w:type="dxa"/>
            <w:shd w:val="clear" w:color="auto" w:fill="auto"/>
          </w:tcPr>
          <w:p w14:paraId="6C5ED0F6" w14:textId="77777777" w:rsidR="00B945B1" w:rsidRPr="00D20C32" w:rsidRDefault="00B945B1" w:rsidP="00A445AD">
            <w:pPr>
              <w:spacing w:before="0"/>
              <w:rPr>
                <w:lang w:val="en-GB"/>
              </w:rPr>
            </w:pPr>
            <w:r w:rsidRPr="00D20C32">
              <w:rPr>
                <w:lang w:val="en-GB"/>
              </w:rPr>
              <w:t>Relevant clinical (e.g., HIV test completed) or validation (e.g., PrEP method selected and dispensed) inputs from chart review and end-user exit interview</w:t>
            </w:r>
          </w:p>
        </w:tc>
      </w:tr>
      <w:tr w:rsidR="00B945B1" w:rsidRPr="00D20C32" w14:paraId="30D39DF3" w14:textId="77777777" w:rsidTr="000B6DFF">
        <w:tc>
          <w:tcPr>
            <w:tcW w:w="4471" w:type="dxa"/>
            <w:tcBorders>
              <w:bottom w:val="single" w:sz="4" w:space="0" w:color="auto"/>
            </w:tcBorders>
            <w:shd w:val="clear" w:color="auto" w:fill="auto"/>
          </w:tcPr>
          <w:p w14:paraId="25469772" w14:textId="52D35317" w:rsidR="00B945B1" w:rsidRPr="00D20C32" w:rsidRDefault="00EA20CA" w:rsidP="00A445AD">
            <w:pPr>
              <w:spacing w:before="0"/>
              <w:rPr>
                <w:lang w:val="en-GB"/>
              </w:rPr>
            </w:pPr>
            <w:r w:rsidRPr="00D20C32">
              <w:rPr>
                <w:lang w:val="en-GB"/>
              </w:rPr>
              <w:t>P</w:t>
            </w:r>
            <w:r w:rsidR="00B945B1" w:rsidRPr="00D20C32">
              <w:rPr>
                <w:lang w:val="en-GB"/>
              </w:rPr>
              <w:t>hone consultation</w:t>
            </w:r>
            <w:r w:rsidRPr="00D20C32">
              <w:rPr>
                <w:lang w:val="en-GB"/>
              </w:rPr>
              <w:t xml:space="preserve"> at one month</w:t>
            </w:r>
            <w:r w:rsidR="00B945B1" w:rsidRPr="00D20C32">
              <w:rPr>
                <w:lang w:val="en-GB"/>
              </w:rPr>
              <w:t xml:space="preserve"> (or ring visit if reflective of patients preferring provider removal/insertion or service guidelines)</w:t>
            </w:r>
          </w:p>
        </w:tc>
        <w:tc>
          <w:tcPr>
            <w:tcW w:w="3143" w:type="dxa"/>
            <w:tcBorders>
              <w:bottom w:val="single" w:sz="4" w:space="0" w:color="auto"/>
            </w:tcBorders>
            <w:shd w:val="clear" w:color="auto" w:fill="auto"/>
          </w:tcPr>
          <w:p w14:paraId="202CB919" w14:textId="77777777" w:rsidR="00B945B1" w:rsidRPr="00D20C32" w:rsidRDefault="00B945B1" w:rsidP="00A445AD">
            <w:pPr>
              <w:spacing w:before="0"/>
              <w:rPr>
                <w:lang w:val="en-GB"/>
              </w:rPr>
            </w:pPr>
            <w:r w:rsidRPr="00D20C32">
              <w:rPr>
                <w:lang w:val="en-GB"/>
              </w:rPr>
              <w:t>End-user; acceptability</w:t>
            </w:r>
          </w:p>
        </w:tc>
        <w:tc>
          <w:tcPr>
            <w:tcW w:w="5616" w:type="dxa"/>
            <w:tcBorders>
              <w:bottom w:val="single" w:sz="4" w:space="0" w:color="auto"/>
            </w:tcBorders>
            <w:shd w:val="clear" w:color="auto" w:fill="auto"/>
          </w:tcPr>
          <w:p w14:paraId="6EC5AEE6" w14:textId="1BF7F8B6" w:rsidR="00483FCF" w:rsidRPr="00D20C32" w:rsidRDefault="00B945B1" w:rsidP="00A445AD">
            <w:pPr>
              <w:spacing w:before="0"/>
              <w:rPr>
                <w:lang w:val="en-GB"/>
              </w:rPr>
            </w:pPr>
            <w:r w:rsidRPr="00D20C32">
              <w:rPr>
                <w:lang w:val="en-GB"/>
              </w:rPr>
              <w:t>We note that phone follow-up at one month may be limited to study activities but have built in this time point for monitoring use patterns</w:t>
            </w:r>
            <w:r w:rsidR="00EA20CA" w:rsidRPr="00D20C32">
              <w:rPr>
                <w:lang w:val="en-GB"/>
              </w:rPr>
              <w:t>.</w:t>
            </w:r>
          </w:p>
        </w:tc>
      </w:tr>
      <w:tr w:rsidR="00B945B1" w:rsidRPr="00D20C32" w14:paraId="7ABCB54B" w14:textId="77777777" w:rsidTr="00A445AD">
        <w:trPr>
          <w:trHeight w:val="935"/>
        </w:trPr>
        <w:tc>
          <w:tcPr>
            <w:tcW w:w="4471" w:type="dxa"/>
            <w:shd w:val="clear" w:color="auto" w:fill="auto"/>
          </w:tcPr>
          <w:p w14:paraId="415F3870" w14:textId="10277166" w:rsidR="00B945B1" w:rsidRPr="00D20C32" w:rsidRDefault="00EA20CA" w:rsidP="00A445AD">
            <w:pPr>
              <w:spacing w:before="0"/>
              <w:rPr>
                <w:lang w:val="en-GB"/>
              </w:rPr>
            </w:pPr>
            <w:r w:rsidRPr="00D20C32">
              <w:rPr>
                <w:lang w:val="en-GB"/>
              </w:rPr>
              <w:t>P</w:t>
            </w:r>
            <w:r w:rsidR="00B945B1" w:rsidRPr="00D20C32">
              <w:rPr>
                <w:lang w:val="en-GB"/>
              </w:rPr>
              <w:t xml:space="preserve">hone consultation </w:t>
            </w:r>
            <w:r w:rsidRPr="00D20C32">
              <w:rPr>
                <w:lang w:val="en-GB"/>
              </w:rPr>
              <w:t xml:space="preserve">at one month </w:t>
            </w:r>
            <w:r w:rsidR="00B945B1" w:rsidRPr="00D20C32">
              <w:rPr>
                <w:lang w:val="en-GB"/>
              </w:rPr>
              <w:t>(or ring visit if reflective of patients preferring provider removal/insertion or service guidelines)</w:t>
            </w:r>
          </w:p>
        </w:tc>
        <w:tc>
          <w:tcPr>
            <w:tcW w:w="3143" w:type="dxa"/>
            <w:shd w:val="clear" w:color="auto" w:fill="auto"/>
          </w:tcPr>
          <w:p w14:paraId="7D04ED43" w14:textId="77777777" w:rsidR="00B945B1" w:rsidRPr="00D20C32" w:rsidRDefault="00B945B1" w:rsidP="00A445AD">
            <w:pPr>
              <w:spacing w:before="0"/>
              <w:rPr>
                <w:lang w:val="en-GB"/>
              </w:rPr>
            </w:pPr>
            <w:r w:rsidRPr="00D20C32">
              <w:rPr>
                <w:lang w:val="en-GB"/>
              </w:rPr>
              <w:t>Provider; fidelity</w:t>
            </w:r>
          </w:p>
        </w:tc>
        <w:tc>
          <w:tcPr>
            <w:tcW w:w="5616" w:type="dxa"/>
            <w:shd w:val="clear" w:color="auto" w:fill="auto"/>
          </w:tcPr>
          <w:p w14:paraId="410F159B" w14:textId="6D9A403B" w:rsidR="00055E94" w:rsidRPr="00D20C32" w:rsidRDefault="00B945B1" w:rsidP="00A445AD">
            <w:pPr>
              <w:spacing w:before="0"/>
              <w:rPr>
                <w:lang w:val="en-GB"/>
              </w:rPr>
            </w:pPr>
            <w:r w:rsidRPr="00D20C32">
              <w:rPr>
                <w:lang w:val="en-GB"/>
              </w:rPr>
              <w:t xml:space="preserve">For ring: to capture provider </w:t>
            </w:r>
            <w:r w:rsidR="00D20C32" w:rsidRPr="00D20C32">
              <w:rPr>
                <w:lang w:val="en-GB"/>
              </w:rPr>
              <w:t>counselling</w:t>
            </w:r>
            <w:r w:rsidRPr="00D20C32">
              <w:rPr>
                <w:lang w:val="en-GB"/>
              </w:rPr>
              <w:t>, pregnancy (as indicated) testing, and offering/teaching self-insertion/removal</w:t>
            </w:r>
          </w:p>
        </w:tc>
      </w:tr>
      <w:tr w:rsidR="00B945B1" w:rsidRPr="00D20C32" w14:paraId="16482B76" w14:textId="77777777" w:rsidTr="00A445AD">
        <w:tc>
          <w:tcPr>
            <w:tcW w:w="4471" w:type="dxa"/>
            <w:tcBorders>
              <w:bottom w:val="single" w:sz="4" w:space="0" w:color="auto"/>
            </w:tcBorders>
            <w:shd w:val="clear" w:color="auto" w:fill="auto"/>
          </w:tcPr>
          <w:p w14:paraId="34840438" w14:textId="1C272EB0" w:rsidR="00B945B1" w:rsidRPr="00D20C32" w:rsidRDefault="00B945B1" w:rsidP="00A445AD">
            <w:pPr>
              <w:spacing w:before="0"/>
              <w:rPr>
                <w:lang w:val="en-GB"/>
              </w:rPr>
            </w:pPr>
            <w:r w:rsidRPr="00D20C32">
              <w:rPr>
                <w:lang w:val="en-GB"/>
              </w:rPr>
              <w:t>Quarterly PrEP follow-up visits</w:t>
            </w:r>
          </w:p>
        </w:tc>
        <w:tc>
          <w:tcPr>
            <w:tcW w:w="3143" w:type="dxa"/>
            <w:tcBorders>
              <w:bottom w:val="single" w:sz="4" w:space="0" w:color="auto"/>
            </w:tcBorders>
            <w:shd w:val="clear" w:color="auto" w:fill="auto"/>
          </w:tcPr>
          <w:p w14:paraId="47A2A97E" w14:textId="77777777" w:rsidR="00B945B1" w:rsidRPr="00D20C32" w:rsidRDefault="00B945B1" w:rsidP="00A445AD">
            <w:pPr>
              <w:spacing w:before="0"/>
              <w:rPr>
                <w:lang w:val="en-GB"/>
              </w:rPr>
            </w:pPr>
            <w:r w:rsidRPr="00D20C32">
              <w:rPr>
                <w:lang w:val="en-GB"/>
              </w:rPr>
              <w:t>End-user; acceptability, fidelity, and clinical measures</w:t>
            </w:r>
          </w:p>
        </w:tc>
        <w:tc>
          <w:tcPr>
            <w:tcW w:w="5616" w:type="dxa"/>
            <w:tcBorders>
              <w:bottom w:val="single" w:sz="4" w:space="0" w:color="auto"/>
            </w:tcBorders>
            <w:shd w:val="clear" w:color="auto" w:fill="auto"/>
          </w:tcPr>
          <w:p w14:paraId="464D15BF" w14:textId="1AA3AAA2" w:rsidR="00B945B1" w:rsidRPr="00D20C32" w:rsidRDefault="00B945B1" w:rsidP="00A445AD">
            <w:pPr>
              <w:spacing w:before="0"/>
              <w:rPr>
                <w:lang w:val="en-GB"/>
              </w:rPr>
            </w:pPr>
            <w:r w:rsidRPr="00D20C32">
              <w:rPr>
                <w:lang w:val="en-GB"/>
              </w:rPr>
              <w:t xml:space="preserve">Quarterly resupply visits with relevant quantitative acceptability (e.g., continuation, satisfaction, risk perception), fidelity (e.g., </w:t>
            </w:r>
            <w:r w:rsidR="00EA20CA" w:rsidRPr="00D20C32">
              <w:rPr>
                <w:lang w:val="en-GB"/>
              </w:rPr>
              <w:t>received</w:t>
            </w:r>
            <w:r w:rsidR="003E32E2" w:rsidRPr="00D20C32">
              <w:rPr>
                <w:lang w:val="en-GB"/>
              </w:rPr>
              <w:t xml:space="preserve"> ongoing</w:t>
            </w:r>
            <w:r w:rsidR="00EA20CA" w:rsidRPr="00D20C32">
              <w:rPr>
                <w:lang w:val="en-GB"/>
              </w:rPr>
              <w:t xml:space="preserve"> </w:t>
            </w:r>
            <w:r w:rsidR="00D20C32" w:rsidRPr="00D20C32">
              <w:rPr>
                <w:lang w:val="en-GB"/>
              </w:rPr>
              <w:t>counselling</w:t>
            </w:r>
            <w:r w:rsidRPr="00D20C32">
              <w:rPr>
                <w:lang w:val="en-GB"/>
              </w:rPr>
              <w:t xml:space="preserve"> and adherence support), and clinical outcomes</w:t>
            </w:r>
          </w:p>
        </w:tc>
      </w:tr>
      <w:tr w:rsidR="00B945B1" w:rsidRPr="00D20C32" w14:paraId="1C808CEC" w14:textId="77777777" w:rsidTr="00A445AD">
        <w:tc>
          <w:tcPr>
            <w:tcW w:w="4471" w:type="dxa"/>
            <w:shd w:val="clear" w:color="auto" w:fill="auto"/>
          </w:tcPr>
          <w:p w14:paraId="69B816FF" w14:textId="77777777" w:rsidR="00B945B1" w:rsidRPr="00D20C32" w:rsidRDefault="00B945B1" w:rsidP="00A445AD">
            <w:pPr>
              <w:spacing w:before="0"/>
              <w:rPr>
                <w:lang w:val="en-GB"/>
              </w:rPr>
            </w:pPr>
            <w:r w:rsidRPr="00D20C32">
              <w:rPr>
                <w:lang w:val="en-GB"/>
              </w:rPr>
              <w:t>Quarterly PrEP follow-up visits</w:t>
            </w:r>
          </w:p>
        </w:tc>
        <w:tc>
          <w:tcPr>
            <w:tcW w:w="3143" w:type="dxa"/>
            <w:shd w:val="clear" w:color="auto" w:fill="auto"/>
          </w:tcPr>
          <w:p w14:paraId="56571944" w14:textId="47A6E119" w:rsidR="00B945B1" w:rsidRPr="00D20C32" w:rsidRDefault="00B945B1" w:rsidP="00A445AD">
            <w:pPr>
              <w:spacing w:before="0"/>
              <w:rPr>
                <w:lang w:val="en-GB"/>
              </w:rPr>
            </w:pPr>
            <w:r w:rsidRPr="00D20C32">
              <w:rPr>
                <w:lang w:val="en-GB"/>
              </w:rPr>
              <w:t>Provider; fidelity</w:t>
            </w:r>
          </w:p>
        </w:tc>
        <w:tc>
          <w:tcPr>
            <w:tcW w:w="5616" w:type="dxa"/>
            <w:shd w:val="clear" w:color="auto" w:fill="auto"/>
          </w:tcPr>
          <w:p w14:paraId="66711D5E" w14:textId="3C235063" w:rsidR="00B945B1" w:rsidRPr="00D20C32" w:rsidRDefault="00B945B1" w:rsidP="00A445AD">
            <w:pPr>
              <w:spacing w:before="0"/>
              <w:rPr>
                <w:lang w:val="en-GB"/>
              </w:rPr>
            </w:pPr>
            <w:r w:rsidRPr="00D20C32">
              <w:rPr>
                <w:lang w:val="en-GB"/>
              </w:rPr>
              <w:t>Quarterly resupply visits with quantitative provider interview for fidelity (e.g., services offered with accompanying chart audit)</w:t>
            </w:r>
          </w:p>
        </w:tc>
      </w:tr>
      <w:tr w:rsidR="00140E4C" w:rsidRPr="00D20C32" w14:paraId="3CFE99DC" w14:textId="77777777" w:rsidTr="004950A2">
        <w:tc>
          <w:tcPr>
            <w:tcW w:w="4471" w:type="dxa"/>
            <w:tcBorders>
              <w:bottom w:val="single" w:sz="4" w:space="0" w:color="auto"/>
            </w:tcBorders>
            <w:shd w:val="clear" w:color="auto" w:fill="FCE2D2" w:themeFill="accent4" w:themeFillTint="33"/>
          </w:tcPr>
          <w:p w14:paraId="3F516AE2" w14:textId="77777777" w:rsidR="00140E4C" w:rsidRPr="008E4FDF" w:rsidRDefault="00140E4C" w:rsidP="004950A2">
            <w:pPr>
              <w:rPr>
                <w:b/>
                <w:bCs w:val="0"/>
                <w:color w:val="F4711F" w:themeColor="accent4"/>
                <w:lang w:val="en-GB"/>
              </w:rPr>
            </w:pPr>
            <w:r w:rsidRPr="008E4FDF">
              <w:rPr>
                <w:b/>
                <w:bCs w:val="0"/>
                <w:color w:val="F4711F" w:themeColor="accent4"/>
                <w:lang w:val="en-GB"/>
              </w:rPr>
              <w:lastRenderedPageBreak/>
              <w:t>Service delivery point</w:t>
            </w:r>
          </w:p>
        </w:tc>
        <w:tc>
          <w:tcPr>
            <w:tcW w:w="3143" w:type="dxa"/>
            <w:tcBorders>
              <w:bottom w:val="single" w:sz="4" w:space="0" w:color="auto"/>
            </w:tcBorders>
            <w:shd w:val="clear" w:color="auto" w:fill="FCE2D2" w:themeFill="accent4" w:themeFillTint="33"/>
          </w:tcPr>
          <w:p w14:paraId="317E349F" w14:textId="77777777" w:rsidR="00140E4C" w:rsidRPr="008E4FDF" w:rsidRDefault="00140E4C" w:rsidP="004950A2">
            <w:pPr>
              <w:rPr>
                <w:b/>
                <w:bCs w:val="0"/>
                <w:color w:val="F4711F" w:themeColor="accent4"/>
                <w:lang w:val="en-GB"/>
              </w:rPr>
            </w:pPr>
            <w:r w:rsidRPr="008E4FDF">
              <w:rPr>
                <w:b/>
                <w:bCs w:val="0"/>
                <w:color w:val="F4711F" w:themeColor="accent4"/>
                <w:lang w:val="en-GB"/>
              </w:rPr>
              <w:t>Participant</w:t>
            </w:r>
            <w:r>
              <w:rPr>
                <w:b/>
                <w:bCs w:val="0"/>
                <w:color w:val="F4711F" w:themeColor="accent4"/>
                <w:lang w:val="en-GB"/>
              </w:rPr>
              <w:t xml:space="preserve"> g</w:t>
            </w:r>
            <w:r w:rsidRPr="008E4FDF">
              <w:rPr>
                <w:b/>
                <w:bCs w:val="0"/>
                <w:color w:val="F4711F" w:themeColor="accent4"/>
                <w:lang w:val="en-GB"/>
              </w:rPr>
              <w:t xml:space="preserve">roup; </w:t>
            </w:r>
            <w:r>
              <w:rPr>
                <w:b/>
                <w:bCs w:val="0"/>
                <w:color w:val="F4711F" w:themeColor="accent4"/>
                <w:lang w:val="en-GB"/>
              </w:rPr>
              <w:t>o</w:t>
            </w:r>
            <w:r w:rsidRPr="008E4FDF">
              <w:rPr>
                <w:b/>
                <w:bCs w:val="0"/>
                <w:color w:val="F4711F" w:themeColor="accent4"/>
                <w:lang w:val="en-GB"/>
              </w:rPr>
              <w:t>utcome</w:t>
            </w:r>
          </w:p>
        </w:tc>
        <w:tc>
          <w:tcPr>
            <w:tcW w:w="5616" w:type="dxa"/>
            <w:tcBorders>
              <w:bottom w:val="single" w:sz="4" w:space="0" w:color="auto"/>
            </w:tcBorders>
            <w:shd w:val="clear" w:color="auto" w:fill="FCE2D2" w:themeFill="accent4" w:themeFillTint="33"/>
          </w:tcPr>
          <w:p w14:paraId="51B58D67" w14:textId="77777777" w:rsidR="00140E4C" w:rsidRPr="008E4FDF" w:rsidRDefault="00140E4C" w:rsidP="004950A2">
            <w:pPr>
              <w:rPr>
                <w:b/>
                <w:bCs w:val="0"/>
                <w:color w:val="F4711F" w:themeColor="accent4"/>
                <w:lang w:val="en-GB"/>
              </w:rPr>
            </w:pPr>
            <w:r w:rsidRPr="008E4FDF">
              <w:rPr>
                <w:b/>
                <w:bCs w:val="0"/>
                <w:color w:val="F4711F" w:themeColor="accent4"/>
                <w:lang w:val="en-GB"/>
              </w:rPr>
              <w:t xml:space="preserve">Interview </w:t>
            </w:r>
            <w:r>
              <w:rPr>
                <w:b/>
                <w:bCs w:val="0"/>
                <w:color w:val="F4711F" w:themeColor="accent4"/>
                <w:lang w:val="en-GB"/>
              </w:rPr>
              <w:t>t</w:t>
            </w:r>
            <w:r w:rsidRPr="008E4FDF">
              <w:rPr>
                <w:b/>
                <w:bCs w:val="0"/>
                <w:color w:val="F4711F" w:themeColor="accent4"/>
                <w:lang w:val="en-GB"/>
              </w:rPr>
              <w:t>ype</w:t>
            </w:r>
          </w:p>
        </w:tc>
      </w:tr>
      <w:tr w:rsidR="00B945B1" w:rsidRPr="00D20C32" w14:paraId="4F24A867" w14:textId="77777777" w:rsidTr="00A445AD">
        <w:tc>
          <w:tcPr>
            <w:tcW w:w="4471" w:type="dxa"/>
            <w:tcBorders>
              <w:bottom w:val="single" w:sz="4" w:space="0" w:color="auto"/>
            </w:tcBorders>
            <w:shd w:val="clear" w:color="auto" w:fill="auto"/>
          </w:tcPr>
          <w:p w14:paraId="0AAAF12F" w14:textId="77777777" w:rsidR="00B945B1" w:rsidRPr="00D20C32" w:rsidRDefault="00B945B1" w:rsidP="00A445AD">
            <w:pPr>
              <w:spacing w:before="0"/>
              <w:rPr>
                <w:lang w:val="en-GB"/>
              </w:rPr>
            </w:pPr>
            <w:r w:rsidRPr="00D20C32">
              <w:rPr>
                <w:lang w:val="en-GB"/>
              </w:rPr>
              <w:t>Ad hoc PrEP method issue management, switching, or discontinuation visit</w:t>
            </w:r>
          </w:p>
        </w:tc>
        <w:tc>
          <w:tcPr>
            <w:tcW w:w="3143" w:type="dxa"/>
            <w:tcBorders>
              <w:bottom w:val="single" w:sz="4" w:space="0" w:color="auto"/>
            </w:tcBorders>
            <w:shd w:val="clear" w:color="auto" w:fill="auto"/>
          </w:tcPr>
          <w:p w14:paraId="5AF35B6F" w14:textId="77777777" w:rsidR="00B945B1" w:rsidRPr="00D20C32" w:rsidRDefault="00B945B1" w:rsidP="00A445AD">
            <w:pPr>
              <w:spacing w:before="0"/>
              <w:rPr>
                <w:lang w:val="en-GB"/>
              </w:rPr>
            </w:pPr>
            <w:r w:rsidRPr="00D20C32">
              <w:rPr>
                <w:lang w:val="en-GB"/>
              </w:rPr>
              <w:t>End-user; acceptability, fidelity, and clinical measures</w:t>
            </w:r>
          </w:p>
        </w:tc>
        <w:tc>
          <w:tcPr>
            <w:tcW w:w="5616" w:type="dxa"/>
            <w:tcBorders>
              <w:bottom w:val="single" w:sz="4" w:space="0" w:color="auto"/>
            </w:tcBorders>
            <w:shd w:val="clear" w:color="auto" w:fill="auto"/>
          </w:tcPr>
          <w:p w14:paraId="4507967A" w14:textId="31CFCAD2" w:rsidR="00B945B1" w:rsidRPr="00D20C32" w:rsidRDefault="00B945B1" w:rsidP="00A445AD">
            <w:pPr>
              <w:spacing w:before="0"/>
              <w:rPr>
                <w:lang w:val="en-GB"/>
              </w:rPr>
            </w:pPr>
            <w:r w:rsidRPr="00D20C32">
              <w:rPr>
                <w:lang w:val="en-GB"/>
              </w:rPr>
              <w:t>Quantitative interview with acceptability (including reasons for switch/discontinu</w:t>
            </w:r>
            <w:r w:rsidR="00EA20CA" w:rsidRPr="00D20C32">
              <w:rPr>
                <w:lang w:val="en-GB"/>
              </w:rPr>
              <w:t>ing</w:t>
            </w:r>
            <w:r w:rsidRPr="00D20C32">
              <w:rPr>
                <w:lang w:val="en-GB"/>
              </w:rPr>
              <w:t>), fidelity (e.g., did provider support continuation/</w:t>
            </w:r>
            <w:r w:rsidR="00EA20CA" w:rsidRPr="00D20C32">
              <w:rPr>
                <w:lang w:val="en-GB"/>
              </w:rPr>
              <w:t xml:space="preserve"> </w:t>
            </w:r>
            <w:r w:rsidRPr="00D20C32">
              <w:rPr>
                <w:lang w:val="en-GB"/>
              </w:rPr>
              <w:t xml:space="preserve">discontinuation decision or counsel on other options), and clinical measures (e.g., </w:t>
            </w:r>
            <w:r w:rsidR="00EA20CA" w:rsidRPr="00D20C32">
              <w:rPr>
                <w:lang w:val="en-GB"/>
              </w:rPr>
              <w:t xml:space="preserve">serum </w:t>
            </w:r>
            <w:r w:rsidRPr="00D20C32">
              <w:rPr>
                <w:lang w:val="en-GB"/>
              </w:rPr>
              <w:t>creatinine for oral PrEP); subsample for qualitative interviews on change in PrEP method use</w:t>
            </w:r>
          </w:p>
        </w:tc>
      </w:tr>
      <w:tr w:rsidR="00B945B1" w:rsidRPr="00D20C32" w14:paraId="446819C3" w14:textId="77777777" w:rsidTr="00A445AD">
        <w:tc>
          <w:tcPr>
            <w:tcW w:w="4471" w:type="dxa"/>
            <w:shd w:val="clear" w:color="auto" w:fill="auto"/>
          </w:tcPr>
          <w:p w14:paraId="4C5D4857" w14:textId="77777777" w:rsidR="00B945B1" w:rsidRPr="00D20C32" w:rsidRDefault="00B945B1" w:rsidP="00A445AD">
            <w:pPr>
              <w:spacing w:before="0"/>
              <w:rPr>
                <w:lang w:val="en-GB"/>
              </w:rPr>
            </w:pPr>
            <w:r w:rsidRPr="00D20C32">
              <w:rPr>
                <w:lang w:val="en-GB"/>
              </w:rPr>
              <w:t>Ad hoc PrEP method issue management, switching, or discontinuation visit</w:t>
            </w:r>
          </w:p>
        </w:tc>
        <w:tc>
          <w:tcPr>
            <w:tcW w:w="3143" w:type="dxa"/>
            <w:shd w:val="clear" w:color="auto" w:fill="auto"/>
          </w:tcPr>
          <w:p w14:paraId="31AD120A" w14:textId="4745464D" w:rsidR="00B945B1" w:rsidRPr="00D20C32" w:rsidRDefault="00B945B1" w:rsidP="00A445AD">
            <w:pPr>
              <w:spacing w:before="0"/>
              <w:rPr>
                <w:lang w:val="en-GB"/>
              </w:rPr>
            </w:pPr>
            <w:r w:rsidRPr="00D20C32">
              <w:rPr>
                <w:lang w:val="en-GB"/>
              </w:rPr>
              <w:t>Provider; fidelity</w:t>
            </w:r>
          </w:p>
        </w:tc>
        <w:tc>
          <w:tcPr>
            <w:tcW w:w="5616" w:type="dxa"/>
            <w:shd w:val="clear" w:color="auto" w:fill="auto"/>
          </w:tcPr>
          <w:p w14:paraId="5799DAB4" w14:textId="39A5FA04" w:rsidR="00B945B1" w:rsidRPr="00D20C32" w:rsidRDefault="00B945B1" w:rsidP="00A445AD">
            <w:pPr>
              <w:spacing w:before="0"/>
              <w:rPr>
                <w:lang w:val="en-GB"/>
              </w:rPr>
            </w:pPr>
            <w:r w:rsidRPr="00D20C32">
              <w:rPr>
                <w:lang w:val="en-GB"/>
              </w:rPr>
              <w:t>Quantitative interview with chart audit; subsample with qualitative interviews regarding perceived reasons patients change PrEP methods and altered perspectives on how to provide different PrEP methods</w:t>
            </w:r>
          </w:p>
        </w:tc>
      </w:tr>
    </w:tbl>
    <w:p w14:paraId="68B116AB" w14:textId="17037F48" w:rsidR="00B945B1" w:rsidRPr="00D20C32" w:rsidRDefault="00140E4C" w:rsidP="00140E4C">
      <w:pPr>
        <w:ind w:left="-900"/>
        <w:rPr>
          <w:lang w:val="en-GB"/>
        </w:rPr>
      </w:pPr>
      <w:r>
        <w:rPr>
          <w:lang w:val="en-GB"/>
        </w:rPr>
        <w:br/>
      </w:r>
      <w:r w:rsidR="00B945B1" w:rsidRPr="00D20C32">
        <w:rPr>
          <w:lang w:val="en-GB"/>
        </w:rPr>
        <w:t xml:space="preserve">Table </w:t>
      </w:r>
      <w:r w:rsidR="00D62B77" w:rsidRPr="00D20C32">
        <w:rPr>
          <w:lang w:val="en-GB"/>
        </w:rPr>
        <w:t>3</w:t>
      </w:r>
      <w:r w:rsidR="00B945B1" w:rsidRPr="00D20C32">
        <w:rPr>
          <w:lang w:val="en-GB"/>
        </w:rPr>
        <w:t xml:space="preserve"> includes questions required to </w:t>
      </w:r>
      <w:r w:rsidR="0053680A" w:rsidRPr="00D20C32">
        <w:rPr>
          <w:lang w:val="en-GB"/>
        </w:rPr>
        <w:t xml:space="preserve">achieve </w:t>
      </w:r>
      <w:r w:rsidR="00B945B1" w:rsidRPr="00D20C32">
        <w:rPr>
          <w:lang w:val="en-GB"/>
        </w:rPr>
        <w:t>the study objectives</w:t>
      </w:r>
      <w:r w:rsidR="008A22FE" w:rsidRPr="00D20C32">
        <w:rPr>
          <w:lang w:val="en-GB"/>
        </w:rPr>
        <w:t>,</w:t>
      </w:r>
      <w:r w:rsidR="00B945B1" w:rsidRPr="00D20C32">
        <w:rPr>
          <w:lang w:val="en-GB"/>
        </w:rPr>
        <w:t xml:space="preserve"> along with visit type and application of information. Table </w:t>
      </w:r>
      <w:r w:rsidR="00D62B77" w:rsidRPr="00D20C32">
        <w:rPr>
          <w:lang w:val="en-GB"/>
        </w:rPr>
        <w:t>4</w:t>
      </w:r>
      <w:r w:rsidR="00B945B1" w:rsidRPr="00D20C32">
        <w:rPr>
          <w:lang w:val="en-GB"/>
        </w:rPr>
        <w:t xml:space="preserve"> provides suggested measures</w:t>
      </w:r>
      <w:r w:rsidR="00F83F14">
        <w:rPr>
          <w:lang w:val="en-GB"/>
        </w:rPr>
        <w:t>,</w:t>
      </w:r>
      <w:r w:rsidR="00B945B1" w:rsidRPr="00D20C32">
        <w:rPr>
          <w:lang w:val="en-GB"/>
        </w:rPr>
        <w:t xml:space="preserve"> with some additional entry points listed that correlate with an alternative time point for a required or suggested measure.</w:t>
      </w:r>
      <w:r>
        <w:rPr>
          <w:lang w:val="en-GB"/>
        </w:rPr>
        <w:br/>
      </w:r>
    </w:p>
    <w:p w14:paraId="1BBF524E" w14:textId="3D584B8B" w:rsidR="00B945B1" w:rsidRPr="00D20C32" w:rsidRDefault="00B945B1" w:rsidP="00140E4C">
      <w:pPr>
        <w:spacing w:before="0" w:line="240" w:lineRule="auto"/>
        <w:ind w:left="-900"/>
        <w:rPr>
          <w:rFonts w:cs="Arial"/>
          <w:b/>
          <w:szCs w:val="20"/>
          <w:lang w:val="en-GB"/>
        </w:rPr>
      </w:pPr>
      <w:r w:rsidRPr="00D20C32">
        <w:rPr>
          <w:rFonts w:cs="Arial"/>
          <w:b/>
          <w:szCs w:val="20"/>
          <w:lang w:val="en-GB"/>
        </w:rPr>
        <w:t xml:space="preserve">Table </w:t>
      </w:r>
      <w:r w:rsidR="00D62B77" w:rsidRPr="00D20C32">
        <w:rPr>
          <w:rFonts w:cs="Arial"/>
          <w:b/>
          <w:szCs w:val="20"/>
          <w:lang w:val="en-GB"/>
        </w:rPr>
        <w:t>3</w:t>
      </w:r>
      <w:r w:rsidRPr="00D20C32">
        <w:rPr>
          <w:rFonts w:cs="Arial"/>
          <w:b/>
          <w:szCs w:val="20"/>
          <w:lang w:val="en-GB"/>
        </w:rPr>
        <w:t xml:space="preserve">. Required </w:t>
      </w:r>
      <w:r w:rsidR="00B82412" w:rsidRPr="00D20C32">
        <w:rPr>
          <w:rFonts w:cs="Arial"/>
          <w:b/>
          <w:szCs w:val="20"/>
          <w:lang w:val="en-GB"/>
        </w:rPr>
        <w:t>study outcome measures</w:t>
      </w:r>
    </w:p>
    <w:tbl>
      <w:tblPr>
        <w:tblStyle w:val="TableGrid"/>
        <w:tblW w:w="13230" w:type="dxa"/>
        <w:tblInd w:w="-905" w:type="dxa"/>
        <w:tblLayout w:type="fixed"/>
        <w:tblLook w:val="04A0" w:firstRow="1" w:lastRow="0" w:firstColumn="1" w:lastColumn="0" w:noHBand="0" w:noVBand="1"/>
      </w:tblPr>
      <w:tblGrid>
        <w:gridCol w:w="2340"/>
        <w:gridCol w:w="4590"/>
        <w:gridCol w:w="1890"/>
        <w:gridCol w:w="4410"/>
      </w:tblGrid>
      <w:tr w:rsidR="00EA292B" w:rsidRPr="00D20C32" w14:paraId="6FC5E809" w14:textId="77777777" w:rsidTr="000B6DFF">
        <w:trPr>
          <w:trHeight w:val="710"/>
        </w:trPr>
        <w:tc>
          <w:tcPr>
            <w:tcW w:w="2340" w:type="dxa"/>
            <w:shd w:val="clear" w:color="auto" w:fill="FCE2D2" w:themeFill="accent4" w:themeFillTint="33"/>
          </w:tcPr>
          <w:p w14:paraId="295AFC0F" w14:textId="77777777" w:rsidR="00EA292B" w:rsidRPr="008E4FDF" w:rsidRDefault="00EA292B" w:rsidP="00837B5A">
            <w:pPr>
              <w:pStyle w:val="Tableheader"/>
              <w:ind w:left="180"/>
              <w:rPr>
                <w:rStyle w:val="Heading1Char"/>
                <w:rFonts w:eastAsiaTheme="minorEastAsia" w:cs="Arial"/>
                <w:b w:val="0"/>
                <w:bCs/>
                <w:noProof w:val="0"/>
                <w:sz w:val="20"/>
                <w:szCs w:val="20"/>
                <w:lang w:val="en-GB"/>
              </w:rPr>
            </w:pPr>
            <w:r w:rsidRPr="008E4FDF">
              <w:rPr>
                <w:rFonts w:cs="Arial"/>
                <w:szCs w:val="20"/>
                <w:lang w:val="en-GB"/>
              </w:rPr>
              <w:t>Required outcome measures</w:t>
            </w:r>
          </w:p>
        </w:tc>
        <w:tc>
          <w:tcPr>
            <w:tcW w:w="4590" w:type="dxa"/>
            <w:shd w:val="clear" w:color="auto" w:fill="FCE2D2" w:themeFill="accent4" w:themeFillTint="33"/>
          </w:tcPr>
          <w:p w14:paraId="22849A33" w14:textId="77777777" w:rsidR="00EA292B" w:rsidRPr="008E4FDF" w:rsidRDefault="00EA292B" w:rsidP="00837B5A">
            <w:pPr>
              <w:pStyle w:val="Tableheader"/>
              <w:ind w:left="180"/>
              <w:rPr>
                <w:rStyle w:val="Heading1Char"/>
                <w:rFonts w:cs="Arial"/>
                <w:b w:val="0"/>
                <w:bCs/>
                <w:noProof w:val="0"/>
                <w:sz w:val="20"/>
                <w:szCs w:val="20"/>
                <w:lang w:val="en-GB"/>
              </w:rPr>
            </w:pPr>
            <w:r w:rsidRPr="008E4FDF">
              <w:rPr>
                <w:rFonts w:cs="Arial"/>
                <w:szCs w:val="20"/>
                <w:lang w:val="en-GB"/>
              </w:rPr>
              <w:t>How measured?</w:t>
            </w:r>
          </w:p>
        </w:tc>
        <w:tc>
          <w:tcPr>
            <w:tcW w:w="1890" w:type="dxa"/>
            <w:shd w:val="clear" w:color="auto" w:fill="FCE2D2" w:themeFill="accent4" w:themeFillTint="33"/>
          </w:tcPr>
          <w:p w14:paraId="541C6CB2" w14:textId="77777777" w:rsidR="00EA292B" w:rsidRPr="00D20C32" w:rsidRDefault="00EA292B" w:rsidP="00837B5A">
            <w:pPr>
              <w:pStyle w:val="Tableheader"/>
              <w:ind w:left="180"/>
              <w:rPr>
                <w:rFonts w:cs="Arial"/>
                <w:b w:val="0"/>
                <w:bCs w:val="0"/>
                <w:szCs w:val="20"/>
                <w:lang w:val="en-GB"/>
              </w:rPr>
            </w:pPr>
            <w:r w:rsidRPr="00D20C32">
              <w:rPr>
                <w:rFonts w:cs="Arial"/>
                <w:szCs w:val="20"/>
                <w:lang w:val="en-GB"/>
              </w:rPr>
              <w:t>When measured?</w:t>
            </w:r>
          </w:p>
        </w:tc>
        <w:tc>
          <w:tcPr>
            <w:tcW w:w="4410" w:type="dxa"/>
            <w:shd w:val="clear" w:color="auto" w:fill="FCE2D2" w:themeFill="accent4" w:themeFillTint="33"/>
          </w:tcPr>
          <w:p w14:paraId="6182BE28" w14:textId="77777777" w:rsidR="00EA292B" w:rsidRPr="00D20C32" w:rsidRDefault="00EA292B" w:rsidP="00837B5A">
            <w:pPr>
              <w:pStyle w:val="Tableheader"/>
              <w:ind w:left="180"/>
              <w:rPr>
                <w:rFonts w:cs="Arial"/>
                <w:b w:val="0"/>
                <w:bCs w:val="0"/>
                <w:szCs w:val="20"/>
                <w:lang w:val="en-GB"/>
              </w:rPr>
            </w:pPr>
            <w:r w:rsidRPr="00D20C32">
              <w:rPr>
                <w:rFonts w:cs="Arial"/>
                <w:szCs w:val="20"/>
                <w:lang w:val="en-GB"/>
              </w:rPr>
              <w:t>Role in analysis?</w:t>
            </w:r>
          </w:p>
        </w:tc>
      </w:tr>
      <w:tr w:rsidR="00802046" w:rsidRPr="00D20C32" w14:paraId="02B8A470" w14:textId="77777777" w:rsidTr="000B6DFF">
        <w:trPr>
          <w:trHeight w:val="521"/>
        </w:trPr>
        <w:tc>
          <w:tcPr>
            <w:tcW w:w="13230" w:type="dxa"/>
            <w:gridSpan w:val="4"/>
            <w:shd w:val="clear" w:color="auto" w:fill="F4711F" w:themeFill="accent4"/>
          </w:tcPr>
          <w:p w14:paraId="16638381" w14:textId="3C8861E6" w:rsidR="00EA292B" w:rsidRPr="008E4FDF" w:rsidRDefault="00EA292B" w:rsidP="000B6DFF">
            <w:pPr>
              <w:pStyle w:val="Tablebullets"/>
              <w:numPr>
                <w:ilvl w:val="0"/>
                <w:numId w:val="0"/>
              </w:numPr>
              <w:ind w:left="85"/>
              <w:rPr>
                <w:rFonts w:cs="Arial"/>
                <w:b/>
                <w:bCs w:val="0"/>
                <w:color w:val="FFFFFF"/>
                <w:szCs w:val="20"/>
                <w:lang w:val="en-GB"/>
              </w:rPr>
            </w:pPr>
            <w:r w:rsidRPr="008E4FDF">
              <w:rPr>
                <w:rFonts w:cs="Arial"/>
                <w:b/>
                <w:bCs w:val="0"/>
                <w:color w:val="FFFFFF"/>
                <w:szCs w:val="20"/>
                <w:lang w:val="en-GB"/>
              </w:rPr>
              <w:t>Feasibility Measures: End</w:t>
            </w:r>
            <w:r w:rsidR="00711401" w:rsidRPr="008E4FDF">
              <w:rPr>
                <w:rFonts w:cs="Arial"/>
                <w:b/>
                <w:bCs w:val="0"/>
                <w:color w:val="FFFFFF"/>
                <w:szCs w:val="20"/>
                <w:lang w:val="en-GB"/>
              </w:rPr>
              <w:t>-</w:t>
            </w:r>
            <w:r w:rsidRPr="008E4FDF">
              <w:rPr>
                <w:rFonts w:cs="Arial"/>
                <w:b/>
                <w:bCs w:val="0"/>
                <w:color w:val="FFFFFF"/>
                <w:szCs w:val="20"/>
                <w:lang w:val="en-GB"/>
              </w:rPr>
              <w:t>Users</w:t>
            </w:r>
          </w:p>
        </w:tc>
      </w:tr>
      <w:tr w:rsidR="00EA292B" w:rsidRPr="00D20C32" w14:paraId="4C69F1EA" w14:textId="77777777" w:rsidTr="00A445AD">
        <w:trPr>
          <w:trHeight w:val="1882"/>
        </w:trPr>
        <w:tc>
          <w:tcPr>
            <w:tcW w:w="2340" w:type="dxa"/>
          </w:tcPr>
          <w:p w14:paraId="0089157D" w14:textId="77777777" w:rsidR="00EA292B" w:rsidRPr="00A445AD" w:rsidRDefault="00EA292B" w:rsidP="00A445AD">
            <w:pPr>
              <w:spacing w:before="0"/>
              <w:rPr>
                <w:lang w:val="en-GB"/>
              </w:rPr>
            </w:pPr>
            <w:r w:rsidRPr="00A445AD">
              <w:rPr>
                <w:lang w:val="en-GB"/>
              </w:rPr>
              <w:t xml:space="preserve">Interest in ring as a </w:t>
            </w:r>
            <w:proofErr w:type="gramStart"/>
            <w:r w:rsidRPr="00A445AD">
              <w:rPr>
                <w:lang w:val="en-GB"/>
              </w:rPr>
              <w:t>PrEP</w:t>
            </w:r>
            <w:proofErr w:type="gramEnd"/>
            <w:r w:rsidRPr="00A445AD">
              <w:rPr>
                <w:lang w:val="en-GB"/>
              </w:rPr>
              <w:t xml:space="preserve"> method</w:t>
            </w:r>
          </w:p>
        </w:tc>
        <w:tc>
          <w:tcPr>
            <w:tcW w:w="4590" w:type="dxa"/>
          </w:tcPr>
          <w:p w14:paraId="260A03C0" w14:textId="0C20F83F" w:rsidR="00EA292B" w:rsidRPr="00A445AD" w:rsidRDefault="00EA292B" w:rsidP="00A445AD">
            <w:pPr>
              <w:spacing w:before="0"/>
              <w:rPr>
                <w:lang w:val="en-GB"/>
              </w:rPr>
            </w:pPr>
            <w:r w:rsidRPr="00A445AD">
              <w:rPr>
                <w:lang w:val="en-GB"/>
              </w:rPr>
              <w:t>Please see Annex 3.</w:t>
            </w:r>
          </w:p>
        </w:tc>
        <w:tc>
          <w:tcPr>
            <w:tcW w:w="1890" w:type="dxa"/>
          </w:tcPr>
          <w:p w14:paraId="693EB515" w14:textId="66C7A2CB" w:rsidR="00EA292B" w:rsidRPr="00A445AD" w:rsidRDefault="00D20C32" w:rsidP="00A445AD">
            <w:pPr>
              <w:spacing w:before="0"/>
              <w:rPr>
                <w:lang w:val="en-GB"/>
              </w:rPr>
            </w:pPr>
            <w:r w:rsidRPr="00A445AD">
              <w:rPr>
                <w:lang w:val="en-GB"/>
              </w:rPr>
              <w:t>Enrolment</w:t>
            </w:r>
            <w:r w:rsidR="00EA292B" w:rsidRPr="00A445AD">
              <w:rPr>
                <w:lang w:val="en-GB"/>
              </w:rPr>
              <w:t xml:space="preserve"> </w:t>
            </w:r>
            <w:proofErr w:type="gramStart"/>
            <w:r w:rsidR="00EA292B" w:rsidRPr="00A445AD">
              <w:rPr>
                <w:lang w:val="en-GB"/>
              </w:rPr>
              <w:t>visit</w:t>
            </w:r>
            <w:proofErr w:type="gramEnd"/>
            <w:r w:rsidR="00EA292B" w:rsidRPr="00A445AD">
              <w:rPr>
                <w:lang w:val="en-GB"/>
              </w:rPr>
              <w:t xml:space="preserve"> with questionnaire following </w:t>
            </w:r>
            <w:r w:rsidRPr="00A445AD">
              <w:rPr>
                <w:lang w:val="en-GB"/>
              </w:rPr>
              <w:t>counselling</w:t>
            </w:r>
            <w:r w:rsidR="00EA292B" w:rsidRPr="00A445AD">
              <w:rPr>
                <w:lang w:val="en-GB"/>
              </w:rPr>
              <w:t xml:space="preserve"> and HIV prevention method selection</w:t>
            </w:r>
          </w:p>
        </w:tc>
        <w:tc>
          <w:tcPr>
            <w:tcW w:w="4410" w:type="dxa"/>
          </w:tcPr>
          <w:p w14:paraId="25B5D99C" w14:textId="572093CA" w:rsidR="00EA292B" w:rsidRPr="00A445AD" w:rsidRDefault="00EA292B" w:rsidP="00A445AD">
            <w:pPr>
              <w:spacing w:before="0"/>
              <w:rPr>
                <w:lang w:val="en-GB"/>
              </w:rPr>
            </w:pPr>
            <w:r w:rsidRPr="00A445AD">
              <w:rPr>
                <w:lang w:val="en-GB"/>
              </w:rPr>
              <w:t>Primary feasibility outcome measure for end</w:t>
            </w:r>
            <w:r w:rsidR="001A312D" w:rsidRPr="00A445AD">
              <w:rPr>
                <w:lang w:val="en-GB"/>
              </w:rPr>
              <w:t>-</w:t>
            </w:r>
            <w:r w:rsidRPr="00A445AD">
              <w:rPr>
                <w:lang w:val="en-GB"/>
              </w:rPr>
              <w:t xml:space="preserve">users </w:t>
            </w:r>
          </w:p>
        </w:tc>
      </w:tr>
      <w:tr w:rsidR="00140E4C" w:rsidRPr="00D20C32" w14:paraId="26A2F365" w14:textId="77777777" w:rsidTr="004950A2">
        <w:trPr>
          <w:trHeight w:val="710"/>
        </w:trPr>
        <w:tc>
          <w:tcPr>
            <w:tcW w:w="2340" w:type="dxa"/>
            <w:shd w:val="clear" w:color="auto" w:fill="FCE2D2" w:themeFill="accent4" w:themeFillTint="33"/>
          </w:tcPr>
          <w:p w14:paraId="1EB32E9C" w14:textId="77777777" w:rsidR="00140E4C" w:rsidRPr="008E4FDF" w:rsidRDefault="00140E4C" w:rsidP="004950A2">
            <w:pPr>
              <w:pStyle w:val="Tableheader"/>
              <w:ind w:left="180"/>
              <w:rPr>
                <w:rStyle w:val="Heading1Char"/>
                <w:rFonts w:eastAsiaTheme="minorEastAsia" w:cs="Arial"/>
                <w:b w:val="0"/>
                <w:bCs/>
                <w:noProof w:val="0"/>
                <w:sz w:val="20"/>
                <w:szCs w:val="20"/>
                <w:lang w:val="en-GB"/>
              </w:rPr>
            </w:pPr>
            <w:r w:rsidRPr="008E4FDF">
              <w:rPr>
                <w:rFonts w:cs="Arial"/>
                <w:szCs w:val="20"/>
                <w:lang w:val="en-GB"/>
              </w:rPr>
              <w:lastRenderedPageBreak/>
              <w:t>Required outcome measures</w:t>
            </w:r>
          </w:p>
        </w:tc>
        <w:tc>
          <w:tcPr>
            <w:tcW w:w="4590" w:type="dxa"/>
            <w:shd w:val="clear" w:color="auto" w:fill="FCE2D2" w:themeFill="accent4" w:themeFillTint="33"/>
          </w:tcPr>
          <w:p w14:paraId="5B0FC61A" w14:textId="77777777" w:rsidR="00140E4C" w:rsidRPr="008E4FDF" w:rsidRDefault="00140E4C" w:rsidP="004950A2">
            <w:pPr>
              <w:pStyle w:val="Tableheader"/>
              <w:ind w:left="180"/>
              <w:rPr>
                <w:rStyle w:val="Heading1Char"/>
                <w:rFonts w:cs="Arial"/>
                <w:b w:val="0"/>
                <w:bCs/>
                <w:noProof w:val="0"/>
                <w:sz w:val="20"/>
                <w:szCs w:val="20"/>
                <w:lang w:val="en-GB"/>
              </w:rPr>
            </w:pPr>
            <w:r w:rsidRPr="008E4FDF">
              <w:rPr>
                <w:rFonts w:cs="Arial"/>
                <w:szCs w:val="20"/>
                <w:lang w:val="en-GB"/>
              </w:rPr>
              <w:t>How measured?</w:t>
            </w:r>
          </w:p>
        </w:tc>
        <w:tc>
          <w:tcPr>
            <w:tcW w:w="1890" w:type="dxa"/>
            <w:shd w:val="clear" w:color="auto" w:fill="FCE2D2" w:themeFill="accent4" w:themeFillTint="33"/>
          </w:tcPr>
          <w:p w14:paraId="072FAC77" w14:textId="77777777" w:rsidR="00140E4C" w:rsidRPr="00D20C32" w:rsidRDefault="00140E4C" w:rsidP="004950A2">
            <w:pPr>
              <w:pStyle w:val="Tableheader"/>
              <w:ind w:left="180"/>
              <w:rPr>
                <w:rFonts w:cs="Arial"/>
                <w:b w:val="0"/>
                <w:bCs w:val="0"/>
                <w:szCs w:val="20"/>
                <w:lang w:val="en-GB"/>
              </w:rPr>
            </w:pPr>
            <w:r w:rsidRPr="00D20C32">
              <w:rPr>
                <w:rFonts w:cs="Arial"/>
                <w:szCs w:val="20"/>
                <w:lang w:val="en-GB"/>
              </w:rPr>
              <w:t>When measured?</w:t>
            </w:r>
          </w:p>
        </w:tc>
        <w:tc>
          <w:tcPr>
            <w:tcW w:w="4410" w:type="dxa"/>
            <w:shd w:val="clear" w:color="auto" w:fill="FCE2D2" w:themeFill="accent4" w:themeFillTint="33"/>
          </w:tcPr>
          <w:p w14:paraId="4AF7FC9D" w14:textId="77777777" w:rsidR="00140E4C" w:rsidRPr="00D20C32" w:rsidRDefault="00140E4C" w:rsidP="004950A2">
            <w:pPr>
              <w:pStyle w:val="Tableheader"/>
              <w:ind w:left="180"/>
              <w:rPr>
                <w:rFonts w:cs="Arial"/>
                <w:b w:val="0"/>
                <w:bCs w:val="0"/>
                <w:szCs w:val="20"/>
                <w:lang w:val="en-GB"/>
              </w:rPr>
            </w:pPr>
            <w:r w:rsidRPr="00D20C32">
              <w:rPr>
                <w:rFonts w:cs="Arial"/>
                <w:szCs w:val="20"/>
                <w:lang w:val="en-GB"/>
              </w:rPr>
              <w:t>Role in analysis?</w:t>
            </w:r>
          </w:p>
        </w:tc>
      </w:tr>
      <w:tr w:rsidR="00802046" w:rsidRPr="00D20C32" w14:paraId="1DA60EEB" w14:textId="77777777" w:rsidTr="000B6DFF">
        <w:trPr>
          <w:trHeight w:val="440"/>
        </w:trPr>
        <w:tc>
          <w:tcPr>
            <w:tcW w:w="13230" w:type="dxa"/>
            <w:gridSpan w:val="4"/>
            <w:shd w:val="clear" w:color="auto" w:fill="F4711F" w:themeFill="accent4"/>
          </w:tcPr>
          <w:p w14:paraId="17727959" w14:textId="77777777" w:rsidR="00EA292B" w:rsidRPr="008E4FDF" w:rsidRDefault="00EA292B" w:rsidP="000B6DFF">
            <w:pPr>
              <w:pStyle w:val="Tablebullets"/>
              <w:numPr>
                <w:ilvl w:val="0"/>
                <w:numId w:val="0"/>
              </w:numPr>
              <w:ind w:left="85"/>
              <w:rPr>
                <w:rFonts w:cs="Arial"/>
                <w:b/>
                <w:bCs w:val="0"/>
                <w:color w:val="FFFFFF"/>
                <w:szCs w:val="20"/>
                <w:lang w:val="en-GB"/>
              </w:rPr>
            </w:pPr>
            <w:r w:rsidRPr="008E4FDF">
              <w:rPr>
                <w:rFonts w:cs="Arial"/>
                <w:b/>
                <w:bCs w:val="0"/>
                <w:color w:val="FFFFFF"/>
                <w:szCs w:val="20"/>
                <w:lang w:val="en-GB"/>
              </w:rPr>
              <w:t>Feasibility Measures: Providers</w:t>
            </w:r>
            <w:r w:rsidRPr="008E4FDF" w:rsidDel="00E0686E">
              <w:rPr>
                <w:rFonts w:cs="Arial"/>
                <w:b/>
                <w:bCs w:val="0"/>
                <w:color w:val="FFFFFF"/>
                <w:szCs w:val="20"/>
                <w:lang w:val="en-GB"/>
              </w:rPr>
              <w:t xml:space="preserve"> </w:t>
            </w:r>
          </w:p>
        </w:tc>
      </w:tr>
      <w:tr w:rsidR="00EA292B" w:rsidRPr="00D20C32" w14:paraId="124FE590" w14:textId="77777777" w:rsidTr="000B6DFF">
        <w:tc>
          <w:tcPr>
            <w:tcW w:w="2340" w:type="dxa"/>
          </w:tcPr>
          <w:p w14:paraId="06972112" w14:textId="397A7399" w:rsidR="00EA292B" w:rsidRPr="00A445AD" w:rsidRDefault="00EA292B" w:rsidP="00A445AD">
            <w:pPr>
              <w:spacing w:before="0"/>
              <w:rPr>
                <w:lang w:val="en-GB"/>
              </w:rPr>
            </w:pPr>
            <w:r w:rsidRPr="00A445AD">
              <w:rPr>
                <w:lang w:val="en-GB"/>
              </w:rPr>
              <w:t xml:space="preserve">Perceived readiness to offer </w:t>
            </w:r>
            <w:r w:rsidR="00BF6188" w:rsidRPr="00A445AD">
              <w:rPr>
                <w:lang w:val="en-GB"/>
              </w:rPr>
              <w:t xml:space="preserve">the </w:t>
            </w:r>
            <w:r w:rsidRPr="00A445AD">
              <w:rPr>
                <w:lang w:val="en-GB"/>
              </w:rPr>
              <w:t>ring following training session</w:t>
            </w:r>
          </w:p>
        </w:tc>
        <w:tc>
          <w:tcPr>
            <w:tcW w:w="4590" w:type="dxa"/>
          </w:tcPr>
          <w:p w14:paraId="6EDC5EE4" w14:textId="4AE2F4E3" w:rsidR="00EA292B" w:rsidRPr="00A445AD" w:rsidRDefault="00EA292B" w:rsidP="00A445AD">
            <w:pPr>
              <w:spacing w:before="0"/>
              <w:rPr>
                <w:lang w:val="en-GB"/>
              </w:rPr>
            </w:pPr>
            <w:r w:rsidRPr="00A445AD">
              <w:rPr>
                <w:lang w:val="en-GB"/>
              </w:rPr>
              <w:t>Please see Annex 3 for quantitative questions</w:t>
            </w:r>
            <w:r w:rsidR="00A25DBF" w:rsidRPr="00A445AD">
              <w:rPr>
                <w:lang w:val="en-GB"/>
              </w:rPr>
              <w:t>.</w:t>
            </w:r>
          </w:p>
          <w:p w14:paraId="1731493E" w14:textId="7FD988BE" w:rsidR="00EA292B" w:rsidRPr="00A445AD" w:rsidRDefault="00A25DBF" w:rsidP="00A445AD">
            <w:pPr>
              <w:spacing w:before="0"/>
              <w:rPr>
                <w:lang w:val="en-GB"/>
              </w:rPr>
            </w:pPr>
            <w:r w:rsidRPr="00A445AD">
              <w:rPr>
                <w:lang w:val="en-GB"/>
              </w:rPr>
              <w:t>P</w:t>
            </w:r>
            <w:r w:rsidR="00EA292B" w:rsidRPr="00A445AD">
              <w:rPr>
                <w:lang w:val="en-GB"/>
              </w:rPr>
              <w:t>robe service readiness in qualitative interviews for context</w:t>
            </w:r>
            <w:r w:rsidR="00B82412" w:rsidRPr="00A445AD">
              <w:rPr>
                <w:lang w:val="en-GB"/>
              </w:rPr>
              <w:t>.</w:t>
            </w:r>
          </w:p>
        </w:tc>
        <w:tc>
          <w:tcPr>
            <w:tcW w:w="1890" w:type="dxa"/>
          </w:tcPr>
          <w:p w14:paraId="58D37F1A" w14:textId="77777777" w:rsidR="00EA292B" w:rsidRPr="00A445AD" w:rsidRDefault="00EA292B" w:rsidP="00A445AD">
            <w:pPr>
              <w:spacing w:before="0"/>
              <w:rPr>
                <w:lang w:val="en-GB"/>
              </w:rPr>
            </w:pPr>
            <w:r w:rsidRPr="00A445AD">
              <w:rPr>
                <w:lang w:val="en-GB"/>
              </w:rPr>
              <w:t>Post-training interview</w:t>
            </w:r>
          </w:p>
        </w:tc>
        <w:tc>
          <w:tcPr>
            <w:tcW w:w="4410" w:type="dxa"/>
          </w:tcPr>
          <w:p w14:paraId="44BFEF66" w14:textId="575FF0E2" w:rsidR="00EA292B" w:rsidRPr="00A445AD" w:rsidRDefault="00B82412" w:rsidP="00A445AD">
            <w:pPr>
              <w:spacing w:before="0"/>
              <w:rPr>
                <w:lang w:val="en-GB"/>
              </w:rPr>
            </w:pPr>
            <w:r w:rsidRPr="00A445AD">
              <w:rPr>
                <w:lang w:val="en-GB"/>
              </w:rPr>
              <w:t>To i</w:t>
            </w:r>
            <w:r w:rsidR="00EA292B" w:rsidRPr="00A445AD">
              <w:rPr>
                <w:lang w:val="en-GB"/>
              </w:rPr>
              <w:t>nform pre/</w:t>
            </w:r>
            <w:r w:rsidR="00D20C32" w:rsidRPr="00A445AD">
              <w:rPr>
                <w:lang w:val="en-GB"/>
              </w:rPr>
              <w:t>post-test</w:t>
            </w:r>
            <w:r w:rsidR="00EA292B" w:rsidRPr="00A445AD">
              <w:rPr>
                <w:lang w:val="en-GB"/>
              </w:rPr>
              <w:t xml:space="preserve"> as part of provider training package and help refine package</w:t>
            </w:r>
          </w:p>
        </w:tc>
      </w:tr>
      <w:tr w:rsidR="00EA292B" w:rsidRPr="00D20C32" w14:paraId="59B979F0" w14:textId="77777777" w:rsidTr="000B6DFF">
        <w:tc>
          <w:tcPr>
            <w:tcW w:w="2340" w:type="dxa"/>
          </w:tcPr>
          <w:p w14:paraId="1E26800F" w14:textId="77777777" w:rsidR="00EA292B" w:rsidRPr="00A445AD" w:rsidRDefault="00EA292B" w:rsidP="00A445AD">
            <w:pPr>
              <w:spacing w:before="0"/>
              <w:rPr>
                <w:lang w:val="en-GB"/>
              </w:rPr>
            </w:pPr>
            <w:r w:rsidRPr="00A445AD">
              <w:rPr>
                <w:lang w:val="en-GB"/>
              </w:rPr>
              <w:t>Ring knowledge score</w:t>
            </w:r>
          </w:p>
        </w:tc>
        <w:tc>
          <w:tcPr>
            <w:tcW w:w="4590" w:type="dxa"/>
          </w:tcPr>
          <w:p w14:paraId="429AA4DF" w14:textId="16A904B7" w:rsidR="00EA292B" w:rsidRPr="00A445AD" w:rsidRDefault="00EA292B" w:rsidP="00A445AD">
            <w:pPr>
              <w:spacing w:before="0"/>
              <w:rPr>
                <w:lang w:val="en-GB"/>
              </w:rPr>
            </w:pPr>
            <w:r w:rsidRPr="00A445AD">
              <w:rPr>
                <w:lang w:val="en-GB"/>
              </w:rPr>
              <w:t>Composite score for 5</w:t>
            </w:r>
            <w:r w:rsidR="00B1042A" w:rsidRPr="00A445AD">
              <w:rPr>
                <w:lang w:val="en-GB"/>
              </w:rPr>
              <w:t>–</w:t>
            </w:r>
            <w:r w:rsidRPr="00A445AD">
              <w:rPr>
                <w:lang w:val="en-GB"/>
              </w:rPr>
              <w:t>7 quantitative knowledge questions with answers present</w:t>
            </w:r>
            <w:r w:rsidR="00BF6188" w:rsidRPr="00A445AD">
              <w:rPr>
                <w:lang w:val="en-GB"/>
              </w:rPr>
              <w:t>ed</w:t>
            </w:r>
            <w:r w:rsidRPr="00A445AD">
              <w:rPr>
                <w:lang w:val="en-GB"/>
              </w:rPr>
              <w:t xml:space="preserve"> in training materials (questions </w:t>
            </w:r>
            <w:r w:rsidR="00BF6188" w:rsidRPr="00A445AD">
              <w:rPr>
                <w:lang w:val="en-GB"/>
              </w:rPr>
              <w:t xml:space="preserve">and answers </w:t>
            </w:r>
            <w:r w:rsidRPr="00A445AD">
              <w:rPr>
                <w:lang w:val="en-GB"/>
              </w:rPr>
              <w:t>in Annex 3)</w:t>
            </w:r>
          </w:p>
        </w:tc>
        <w:tc>
          <w:tcPr>
            <w:tcW w:w="1890" w:type="dxa"/>
          </w:tcPr>
          <w:p w14:paraId="41B3CB37" w14:textId="6D26A88F" w:rsidR="00EA292B" w:rsidRPr="00A445AD" w:rsidRDefault="00EA292B" w:rsidP="00A445AD">
            <w:pPr>
              <w:spacing w:before="0"/>
              <w:rPr>
                <w:lang w:val="en-GB"/>
              </w:rPr>
            </w:pPr>
            <w:r w:rsidRPr="00A445AD">
              <w:rPr>
                <w:lang w:val="en-GB"/>
              </w:rPr>
              <w:t xml:space="preserve">Questions as part of </w:t>
            </w:r>
            <w:proofErr w:type="spellStart"/>
            <w:r w:rsidR="00D20C32" w:rsidRPr="00A445AD">
              <w:rPr>
                <w:lang w:val="en-GB"/>
              </w:rPr>
              <w:t>pretest</w:t>
            </w:r>
            <w:proofErr w:type="spellEnd"/>
            <w:r w:rsidRPr="00A445AD">
              <w:rPr>
                <w:lang w:val="en-GB"/>
              </w:rPr>
              <w:t xml:space="preserve"> and post-test for ring training package</w:t>
            </w:r>
          </w:p>
        </w:tc>
        <w:tc>
          <w:tcPr>
            <w:tcW w:w="4410" w:type="dxa"/>
          </w:tcPr>
          <w:p w14:paraId="2987CC68" w14:textId="36836E69" w:rsidR="00F83F14" w:rsidRPr="00A445AD" w:rsidRDefault="00EA292B" w:rsidP="00A445AD">
            <w:pPr>
              <w:spacing w:before="0"/>
              <w:rPr>
                <w:lang w:val="en-GB"/>
              </w:rPr>
            </w:pPr>
            <w:r w:rsidRPr="00A445AD">
              <w:rPr>
                <w:lang w:val="en-GB"/>
              </w:rPr>
              <w:t xml:space="preserve">Primary outcome for feasibility of training package; can add questions </w:t>
            </w:r>
            <w:r w:rsidR="002B4B97" w:rsidRPr="00A445AD">
              <w:rPr>
                <w:lang w:val="en-GB"/>
              </w:rPr>
              <w:t>on</w:t>
            </w:r>
            <w:r w:rsidRPr="00A445AD">
              <w:rPr>
                <w:lang w:val="en-GB"/>
              </w:rPr>
              <w:t xml:space="preserve"> provider</w:t>
            </w:r>
            <w:r w:rsidR="00B1042A" w:rsidRPr="00A445AD">
              <w:rPr>
                <w:lang w:val="en-GB"/>
              </w:rPr>
              <w:t>’s</w:t>
            </w:r>
            <w:r w:rsidRPr="00A445AD">
              <w:rPr>
                <w:lang w:val="en-GB"/>
              </w:rPr>
              <w:t xml:space="preserve"> attitude </w:t>
            </w:r>
            <w:r w:rsidR="00B1042A" w:rsidRPr="00A445AD">
              <w:rPr>
                <w:lang w:val="en-GB"/>
              </w:rPr>
              <w:t xml:space="preserve">about </w:t>
            </w:r>
            <w:r w:rsidRPr="00A445AD">
              <w:rPr>
                <w:lang w:val="en-GB"/>
              </w:rPr>
              <w:t>time/ability to include ring services within existing duties</w:t>
            </w:r>
          </w:p>
        </w:tc>
      </w:tr>
      <w:tr w:rsidR="004D6FBC" w:rsidRPr="00D20C32" w14:paraId="624EF184" w14:textId="77777777" w:rsidTr="000B6DFF">
        <w:trPr>
          <w:trHeight w:val="458"/>
        </w:trPr>
        <w:tc>
          <w:tcPr>
            <w:tcW w:w="13230" w:type="dxa"/>
            <w:gridSpan w:val="4"/>
            <w:shd w:val="clear" w:color="auto" w:fill="F4711F" w:themeFill="accent4"/>
          </w:tcPr>
          <w:p w14:paraId="3B87C2F4" w14:textId="7D5A9C80" w:rsidR="00EA292B" w:rsidRPr="008E4FDF" w:rsidRDefault="00EA292B" w:rsidP="00837B5A">
            <w:pPr>
              <w:pStyle w:val="Tablebullets"/>
              <w:numPr>
                <w:ilvl w:val="0"/>
                <w:numId w:val="0"/>
              </w:numPr>
              <w:ind w:left="85"/>
              <w:rPr>
                <w:rFonts w:cs="Arial"/>
                <w:b/>
                <w:bCs w:val="0"/>
                <w:color w:val="FFFFFF"/>
                <w:szCs w:val="20"/>
                <w:lang w:val="en-GB"/>
              </w:rPr>
            </w:pPr>
            <w:r w:rsidRPr="008E4FDF">
              <w:rPr>
                <w:rFonts w:cs="Arial"/>
                <w:b/>
                <w:bCs w:val="0"/>
                <w:color w:val="FFFFFF"/>
                <w:szCs w:val="20"/>
                <w:lang w:val="en-GB"/>
              </w:rPr>
              <w:t>Acceptability Measures: End</w:t>
            </w:r>
            <w:r w:rsidR="00711401" w:rsidRPr="008E4FDF">
              <w:rPr>
                <w:rFonts w:cs="Arial"/>
                <w:b/>
                <w:bCs w:val="0"/>
                <w:color w:val="FFFFFF"/>
                <w:szCs w:val="20"/>
                <w:lang w:val="en-GB"/>
              </w:rPr>
              <w:t>-</w:t>
            </w:r>
            <w:r w:rsidRPr="008E4FDF">
              <w:rPr>
                <w:rFonts w:cs="Arial"/>
                <w:b/>
                <w:bCs w:val="0"/>
                <w:color w:val="FFFFFF"/>
                <w:szCs w:val="20"/>
                <w:lang w:val="en-GB"/>
              </w:rPr>
              <w:t>Users</w:t>
            </w:r>
          </w:p>
        </w:tc>
      </w:tr>
      <w:tr w:rsidR="00EA292B" w:rsidRPr="00D20C32" w14:paraId="0C4B489A" w14:textId="77777777" w:rsidTr="000B6DFF">
        <w:tc>
          <w:tcPr>
            <w:tcW w:w="2340" w:type="dxa"/>
          </w:tcPr>
          <w:p w14:paraId="09943DDB" w14:textId="77777777" w:rsidR="00EA292B" w:rsidRPr="00A445AD" w:rsidRDefault="00EA292B" w:rsidP="00A445AD">
            <w:pPr>
              <w:spacing w:before="0"/>
              <w:rPr>
                <w:lang w:val="en-GB"/>
              </w:rPr>
            </w:pPr>
            <w:r w:rsidRPr="00A445AD">
              <w:rPr>
                <w:lang w:val="en-GB"/>
              </w:rPr>
              <w:t>Uptake: Participants initiating specific PrEP method</w:t>
            </w:r>
          </w:p>
        </w:tc>
        <w:tc>
          <w:tcPr>
            <w:tcW w:w="4590" w:type="dxa"/>
          </w:tcPr>
          <w:p w14:paraId="42E27177" w14:textId="77777777" w:rsidR="00476524" w:rsidRDefault="00EA292B" w:rsidP="00A445AD">
            <w:pPr>
              <w:spacing w:before="0"/>
              <w:rPr>
                <w:lang w:val="en-GB"/>
              </w:rPr>
            </w:pPr>
            <w:r w:rsidRPr="00A445AD">
              <w:rPr>
                <w:lang w:val="en-GB"/>
              </w:rPr>
              <w:t xml:space="preserve"># </w:t>
            </w:r>
            <w:proofErr w:type="gramStart"/>
            <w:r w:rsidR="001B36AB" w:rsidRPr="00A445AD">
              <w:rPr>
                <w:lang w:val="en-GB"/>
              </w:rPr>
              <w:t>c</w:t>
            </w:r>
            <w:r w:rsidR="00D20C32" w:rsidRPr="00A445AD">
              <w:rPr>
                <w:lang w:val="en-GB"/>
              </w:rPr>
              <w:t>onsented</w:t>
            </w:r>
            <w:proofErr w:type="gramEnd"/>
            <w:r w:rsidRPr="00A445AD">
              <w:rPr>
                <w:lang w:val="en-GB"/>
              </w:rPr>
              <w:t xml:space="preserve"> eligible participants </w:t>
            </w:r>
            <w:r w:rsidR="00D20C32" w:rsidRPr="00A445AD">
              <w:rPr>
                <w:lang w:val="en-GB"/>
              </w:rPr>
              <w:t>counselled</w:t>
            </w:r>
            <w:r w:rsidRPr="00A445AD">
              <w:rPr>
                <w:lang w:val="en-GB"/>
              </w:rPr>
              <w:t xml:space="preserve"> who receive oral PrEP pills or the ring (placed by provider)</w:t>
            </w:r>
            <w:r w:rsidR="00B1042A" w:rsidRPr="00A445AD">
              <w:rPr>
                <w:lang w:val="en-GB"/>
              </w:rPr>
              <w:t>;</w:t>
            </w:r>
            <w:r w:rsidRPr="00A445AD">
              <w:rPr>
                <w:lang w:val="en-GB"/>
              </w:rPr>
              <w:t xml:space="preserve"> </w:t>
            </w:r>
            <w:r w:rsidR="00D20C32" w:rsidRPr="00A445AD">
              <w:rPr>
                <w:lang w:val="en-GB"/>
              </w:rPr>
              <w:t>enrolment</w:t>
            </w:r>
            <w:r w:rsidRPr="00A445AD">
              <w:rPr>
                <w:lang w:val="en-GB"/>
              </w:rPr>
              <w:t xml:space="preserve"> interview questions (Annex 3) verified with clinic or pharmacy record</w:t>
            </w:r>
          </w:p>
          <w:p w14:paraId="1715B96D" w14:textId="7D9471E6" w:rsidR="00140E4C" w:rsidRPr="00A445AD" w:rsidRDefault="00140E4C" w:rsidP="00A445AD">
            <w:pPr>
              <w:spacing w:before="0"/>
              <w:rPr>
                <w:lang w:val="en-GB"/>
              </w:rPr>
            </w:pPr>
          </w:p>
        </w:tc>
        <w:tc>
          <w:tcPr>
            <w:tcW w:w="1890" w:type="dxa"/>
          </w:tcPr>
          <w:p w14:paraId="37774D49" w14:textId="4A1A87E0" w:rsidR="00EA292B" w:rsidRPr="00A445AD" w:rsidRDefault="00D20C32" w:rsidP="00A445AD">
            <w:pPr>
              <w:spacing w:before="0"/>
              <w:rPr>
                <w:lang w:val="en-GB"/>
              </w:rPr>
            </w:pPr>
            <w:r w:rsidRPr="00A445AD">
              <w:rPr>
                <w:lang w:val="en-GB"/>
              </w:rPr>
              <w:t>Enrolment</w:t>
            </w:r>
            <w:r w:rsidR="00EA292B" w:rsidRPr="00A445AD">
              <w:rPr>
                <w:lang w:val="en-GB"/>
              </w:rPr>
              <w:t xml:space="preserve"> visit (assume done as exit interview)</w:t>
            </w:r>
          </w:p>
        </w:tc>
        <w:tc>
          <w:tcPr>
            <w:tcW w:w="4410" w:type="dxa"/>
          </w:tcPr>
          <w:p w14:paraId="76DCB651" w14:textId="7347FC54" w:rsidR="00EA292B" w:rsidRPr="00A445AD" w:rsidRDefault="00EA292B" w:rsidP="00A445AD">
            <w:pPr>
              <w:spacing w:before="0"/>
              <w:rPr>
                <w:lang w:val="en-GB"/>
              </w:rPr>
            </w:pPr>
            <w:r w:rsidRPr="00A445AD">
              <w:rPr>
                <w:lang w:val="en-GB"/>
              </w:rPr>
              <w:t>Primary outcome measure for specific method uptake; denominator for continuation/</w:t>
            </w:r>
            <w:r w:rsidR="00F83F14" w:rsidRPr="00A445AD">
              <w:rPr>
                <w:lang w:val="en-GB"/>
              </w:rPr>
              <w:t xml:space="preserve"> </w:t>
            </w:r>
            <w:r w:rsidRPr="00A445AD">
              <w:rPr>
                <w:lang w:val="en-GB"/>
              </w:rPr>
              <w:t>acceptability measures</w:t>
            </w:r>
          </w:p>
        </w:tc>
      </w:tr>
      <w:tr w:rsidR="00EA292B" w:rsidRPr="00D20C32" w14:paraId="7391F054" w14:textId="77777777" w:rsidTr="000B6DFF">
        <w:tc>
          <w:tcPr>
            <w:tcW w:w="2340" w:type="dxa"/>
          </w:tcPr>
          <w:p w14:paraId="3F2CE322" w14:textId="77777777" w:rsidR="00EA292B" w:rsidRPr="00A445AD" w:rsidRDefault="00EA292B" w:rsidP="00A445AD">
            <w:pPr>
              <w:spacing w:before="0"/>
              <w:rPr>
                <w:lang w:val="en-GB"/>
              </w:rPr>
            </w:pPr>
            <w:r w:rsidRPr="00A445AD">
              <w:rPr>
                <w:lang w:val="en-GB"/>
              </w:rPr>
              <w:t>Uptake: Reason for method selection</w:t>
            </w:r>
          </w:p>
        </w:tc>
        <w:tc>
          <w:tcPr>
            <w:tcW w:w="4590" w:type="dxa"/>
          </w:tcPr>
          <w:p w14:paraId="3812691E" w14:textId="77777777" w:rsidR="00EA292B" w:rsidRPr="00A445AD" w:rsidRDefault="00EA292B" w:rsidP="00A445AD">
            <w:pPr>
              <w:spacing w:before="0"/>
              <w:rPr>
                <w:lang w:val="en-GB"/>
              </w:rPr>
            </w:pPr>
            <w:r w:rsidRPr="00A445AD">
              <w:rPr>
                <w:lang w:val="en-GB"/>
              </w:rPr>
              <w:t>Please see Annex 3 for quantitative questions.</w:t>
            </w:r>
          </w:p>
          <w:p w14:paraId="35576E9A" w14:textId="77777777" w:rsidR="00EA292B" w:rsidRPr="00A445AD" w:rsidRDefault="00EA292B" w:rsidP="00A445AD">
            <w:pPr>
              <w:spacing w:before="0"/>
              <w:rPr>
                <w:lang w:val="en-GB"/>
              </w:rPr>
            </w:pPr>
          </w:p>
          <w:p w14:paraId="763AE774" w14:textId="3B9284DA" w:rsidR="00EA292B" w:rsidRPr="00A445AD" w:rsidRDefault="00EA292B" w:rsidP="00A445AD">
            <w:pPr>
              <w:spacing w:before="0"/>
              <w:rPr>
                <w:lang w:val="en-GB"/>
              </w:rPr>
            </w:pPr>
            <w:r w:rsidRPr="00A445AD">
              <w:rPr>
                <w:lang w:val="en-GB"/>
              </w:rPr>
              <w:t xml:space="preserve">In qualitative subsample, ask about why participants selected their specific method </w:t>
            </w:r>
            <w:r w:rsidR="00B1042A" w:rsidRPr="00A445AD">
              <w:rPr>
                <w:lang w:val="en-GB"/>
              </w:rPr>
              <w:t>or</w:t>
            </w:r>
            <w:r w:rsidRPr="00A445AD">
              <w:rPr>
                <w:lang w:val="en-GB"/>
              </w:rPr>
              <w:t xml:space="preserve"> decid</w:t>
            </w:r>
            <w:r w:rsidR="00B1042A" w:rsidRPr="00A445AD">
              <w:rPr>
                <w:lang w:val="en-GB"/>
              </w:rPr>
              <w:t>ed</w:t>
            </w:r>
            <w:r w:rsidRPr="00A445AD">
              <w:rPr>
                <w:lang w:val="en-GB"/>
              </w:rPr>
              <w:t xml:space="preserve"> not to start </w:t>
            </w:r>
            <w:proofErr w:type="spellStart"/>
            <w:r w:rsidRPr="00A445AD">
              <w:rPr>
                <w:lang w:val="en-GB"/>
              </w:rPr>
              <w:t>PrEP</w:t>
            </w:r>
            <w:r w:rsidR="00BF6188" w:rsidRPr="00A445AD">
              <w:rPr>
                <w:lang w:val="en-GB"/>
              </w:rPr>
              <w:t>.</w:t>
            </w:r>
            <w:proofErr w:type="spellEnd"/>
            <w:r w:rsidRPr="00A445AD">
              <w:rPr>
                <w:lang w:val="en-GB"/>
              </w:rPr>
              <w:t xml:space="preserve"> </w:t>
            </w:r>
          </w:p>
        </w:tc>
        <w:tc>
          <w:tcPr>
            <w:tcW w:w="1890" w:type="dxa"/>
          </w:tcPr>
          <w:p w14:paraId="4CCE415B" w14:textId="6DD99F8E" w:rsidR="00EA292B" w:rsidRPr="00A445AD" w:rsidRDefault="00D20C32" w:rsidP="00A445AD">
            <w:pPr>
              <w:spacing w:before="0"/>
              <w:rPr>
                <w:lang w:val="en-GB"/>
              </w:rPr>
            </w:pPr>
            <w:r w:rsidRPr="00A445AD">
              <w:rPr>
                <w:lang w:val="en-GB"/>
              </w:rPr>
              <w:t>Enrolment</w:t>
            </w:r>
            <w:r w:rsidR="00EA292B" w:rsidRPr="00A445AD">
              <w:rPr>
                <w:lang w:val="en-GB"/>
              </w:rPr>
              <w:t xml:space="preserve"> visit </w:t>
            </w:r>
            <w:r w:rsidR="00BC2EBA" w:rsidRPr="00A445AD">
              <w:rPr>
                <w:lang w:val="en-GB"/>
              </w:rPr>
              <w:t>[</w:t>
            </w:r>
            <w:r w:rsidR="00EA292B" w:rsidRPr="00A445AD">
              <w:rPr>
                <w:lang w:val="en-GB"/>
              </w:rPr>
              <w:t>assume done as exit interview</w:t>
            </w:r>
            <w:r w:rsidR="00BC2EBA" w:rsidRPr="00A445AD">
              <w:rPr>
                <w:lang w:val="en-GB"/>
              </w:rPr>
              <w:t>]</w:t>
            </w:r>
          </w:p>
        </w:tc>
        <w:tc>
          <w:tcPr>
            <w:tcW w:w="4410" w:type="dxa"/>
          </w:tcPr>
          <w:p w14:paraId="1FAE0F69" w14:textId="21784BCB" w:rsidR="00EA292B" w:rsidRPr="00A445AD" w:rsidRDefault="00B1042A" w:rsidP="00A445AD">
            <w:pPr>
              <w:spacing w:before="0"/>
              <w:rPr>
                <w:lang w:val="en-GB"/>
              </w:rPr>
            </w:pPr>
            <w:r w:rsidRPr="00A445AD">
              <w:rPr>
                <w:lang w:val="en-GB"/>
              </w:rPr>
              <w:t>To provide c</w:t>
            </w:r>
            <w:r w:rsidR="00EA292B" w:rsidRPr="00A445AD">
              <w:rPr>
                <w:lang w:val="en-GB"/>
              </w:rPr>
              <w:t>ontext for method uptake and set baseline for determining acceptable features that are sustained over time</w:t>
            </w:r>
          </w:p>
        </w:tc>
      </w:tr>
      <w:tr w:rsidR="00EA292B" w:rsidRPr="00D20C32" w14:paraId="294FAA49" w14:textId="77777777" w:rsidTr="000B6DFF">
        <w:tc>
          <w:tcPr>
            <w:tcW w:w="2340" w:type="dxa"/>
          </w:tcPr>
          <w:p w14:paraId="40BDC7C4" w14:textId="77777777" w:rsidR="00EA292B" w:rsidRPr="00A445AD" w:rsidRDefault="00EA292B" w:rsidP="00A445AD">
            <w:pPr>
              <w:spacing w:before="0"/>
              <w:rPr>
                <w:lang w:val="en-GB"/>
              </w:rPr>
            </w:pPr>
            <w:r w:rsidRPr="00A445AD">
              <w:rPr>
                <w:lang w:val="en-GB"/>
              </w:rPr>
              <w:t xml:space="preserve">Continuation: Participants using PrEP method selected at study entry through cohort period </w:t>
            </w:r>
          </w:p>
        </w:tc>
        <w:tc>
          <w:tcPr>
            <w:tcW w:w="4590" w:type="dxa"/>
          </w:tcPr>
          <w:p w14:paraId="4BA590C8" w14:textId="1F0079A6" w:rsidR="00EA292B" w:rsidRPr="00A445AD" w:rsidRDefault="00EA292B" w:rsidP="00A445AD">
            <w:pPr>
              <w:spacing w:before="0"/>
              <w:rPr>
                <w:lang w:val="en-GB"/>
              </w:rPr>
            </w:pPr>
            <w:r w:rsidRPr="00A445AD">
              <w:rPr>
                <w:lang w:val="en-GB"/>
              </w:rPr>
              <w:t xml:space="preserve"># </w:t>
            </w:r>
            <w:proofErr w:type="gramStart"/>
            <w:r w:rsidRPr="00A445AD">
              <w:rPr>
                <w:lang w:val="en-GB"/>
              </w:rPr>
              <w:t>participants</w:t>
            </w:r>
            <w:proofErr w:type="gramEnd"/>
            <w:r w:rsidRPr="00A445AD">
              <w:rPr>
                <w:lang w:val="en-GB"/>
              </w:rPr>
              <w:t xml:space="preserve"> reporting </w:t>
            </w:r>
            <w:r w:rsidR="00B1042A" w:rsidRPr="00A445AD">
              <w:rPr>
                <w:lang w:val="en-GB"/>
              </w:rPr>
              <w:t xml:space="preserve">use of </w:t>
            </w:r>
            <w:r w:rsidRPr="00A445AD">
              <w:rPr>
                <w:lang w:val="en-GB"/>
              </w:rPr>
              <w:t>initial PrEP method at follow-up visits with pharmacy record verification/total # initiating that method</w:t>
            </w:r>
          </w:p>
        </w:tc>
        <w:tc>
          <w:tcPr>
            <w:tcW w:w="1890" w:type="dxa"/>
          </w:tcPr>
          <w:p w14:paraId="29B015AF" w14:textId="77777777" w:rsidR="00EA292B" w:rsidRPr="00A445AD" w:rsidRDefault="00EA292B" w:rsidP="00A445AD">
            <w:pPr>
              <w:spacing w:before="0"/>
              <w:rPr>
                <w:lang w:val="en-GB"/>
              </w:rPr>
            </w:pPr>
            <w:r w:rsidRPr="00A445AD">
              <w:rPr>
                <w:lang w:val="en-GB"/>
              </w:rPr>
              <w:t>All follow-up visits</w:t>
            </w:r>
          </w:p>
        </w:tc>
        <w:tc>
          <w:tcPr>
            <w:tcW w:w="4410" w:type="dxa"/>
          </w:tcPr>
          <w:p w14:paraId="633CA9EC" w14:textId="77777777" w:rsidR="00EA292B" w:rsidRPr="00A445AD" w:rsidRDefault="00EA292B" w:rsidP="00A445AD">
            <w:pPr>
              <w:spacing w:before="0"/>
              <w:rPr>
                <w:lang w:val="en-GB"/>
              </w:rPr>
            </w:pPr>
            <w:r w:rsidRPr="00A445AD">
              <w:rPr>
                <w:lang w:val="en-GB"/>
              </w:rPr>
              <w:t xml:space="preserve">Primary outcome measure for acceptability; disaggregate by method, target group, prior oral PrEP use, and province </w:t>
            </w:r>
          </w:p>
        </w:tc>
      </w:tr>
      <w:tr w:rsidR="00B41FB9" w:rsidRPr="00D20C32" w14:paraId="14E8F724" w14:textId="77777777" w:rsidTr="004950A2">
        <w:trPr>
          <w:trHeight w:val="710"/>
        </w:trPr>
        <w:tc>
          <w:tcPr>
            <w:tcW w:w="2340" w:type="dxa"/>
            <w:shd w:val="clear" w:color="auto" w:fill="FCE2D2" w:themeFill="accent4" w:themeFillTint="33"/>
          </w:tcPr>
          <w:p w14:paraId="3B14E1A5" w14:textId="77777777" w:rsidR="00B41FB9" w:rsidRPr="008E4FDF" w:rsidRDefault="00B41FB9" w:rsidP="004950A2">
            <w:pPr>
              <w:pStyle w:val="Tableheader"/>
              <w:ind w:left="180"/>
              <w:rPr>
                <w:rStyle w:val="Heading1Char"/>
                <w:rFonts w:eastAsiaTheme="minorEastAsia" w:cs="Arial"/>
                <w:b w:val="0"/>
                <w:bCs/>
                <w:noProof w:val="0"/>
                <w:sz w:val="20"/>
                <w:szCs w:val="20"/>
                <w:lang w:val="en-GB"/>
              </w:rPr>
            </w:pPr>
            <w:r w:rsidRPr="008E4FDF">
              <w:rPr>
                <w:rFonts w:cs="Arial"/>
                <w:szCs w:val="20"/>
                <w:lang w:val="en-GB"/>
              </w:rPr>
              <w:lastRenderedPageBreak/>
              <w:t>Required outcome measures</w:t>
            </w:r>
          </w:p>
        </w:tc>
        <w:tc>
          <w:tcPr>
            <w:tcW w:w="4590" w:type="dxa"/>
            <w:shd w:val="clear" w:color="auto" w:fill="FCE2D2" w:themeFill="accent4" w:themeFillTint="33"/>
          </w:tcPr>
          <w:p w14:paraId="2B213BF4" w14:textId="77777777" w:rsidR="00B41FB9" w:rsidRPr="008E4FDF" w:rsidRDefault="00B41FB9" w:rsidP="004950A2">
            <w:pPr>
              <w:pStyle w:val="Tableheader"/>
              <w:ind w:left="180"/>
              <w:rPr>
                <w:rStyle w:val="Heading1Char"/>
                <w:rFonts w:cs="Arial"/>
                <w:b w:val="0"/>
                <w:bCs/>
                <w:noProof w:val="0"/>
                <w:sz w:val="20"/>
                <w:szCs w:val="20"/>
                <w:lang w:val="en-GB"/>
              </w:rPr>
            </w:pPr>
            <w:r w:rsidRPr="008E4FDF">
              <w:rPr>
                <w:rFonts w:cs="Arial"/>
                <w:szCs w:val="20"/>
                <w:lang w:val="en-GB"/>
              </w:rPr>
              <w:t>How measured?</w:t>
            </w:r>
          </w:p>
        </w:tc>
        <w:tc>
          <w:tcPr>
            <w:tcW w:w="1890" w:type="dxa"/>
            <w:shd w:val="clear" w:color="auto" w:fill="FCE2D2" w:themeFill="accent4" w:themeFillTint="33"/>
          </w:tcPr>
          <w:p w14:paraId="3505BE48" w14:textId="77777777" w:rsidR="00B41FB9" w:rsidRPr="00D20C32" w:rsidRDefault="00B41FB9" w:rsidP="004950A2">
            <w:pPr>
              <w:pStyle w:val="Tableheader"/>
              <w:ind w:left="180"/>
              <w:rPr>
                <w:rFonts w:cs="Arial"/>
                <w:b w:val="0"/>
                <w:bCs w:val="0"/>
                <w:szCs w:val="20"/>
                <w:lang w:val="en-GB"/>
              </w:rPr>
            </w:pPr>
            <w:r w:rsidRPr="00D20C32">
              <w:rPr>
                <w:rFonts w:cs="Arial"/>
                <w:szCs w:val="20"/>
                <w:lang w:val="en-GB"/>
              </w:rPr>
              <w:t>When measured?</w:t>
            </w:r>
          </w:p>
        </w:tc>
        <w:tc>
          <w:tcPr>
            <w:tcW w:w="4410" w:type="dxa"/>
            <w:shd w:val="clear" w:color="auto" w:fill="FCE2D2" w:themeFill="accent4" w:themeFillTint="33"/>
          </w:tcPr>
          <w:p w14:paraId="3861A44D" w14:textId="77777777" w:rsidR="00B41FB9" w:rsidRPr="00D20C32" w:rsidRDefault="00B41FB9" w:rsidP="004950A2">
            <w:pPr>
              <w:pStyle w:val="Tableheader"/>
              <w:ind w:left="180"/>
              <w:rPr>
                <w:rFonts w:cs="Arial"/>
                <w:b w:val="0"/>
                <w:bCs w:val="0"/>
                <w:szCs w:val="20"/>
                <w:lang w:val="en-GB"/>
              </w:rPr>
            </w:pPr>
            <w:r w:rsidRPr="00D20C32">
              <w:rPr>
                <w:rFonts w:cs="Arial"/>
                <w:szCs w:val="20"/>
                <w:lang w:val="en-GB"/>
              </w:rPr>
              <w:t>Role in analysis?</w:t>
            </w:r>
          </w:p>
        </w:tc>
      </w:tr>
      <w:tr w:rsidR="00B41FB9" w:rsidRPr="00D20C32" w14:paraId="1493BD31" w14:textId="77777777" w:rsidTr="004950A2">
        <w:trPr>
          <w:trHeight w:val="458"/>
        </w:trPr>
        <w:tc>
          <w:tcPr>
            <w:tcW w:w="13230" w:type="dxa"/>
            <w:gridSpan w:val="4"/>
            <w:shd w:val="clear" w:color="auto" w:fill="F4711F" w:themeFill="accent4"/>
          </w:tcPr>
          <w:p w14:paraId="2315C0D7" w14:textId="748BA979" w:rsidR="00B41FB9" w:rsidRPr="008E4FDF" w:rsidRDefault="00B41FB9" w:rsidP="004950A2">
            <w:pPr>
              <w:pStyle w:val="Tablebullets"/>
              <w:numPr>
                <w:ilvl w:val="0"/>
                <w:numId w:val="0"/>
              </w:numPr>
              <w:ind w:left="85"/>
              <w:rPr>
                <w:rFonts w:cs="Arial"/>
                <w:b/>
                <w:bCs w:val="0"/>
                <w:color w:val="FFFFFF"/>
                <w:szCs w:val="20"/>
                <w:lang w:val="en-GB"/>
              </w:rPr>
            </w:pPr>
            <w:r w:rsidRPr="008E4FDF">
              <w:rPr>
                <w:rFonts w:cs="Arial"/>
                <w:b/>
                <w:bCs w:val="0"/>
                <w:color w:val="FFFFFF"/>
                <w:szCs w:val="20"/>
                <w:lang w:val="en-GB"/>
              </w:rPr>
              <w:t>Acceptability Measures: End-Users</w:t>
            </w:r>
            <w:r>
              <w:rPr>
                <w:rFonts w:cs="Arial"/>
                <w:b/>
                <w:bCs w:val="0"/>
                <w:color w:val="FFFFFF"/>
                <w:szCs w:val="20"/>
                <w:lang w:val="en-GB"/>
              </w:rPr>
              <w:t xml:space="preserve"> (continued)</w:t>
            </w:r>
          </w:p>
        </w:tc>
      </w:tr>
      <w:tr w:rsidR="00EA292B" w:rsidRPr="00D20C32" w14:paraId="4B7DFF64" w14:textId="77777777" w:rsidTr="000B6DFF">
        <w:tc>
          <w:tcPr>
            <w:tcW w:w="2340" w:type="dxa"/>
          </w:tcPr>
          <w:p w14:paraId="70448D68" w14:textId="77777777" w:rsidR="00EA292B" w:rsidRPr="00A445AD" w:rsidRDefault="00EA292B" w:rsidP="00A445AD">
            <w:pPr>
              <w:spacing w:before="0"/>
              <w:rPr>
                <w:lang w:val="en-GB"/>
              </w:rPr>
            </w:pPr>
            <w:r w:rsidRPr="00A445AD">
              <w:rPr>
                <w:lang w:val="en-GB"/>
              </w:rPr>
              <w:t>Use patterns as part of continuation: Participants modifying PrEP use based on perceived risk or opportunity cost</w:t>
            </w:r>
          </w:p>
        </w:tc>
        <w:tc>
          <w:tcPr>
            <w:tcW w:w="4590" w:type="dxa"/>
          </w:tcPr>
          <w:p w14:paraId="10F1B549" w14:textId="77777777" w:rsidR="00EA292B" w:rsidRPr="00A445AD" w:rsidRDefault="00EA292B" w:rsidP="00A445AD">
            <w:pPr>
              <w:spacing w:before="0"/>
              <w:rPr>
                <w:lang w:val="en-GB"/>
              </w:rPr>
            </w:pPr>
            <w:r w:rsidRPr="00A445AD">
              <w:rPr>
                <w:lang w:val="en-GB"/>
              </w:rPr>
              <w:t>Please see Annex 3 for quantitative questions.</w:t>
            </w:r>
          </w:p>
          <w:p w14:paraId="23C47794" w14:textId="77777777" w:rsidR="00EA292B" w:rsidRPr="00A445AD" w:rsidRDefault="00EA292B" w:rsidP="00A445AD">
            <w:pPr>
              <w:spacing w:before="0"/>
              <w:rPr>
                <w:lang w:val="en-GB"/>
              </w:rPr>
            </w:pPr>
            <w:r w:rsidRPr="00A445AD">
              <w:rPr>
                <w:lang w:val="en-GB"/>
              </w:rPr>
              <w:t xml:space="preserve"> </w:t>
            </w:r>
          </w:p>
          <w:p w14:paraId="432C3C3C" w14:textId="39E7B44D" w:rsidR="00EA292B" w:rsidRPr="00A445AD" w:rsidRDefault="00EA292B" w:rsidP="00A445AD">
            <w:pPr>
              <w:spacing w:before="0"/>
              <w:rPr>
                <w:lang w:val="en-GB"/>
              </w:rPr>
            </w:pPr>
            <w:r w:rsidRPr="00A445AD">
              <w:rPr>
                <w:lang w:val="en-GB"/>
              </w:rPr>
              <w:t>Include qualitative subset to probe reasons for intermittent use</w:t>
            </w:r>
            <w:r w:rsidR="007572EB" w:rsidRPr="00A445AD">
              <w:rPr>
                <w:lang w:val="en-GB"/>
              </w:rPr>
              <w:t>.</w:t>
            </w:r>
          </w:p>
        </w:tc>
        <w:tc>
          <w:tcPr>
            <w:tcW w:w="1890" w:type="dxa"/>
          </w:tcPr>
          <w:p w14:paraId="130FB0FA" w14:textId="77777777" w:rsidR="00EA292B" w:rsidRPr="00A445AD" w:rsidRDefault="00EA292B" w:rsidP="00A445AD">
            <w:pPr>
              <w:spacing w:before="0"/>
              <w:rPr>
                <w:lang w:val="en-GB"/>
              </w:rPr>
            </w:pPr>
            <w:r w:rsidRPr="00A445AD">
              <w:rPr>
                <w:lang w:val="en-GB"/>
              </w:rPr>
              <w:t>All follow-up visits</w:t>
            </w:r>
          </w:p>
        </w:tc>
        <w:tc>
          <w:tcPr>
            <w:tcW w:w="4410" w:type="dxa"/>
          </w:tcPr>
          <w:p w14:paraId="5C051EDE" w14:textId="44656545" w:rsidR="00EA292B" w:rsidRPr="00A445AD" w:rsidRDefault="0283C7B3" w:rsidP="00A445AD">
            <w:pPr>
              <w:spacing w:before="0"/>
              <w:rPr>
                <w:lang w:val="en-GB"/>
              </w:rPr>
            </w:pPr>
            <w:r w:rsidRPr="00A445AD">
              <w:rPr>
                <w:lang w:val="en-GB"/>
              </w:rPr>
              <w:t>T</w:t>
            </w:r>
            <w:r w:rsidR="4361180D" w:rsidRPr="00A445AD">
              <w:rPr>
                <w:lang w:val="en-GB"/>
              </w:rPr>
              <w:t>o characteri</w:t>
            </w:r>
            <w:r w:rsidR="60A1A4B1" w:rsidRPr="00A445AD">
              <w:rPr>
                <w:lang w:val="en-GB"/>
              </w:rPr>
              <w:t>s</w:t>
            </w:r>
            <w:r w:rsidR="4361180D" w:rsidRPr="00A445AD">
              <w:rPr>
                <w:lang w:val="en-GB"/>
              </w:rPr>
              <w:t xml:space="preserve">e use patterns as part of acceptability and to inform adherence support; exploratory analyses of barriers to continuation </w:t>
            </w:r>
          </w:p>
        </w:tc>
      </w:tr>
      <w:tr w:rsidR="00EA292B" w:rsidRPr="00D20C32" w14:paraId="792954FC" w14:textId="77777777" w:rsidTr="000B6DFF">
        <w:tc>
          <w:tcPr>
            <w:tcW w:w="2340" w:type="dxa"/>
          </w:tcPr>
          <w:p w14:paraId="3BBB89E0" w14:textId="77777777" w:rsidR="00EA292B" w:rsidRPr="00A445AD" w:rsidRDefault="00EA292B" w:rsidP="00A445AD">
            <w:pPr>
              <w:spacing w:before="0"/>
              <w:rPr>
                <w:lang w:val="en-GB"/>
              </w:rPr>
            </w:pPr>
            <w:r w:rsidRPr="00A445AD">
              <w:rPr>
                <w:lang w:val="en-GB"/>
              </w:rPr>
              <w:t xml:space="preserve">Switching: Participants changing from one PrEP method to another </w:t>
            </w:r>
          </w:p>
        </w:tc>
        <w:tc>
          <w:tcPr>
            <w:tcW w:w="4590" w:type="dxa"/>
          </w:tcPr>
          <w:p w14:paraId="24A53B75" w14:textId="2B32D687" w:rsidR="00EA292B" w:rsidRPr="00A445AD" w:rsidRDefault="00EA292B" w:rsidP="00A445AD">
            <w:pPr>
              <w:spacing w:before="0"/>
              <w:rPr>
                <w:lang w:val="en-GB"/>
              </w:rPr>
            </w:pPr>
            <w:r w:rsidRPr="00A445AD">
              <w:rPr>
                <w:lang w:val="en-GB"/>
              </w:rPr>
              <w:t xml:space="preserve"># </w:t>
            </w:r>
            <w:proofErr w:type="gramStart"/>
            <w:r w:rsidRPr="00A445AD">
              <w:rPr>
                <w:lang w:val="en-GB"/>
              </w:rPr>
              <w:t>participants</w:t>
            </w:r>
            <w:proofErr w:type="gramEnd"/>
            <w:r w:rsidRPr="00A445AD">
              <w:rPr>
                <w:lang w:val="en-GB"/>
              </w:rPr>
              <w:t xml:space="preserve"> requesting and changed from PrEP method initiated at </w:t>
            </w:r>
            <w:r w:rsidR="00D20C32" w:rsidRPr="00A445AD">
              <w:rPr>
                <w:lang w:val="en-GB"/>
              </w:rPr>
              <w:t>enrolment</w:t>
            </w:r>
            <w:r w:rsidRPr="00A445AD">
              <w:rPr>
                <w:lang w:val="en-GB"/>
              </w:rPr>
              <w:t xml:space="preserve"> to new method with pharmacy record verification/# total new PrEP users</w:t>
            </w:r>
          </w:p>
          <w:p w14:paraId="396B0EA8" w14:textId="7535B980" w:rsidR="00EA292B" w:rsidRPr="00A445AD" w:rsidRDefault="00EA292B" w:rsidP="00A445AD">
            <w:pPr>
              <w:spacing w:before="0"/>
              <w:rPr>
                <w:lang w:val="en-GB"/>
              </w:rPr>
            </w:pPr>
            <w:r w:rsidRPr="00A445AD">
              <w:rPr>
                <w:lang w:val="en-GB"/>
              </w:rPr>
              <w:t xml:space="preserve">Please see </w:t>
            </w:r>
            <w:r w:rsidR="00732AEC" w:rsidRPr="00A445AD">
              <w:rPr>
                <w:lang w:val="en-GB"/>
              </w:rPr>
              <w:t>A</w:t>
            </w:r>
            <w:r w:rsidRPr="00A445AD">
              <w:rPr>
                <w:lang w:val="en-GB"/>
              </w:rPr>
              <w:t>nnex 3 for quantitative</w:t>
            </w:r>
          </w:p>
          <w:p w14:paraId="009DF04A" w14:textId="77777777" w:rsidR="00EA292B" w:rsidRDefault="00EA292B" w:rsidP="00A445AD">
            <w:pPr>
              <w:spacing w:before="0"/>
              <w:rPr>
                <w:lang w:val="en-GB"/>
              </w:rPr>
            </w:pPr>
            <w:r w:rsidRPr="00A445AD">
              <w:rPr>
                <w:lang w:val="en-GB"/>
              </w:rPr>
              <w:t xml:space="preserve">questions; probe reasons for switching in qualitative subsample. </w:t>
            </w:r>
          </w:p>
          <w:p w14:paraId="5B1E232A" w14:textId="0427A97E" w:rsidR="00140E4C" w:rsidRPr="00A445AD" w:rsidRDefault="00140E4C" w:rsidP="00A445AD">
            <w:pPr>
              <w:spacing w:before="0"/>
              <w:rPr>
                <w:lang w:val="en-GB"/>
              </w:rPr>
            </w:pPr>
          </w:p>
        </w:tc>
        <w:tc>
          <w:tcPr>
            <w:tcW w:w="1890" w:type="dxa"/>
          </w:tcPr>
          <w:p w14:paraId="2E37DDD2" w14:textId="77777777" w:rsidR="00EA292B" w:rsidRPr="00A445AD" w:rsidRDefault="00EA292B" w:rsidP="00A445AD">
            <w:pPr>
              <w:spacing w:before="0"/>
              <w:rPr>
                <w:lang w:val="en-GB"/>
              </w:rPr>
            </w:pPr>
            <w:r w:rsidRPr="00A445AD">
              <w:rPr>
                <w:lang w:val="en-GB"/>
              </w:rPr>
              <w:t>All scheduled and ad hoc follow-up visits</w:t>
            </w:r>
          </w:p>
        </w:tc>
        <w:tc>
          <w:tcPr>
            <w:tcW w:w="4410" w:type="dxa"/>
          </w:tcPr>
          <w:p w14:paraId="304599C8" w14:textId="59FE948B" w:rsidR="00EA292B" w:rsidRPr="00A445AD" w:rsidRDefault="00EA292B" w:rsidP="00A445AD">
            <w:pPr>
              <w:spacing w:before="0"/>
              <w:rPr>
                <w:lang w:val="en-GB"/>
              </w:rPr>
            </w:pPr>
            <w:r w:rsidRPr="00A445AD">
              <w:rPr>
                <w:lang w:val="en-GB"/>
              </w:rPr>
              <w:t>Acceptability outcome; disaggregate by method, target group, and province</w:t>
            </w:r>
          </w:p>
        </w:tc>
      </w:tr>
      <w:tr w:rsidR="00EA292B" w:rsidRPr="00D20C32" w14:paraId="777BA92E" w14:textId="77777777" w:rsidTr="000B6DFF">
        <w:tc>
          <w:tcPr>
            <w:tcW w:w="2340" w:type="dxa"/>
          </w:tcPr>
          <w:p w14:paraId="41AE44C1" w14:textId="77777777" w:rsidR="00EA292B" w:rsidRPr="00A445AD" w:rsidRDefault="00EA292B" w:rsidP="00A445AD">
            <w:pPr>
              <w:spacing w:before="0"/>
              <w:rPr>
                <w:lang w:val="en-GB"/>
              </w:rPr>
            </w:pPr>
            <w:r w:rsidRPr="00A445AD">
              <w:rPr>
                <w:lang w:val="en-GB"/>
              </w:rPr>
              <w:t>Acceptability: Participant perceived acceptability, partner acceptance, and would recommend to friend</w:t>
            </w:r>
          </w:p>
        </w:tc>
        <w:tc>
          <w:tcPr>
            <w:tcW w:w="4590" w:type="dxa"/>
          </w:tcPr>
          <w:p w14:paraId="543C8421" w14:textId="72B3D4C5" w:rsidR="00EA292B" w:rsidRPr="00A445AD" w:rsidRDefault="00EA292B" w:rsidP="00A445AD">
            <w:pPr>
              <w:spacing w:before="0"/>
              <w:rPr>
                <w:lang w:val="en-GB"/>
              </w:rPr>
            </w:pPr>
            <w:r w:rsidRPr="00A445AD">
              <w:rPr>
                <w:lang w:val="en-GB"/>
              </w:rPr>
              <w:t>Proposed quantitative questions are in Annex 3.</w:t>
            </w:r>
          </w:p>
          <w:p w14:paraId="638BC4DD" w14:textId="006F1A53" w:rsidR="00EA292B" w:rsidRPr="00A445AD" w:rsidRDefault="00EA292B" w:rsidP="00A445AD">
            <w:pPr>
              <w:spacing w:before="0"/>
              <w:rPr>
                <w:lang w:val="en-GB"/>
              </w:rPr>
            </w:pPr>
            <w:r w:rsidRPr="00A445AD">
              <w:rPr>
                <w:lang w:val="en-GB"/>
              </w:rPr>
              <w:t xml:space="preserve">Please see Annex 2 for alternative question structure if </w:t>
            </w:r>
            <w:r w:rsidR="00B1042A" w:rsidRPr="00A445AD">
              <w:rPr>
                <w:lang w:val="en-GB"/>
              </w:rPr>
              <w:t xml:space="preserve">you </w:t>
            </w:r>
            <w:r w:rsidRPr="00A445AD">
              <w:rPr>
                <w:lang w:val="en-GB"/>
              </w:rPr>
              <w:t>anticipate following end</w:t>
            </w:r>
            <w:r w:rsidR="001A312D" w:rsidRPr="00A445AD">
              <w:rPr>
                <w:lang w:val="en-GB"/>
              </w:rPr>
              <w:t>-</w:t>
            </w:r>
            <w:r w:rsidRPr="00A445AD">
              <w:rPr>
                <w:lang w:val="en-GB"/>
              </w:rPr>
              <w:t xml:space="preserve">users who decline PrEP use or </w:t>
            </w:r>
            <w:r w:rsidR="00BF6188" w:rsidRPr="00A445AD">
              <w:rPr>
                <w:lang w:val="en-GB"/>
              </w:rPr>
              <w:t xml:space="preserve">having </w:t>
            </w:r>
            <w:r w:rsidRPr="00A445AD">
              <w:rPr>
                <w:lang w:val="en-GB"/>
              </w:rPr>
              <w:t xml:space="preserve">high discontinuation rates. </w:t>
            </w:r>
          </w:p>
        </w:tc>
        <w:tc>
          <w:tcPr>
            <w:tcW w:w="1890" w:type="dxa"/>
          </w:tcPr>
          <w:p w14:paraId="040C46BA" w14:textId="77777777" w:rsidR="00EA292B" w:rsidRPr="00A445AD" w:rsidRDefault="00EA292B" w:rsidP="00A445AD">
            <w:pPr>
              <w:spacing w:before="0"/>
              <w:rPr>
                <w:lang w:val="en-GB"/>
              </w:rPr>
            </w:pPr>
            <w:r w:rsidRPr="00A445AD">
              <w:rPr>
                <w:lang w:val="en-GB"/>
              </w:rPr>
              <w:t>All follow-up visits</w:t>
            </w:r>
          </w:p>
        </w:tc>
        <w:tc>
          <w:tcPr>
            <w:tcW w:w="4410" w:type="dxa"/>
          </w:tcPr>
          <w:p w14:paraId="66020B62" w14:textId="02CDEB30" w:rsidR="00EA292B" w:rsidRPr="00A445AD" w:rsidRDefault="00EA292B" w:rsidP="00A445AD">
            <w:pPr>
              <w:spacing w:before="0"/>
              <w:rPr>
                <w:lang w:val="en-GB"/>
              </w:rPr>
            </w:pPr>
            <w:r w:rsidRPr="00A445AD">
              <w:rPr>
                <w:lang w:val="en-GB"/>
              </w:rPr>
              <w:t xml:space="preserve">Mean/median scores; disaggregate by method, age, target group, prior oral PrEP use, and province </w:t>
            </w:r>
          </w:p>
        </w:tc>
      </w:tr>
      <w:tr w:rsidR="00EA292B" w:rsidRPr="00D20C32" w14:paraId="01D5AFFB" w14:textId="77777777" w:rsidTr="000B6DFF">
        <w:tc>
          <w:tcPr>
            <w:tcW w:w="2340" w:type="dxa"/>
          </w:tcPr>
          <w:p w14:paraId="5E165035" w14:textId="77777777" w:rsidR="00EA292B" w:rsidRPr="00A445AD" w:rsidRDefault="00EA292B" w:rsidP="00A445AD">
            <w:pPr>
              <w:spacing w:before="0"/>
              <w:rPr>
                <w:lang w:val="en-GB"/>
              </w:rPr>
            </w:pPr>
            <w:r w:rsidRPr="00A445AD">
              <w:rPr>
                <w:lang w:val="en-GB"/>
              </w:rPr>
              <w:t>Acceptability: Discontinuation and reasons for discontinuing PrEP</w:t>
            </w:r>
          </w:p>
        </w:tc>
        <w:tc>
          <w:tcPr>
            <w:tcW w:w="4590" w:type="dxa"/>
          </w:tcPr>
          <w:p w14:paraId="190FDCE5" w14:textId="77777777" w:rsidR="00EA292B" w:rsidRPr="00A445AD" w:rsidRDefault="00EA292B" w:rsidP="00A445AD">
            <w:pPr>
              <w:spacing w:before="0"/>
              <w:rPr>
                <w:lang w:val="en-GB"/>
              </w:rPr>
            </w:pPr>
            <w:r w:rsidRPr="00A445AD">
              <w:rPr>
                <w:lang w:val="en-GB"/>
              </w:rPr>
              <w:t xml:space="preserve">Please see Annex 3 for quantitative questions.  </w:t>
            </w:r>
          </w:p>
          <w:p w14:paraId="1099F64A" w14:textId="77777777" w:rsidR="00EA292B" w:rsidRPr="00A445AD" w:rsidRDefault="00EA292B" w:rsidP="00A445AD">
            <w:pPr>
              <w:spacing w:before="0"/>
              <w:rPr>
                <w:lang w:val="en-GB"/>
              </w:rPr>
            </w:pPr>
          </w:p>
          <w:p w14:paraId="7D8A3817" w14:textId="30C444AA" w:rsidR="00EA292B" w:rsidRPr="00A445AD" w:rsidRDefault="00EA292B" w:rsidP="00A445AD">
            <w:pPr>
              <w:spacing w:before="0"/>
              <w:rPr>
                <w:lang w:val="en-GB"/>
              </w:rPr>
            </w:pPr>
            <w:r w:rsidRPr="00A445AD">
              <w:rPr>
                <w:lang w:val="en-GB"/>
              </w:rPr>
              <w:t xml:space="preserve">Probe reasons for discontinuation in in-depth interviews </w:t>
            </w:r>
            <w:r w:rsidR="00B1042A" w:rsidRPr="00A445AD">
              <w:rPr>
                <w:lang w:val="en-GB"/>
              </w:rPr>
              <w:t>am</w:t>
            </w:r>
            <w:r w:rsidRPr="00A445AD">
              <w:rPr>
                <w:lang w:val="en-GB"/>
              </w:rPr>
              <w:t>on</w:t>
            </w:r>
            <w:r w:rsidR="00B1042A" w:rsidRPr="00A445AD">
              <w:rPr>
                <w:lang w:val="en-GB"/>
              </w:rPr>
              <w:t>g a</w:t>
            </w:r>
            <w:r w:rsidRPr="00A445AD">
              <w:rPr>
                <w:lang w:val="en-GB"/>
              </w:rPr>
              <w:t xml:space="preserve"> subsample of those discontinuing PrEP and those switching methods.</w:t>
            </w:r>
          </w:p>
        </w:tc>
        <w:tc>
          <w:tcPr>
            <w:tcW w:w="1890" w:type="dxa"/>
          </w:tcPr>
          <w:p w14:paraId="3A96C7F0" w14:textId="77777777" w:rsidR="00EA292B" w:rsidRPr="00A445AD" w:rsidRDefault="00EA292B" w:rsidP="00A445AD">
            <w:pPr>
              <w:spacing w:before="0"/>
              <w:rPr>
                <w:lang w:val="en-GB"/>
              </w:rPr>
            </w:pPr>
            <w:r w:rsidRPr="00A445AD">
              <w:rPr>
                <w:lang w:val="en-GB"/>
              </w:rPr>
              <w:t>Visit where discontinuation requested/ reported</w:t>
            </w:r>
          </w:p>
        </w:tc>
        <w:tc>
          <w:tcPr>
            <w:tcW w:w="4410" w:type="dxa"/>
          </w:tcPr>
          <w:p w14:paraId="45810626" w14:textId="15718F18" w:rsidR="00EA292B" w:rsidRPr="00A445AD" w:rsidRDefault="00EA292B" w:rsidP="00A445AD">
            <w:pPr>
              <w:spacing w:before="0"/>
              <w:rPr>
                <w:lang w:val="en-GB"/>
              </w:rPr>
            </w:pPr>
            <w:r w:rsidRPr="00A445AD">
              <w:rPr>
                <w:lang w:val="en-GB"/>
              </w:rPr>
              <w:t xml:space="preserve">Comparison by original method; self-reported length of use; disaggregate by age and target group, prior oral PrEP use, </w:t>
            </w:r>
            <w:r w:rsidR="000E331A" w:rsidRPr="00A445AD">
              <w:rPr>
                <w:lang w:val="en-GB"/>
              </w:rPr>
              <w:t xml:space="preserve">and </w:t>
            </w:r>
            <w:r w:rsidRPr="00A445AD">
              <w:rPr>
                <w:lang w:val="en-GB"/>
              </w:rPr>
              <w:t>province; reasons for discontinuing (clinical, use challenges, provider</w:t>
            </w:r>
            <w:r w:rsidR="00402315" w:rsidRPr="00A445AD">
              <w:rPr>
                <w:lang w:val="en-GB"/>
              </w:rPr>
              <w:t>-</w:t>
            </w:r>
            <w:r w:rsidRPr="00A445AD">
              <w:rPr>
                <w:lang w:val="en-GB"/>
              </w:rPr>
              <w:t>initiated, partner-related, etc.)</w:t>
            </w:r>
          </w:p>
        </w:tc>
      </w:tr>
      <w:tr w:rsidR="00B41FB9" w:rsidRPr="00D20C32" w14:paraId="55407AF8" w14:textId="77777777" w:rsidTr="004950A2">
        <w:trPr>
          <w:trHeight w:val="710"/>
        </w:trPr>
        <w:tc>
          <w:tcPr>
            <w:tcW w:w="2340" w:type="dxa"/>
            <w:shd w:val="clear" w:color="auto" w:fill="FCE2D2" w:themeFill="accent4" w:themeFillTint="33"/>
          </w:tcPr>
          <w:p w14:paraId="111EC4C2" w14:textId="77777777" w:rsidR="00B41FB9" w:rsidRPr="008E4FDF" w:rsidRDefault="00B41FB9" w:rsidP="004950A2">
            <w:pPr>
              <w:pStyle w:val="Tableheader"/>
              <w:ind w:left="180"/>
              <w:rPr>
                <w:rStyle w:val="Heading1Char"/>
                <w:rFonts w:eastAsiaTheme="minorEastAsia" w:cs="Arial"/>
                <w:b w:val="0"/>
                <w:bCs/>
                <w:noProof w:val="0"/>
                <w:sz w:val="20"/>
                <w:szCs w:val="20"/>
                <w:lang w:val="en-GB"/>
              </w:rPr>
            </w:pPr>
            <w:r w:rsidRPr="008E4FDF">
              <w:rPr>
                <w:rFonts w:cs="Arial"/>
                <w:szCs w:val="20"/>
                <w:lang w:val="en-GB"/>
              </w:rPr>
              <w:lastRenderedPageBreak/>
              <w:t>Required outcome measures</w:t>
            </w:r>
          </w:p>
        </w:tc>
        <w:tc>
          <w:tcPr>
            <w:tcW w:w="4590" w:type="dxa"/>
            <w:shd w:val="clear" w:color="auto" w:fill="FCE2D2" w:themeFill="accent4" w:themeFillTint="33"/>
          </w:tcPr>
          <w:p w14:paraId="646F04E4" w14:textId="77777777" w:rsidR="00B41FB9" w:rsidRPr="008E4FDF" w:rsidRDefault="00B41FB9" w:rsidP="004950A2">
            <w:pPr>
              <w:pStyle w:val="Tableheader"/>
              <w:ind w:left="180"/>
              <w:rPr>
                <w:rStyle w:val="Heading1Char"/>
                <w:rFonts w:cs="Arial"/>
                <w:b w:val="0"/>
                <w:bCs/>
                <w:noProof w:val="0"/>
                <w:sz w:val="20"/>
                <w:szCs w:val="20"/>
                <w:lang w:val="en-GB"/>
              </w:rPr>
            </w:pPr>
            <w:r w:rsidRPr="008E4FDF">
              <w:rPr>
                <w:rFonts w:cs="Arial"/>
                <w:szCs w:val="20"/>
                <w:lang w:val="en-GB"/>
              </w:rPr>
              <w:t>How measured?</w:t>
            </w:r>
          </w:p>
        </w:tc>
        <w:tc>
          <w:tcPr>
            <w:tcW w:w="1890" w:type="dxa"/>
            <w:shd w:val="clear" w:color="auto" w:fill="FCE2D2" w:themeFill="accent4" w:themeFillTint="33"/>
          </w:tcPr>
          <w:p w14:paraId="121B846F" w14:textId="77777777" w:rsidR="00B41FB9" w:rsidRPr="00D20C32" w:rsidRDefault="00B41FB9" w:rsidP="004950A2">
            <w:pPr>
              <w:pStyle w:val="Tableheader"/>
              <w:ind w:left="180"/>
              <w:rPr>
                <w:rFonts w:cs="Arial"/>
                <w:b w:val="0"/>
                <w:bCs w:val="0"/>
                <w:szCs w:val="20"/>
                <w:lang w:val="en-GB"/>
              </w:rPr>
            </w:pPr>
            <w:r w:rsidRPr="00D20C32">
              <w:rPr>
                <w:rFonts w:cs="Arial"/>
                <w:szCs w:val="20"/>
                <w:lang w:val="en-GB"/>
              </w:rPr>
              <w:t>When measured?</w:t>
            </w:r>
          </w:p>
        </w:tc>
        <w:tc>
          <w:tcPr>
            <w:tcW w:w="4410" w:type="dxa"/>
            <w:shd w:val="clear" w:color="auto" w:fill="FCE2D2" w:themeFill="accent4" w:themeFillTint="33"/>
          </w:tcPr>
          <w:p w14:paraId="44B4557D" w14:textId="77777777" w:rsidR="00B41FB9" w:rsidRPr="00D20C32" w:rsidRDefault="00B41FB9" w:rsidP="004950A2">
            <w:pPr>
              <w:pStyle w:val="Tableheader"/>
              <w:ind w:left="180"/>
              <w:rPr>
                <w:rFonts w:cs="Arial"/>
                <w:b w:val="0"/>
                <w:bCs w:val="0"/>
                <w:szCs w:val="20"/>
                <w:lang w:val="en-GB"/>
              </w:rPr>
            </w:pPr>
            <w:r w:rsidRPr="00D20C32">
              <w:rPr>
                <w:rFonts w:cs="Arial"/>
                <w:szCs w:val="20"/>
                <w:lang w:val="en-GB"/>
              </w:rPr>
              <w:t>Role in analysis?</w:t>
            </w:r>
          </w:p>
        </w:tc>
      </w:tr>
      <w:tr w:rsidR="004D6FBC" w:rsidRPr="00D20C32" w14:paraId="3A51C488" w14:textId="77777777" w:rsidTr="000B6DFF">
        <w:tc>
          <w:tcPr>
            <w:tcW w:w="13230" w:type="dxa"/>
            <w:gridSpan w:val="4"/>
            <w:shd w:val="clear" w:color="auto" w:fill="F4711F" w:themeFill="accent4"/>
          </w:tcPr>
          <w:p w14:paraId="7DCCF14B" w14:textId="2114E212" w:rsidR="00EA292B" w:rsidRPr="008E4FDF" w:rsidRDefault="00EA292B" w:rsidP="00837B5A">
            <w:pPr>
              <w:pStyle w:val="Tablebullets"/>
              <w:numPr>
                <w:ilvl w:val="0"/>
                <w:numId w:val="0"/>
              </w:numPr>
              <w:rPr>
                <w:rFonts w:cs="Arial"/>
                <w:b/>
                <w:bCs w:val="0"/>
                <w:color w:val="FFFFFF"/>
                <w:szCs w:val="20"/>
                <w:lang w:val="en-GB"/>
              </w:rPr>
            </w:pPr>
            <w:r w:rsidRPr="008E4FDF">
              <w:rPr>
                <w:rFonts w:cs="Arial"/>
                <w:b/>
                <w:bCs w:val="0"/>
                <w:color w:val="FFFFFF"/>
                <w:szCs w:val="20"/>
                <w:lang w:val="en-GB"/>
              </w:rPr>
              <w:t>Acceptability Measures: Provider</w:t>
            </w:r>
            <w:r w:rsidR="00BF3641">
              <w:rPr>
                <w:rFonts w:cs="Arial"/>
                <w:b/>
                <w:bCs w:val="0"/>
                <w:color w:val="FFFFFF"/>
                <w:szCs w:val="20"/>
                <w:lang w:val="en-GB"/>
              </w:rPr>
              <w:t>s</w:t>
            </w:r>
          </w:p>
        </w:tc>
      </w:tr>
      <w:tr w:rsidR="00EA292B" w:rsidRPr="00D20C32" w14:paraId="376C214B" w14:textId="77777777" w:rsidTr="000B6DFF">
        <w:tc>
          <w:tcPr>
            <w:tcW w:w="2340" w:type="dxa"/>
          </w:tcPr>
          <w:p w14:paraId="6DED70BE" w14:textId="77777777" w:rsidR="00EA292B" w:rsidRPr="00A445AD" w:rsidRDefault="00EA292B" w:rsidP="00A445AD">
            <w:pPr>
              <w:spacing w:before="0"/>
              <w:rPr>
                <w:lang w:val="en-GB"/>
              </w:rPr>
            </w:pPr>
            <w:r w:rsidRPr="00A445AD">
              <w:rPr>
                <w:lang w:val="en-GB"/>
              </w:rPr>
              <w:t xml:space="preserve">Frequency offering oral PrEP and the ring </w:t>
            </w:r>
          </w:p>
        </w:tc>
        <w:tc>
          <w:tcPr>
            <w:tcW w:w="4590" w:type="dxa"/>
          </w:tcPr>
          <w:p w14:paraId="1CE5CBC5" w14:textId="77777777" w:rsidR="00140E4C" w:rsidRDefault="00EA292B" w:rsidP="00831985">
            <w:pPr>
              <w:spacing w:before="0"/>
              <w:rPr>
                <w:lang w:val="en-GB"/>
              </w:rPr>
            </w:pPr>
            <w:r w:rsidRPr="00A445AD">
              <w:rPr>
                <w:lang w:val="en-GB"/>
              </w:rPr>
              <w:t xml:space="preserve">Quantitative measure in interview [# times </w:t>
            </w:r>
            <w:r w:rsidR="00D20C32" w:rsidRPr="00A445AD">
              <w:rPr>
                <w:lang w:val="en-GB"/>
              </w:rPr>
              <w:t>counselled</w:t>
            </w:r>
            <w:r w:rsidRPr="00A445AD">
              <w:rPr>
                <w:lang w:val="en-GB"/>
              </w:rPr>
              <w:t>/week; see Annex 3]</w:t>
            </w:r>
            <w:r w:rsidR="00BC2EBA" w:rsidRPr="00A445AD">
              <w:rPr>
                <w:lang w:val="en-GB"/>
              </w:rPr>
              <w:t>;</w:t>
            </w:r>
            <w:r w:rsidRPr="00A445AD">
              <w:rPr>
                <w:lang w:val="en-GB"/>
              </w:rPr>
              <w:t xml:space="preserve"> check facility pharmacy records for # new oral PrEP or ring clients receiving product in designated </w:t>
            </w:r>
            <w:proofErr w:type="gramStart"/>
            <w:r w:rsidRPr="00A445AD">
              <w:rPr>
                <w:lang w:val="en-GB"/>
              </w:rPr>
              <w:t>time period</w:t>
            </w:r>
            <w:proofErr w:type="gramEnd"/>
            <w:r w:rsidRPr="00A445AD">
              <w:rPr>
                <w:lang w:val="en-GB"/>
              </w:rPr>
              <w:t>; probe in qualitative interviews to determine provider confidence vs. changes in service readiness (e.g., stock-outs)</w:t>
            </w:r>
          </w:p>
          <w:p w14:paraId="490B12F9" w14:textId="530FB6D4" w:rsidR="00831985" w:rsidRPr="00A445AD" w:rsidRDefault="00831985" w:rsidP="00831985">
            <w:pPr>
              <w:spacing w:before="0"/>
              <w:rPr>
                <w:lang w:val="en-GB"/>
              </w:rPr>
            </w:pPr>
          </w:p>
        </w:tc>
        <w:tc>
          <w:tcPr>
            <w:tcW w:w="1890" w:type="dxa"/>
          </w:tcPr>
          <w:p w14:paraId="48E3AE4D" w14:textId="1A762B81" w:rsidR="00EA292B" w:rsidRPr="00A445AD" w:rsidRDefault="00EA292B" w:rsidP="00A445AD">
            <w:pPr>
              <w:spacing w:before="0"/>
              <w:rPr>
                <w:lang w:val="en-GB"/>
              </w:rPr>
            </w:pPr>
            <w:r w:rsidRPr="00A445AD">
              <w:rPr>
                <w:lang w:val="en-GB"/>
              </w:rPr>
              <w:t xml:space="preserve">Provider questionnaire at end of </w:t>
            </w:r>
            <w:r w:rsidR="00D20C32" w:rsidRPr="00A445AD">
              <w:rPr>
                <w:lang w:val="en-GB"/>
              </w:rPr>
              <w:t>enrolment</w:t>
            </w:r>
            <w:r w:rsidRPr="00A445AD">
              <w:rPr>
                <w:lang w:val="en-GB"/>
              </w:rPr>
              <w:t xml:space="preserve"> period</w:t>
            </w:r>
            <w:r w:rsidR="007E4B79" w:rsidRPr="00A445AD">
              <w:rPr>
                <w:lang w:val="en-GB"/>
              </w:rPr>
              <w:t>;</w:t>
            </w:r>
            <w:r w:rsidRPr="00A445AD">
              <w:rPr>
                <w:lang w:val="en-GB"/>
              </w:rPr>
              <w:t xml:space="preserve"> pharmacy record check at follow-up visits</w:t>
            </w:r>
          </w:p>
        </w:tc>
        <w:tc>
          <w:tcPr>
            <w:tcW w:w="4410" w:type="dxa"/>
          </w:tcPr>
          <w:p w14:paraId="22899489" w14:textId="77777777" w:rsidR="00EA292B" w:rsidRPr="00A445AD" w:rsidRDefault="00EA292B" w:rsidP="00A445AD">
            <w:pPr>
              <w:spacing w:before="0"/>
              <w:rPr>
                <w:lang w:val="en-GB"/>
              </w:rPr>
            </w:pPr>
            <w:r w:rsidRPr="00A445AD">
              <w:rPr>
                <w:lang w:val="en-GB"/>
              </w:rPr>
              <w:t>Overall proportions</w:t>
            </w:r>
            <w:r w:rsidR="007E4B79" w:rsidRPr="00A445AD">
              <w:rPr>
                <w:lang w:val="en-GB"/>
              </w:rPr>
              <w:t>;</w:t>
            </w:r>
            <w:r w:rsidRPr="00A445AD">
              <w:rPr>
                <w:lang w:val="en-GB"/>
              </w:rPr>
              <w:t xml:space="preserve"> disaggregate by cadre and province</w:t>
            </w:r>
          </w:p>
          <w:p w14:paraId="04E2BB25" w14:textId="77777777" w:rsidR="00710783" w:rsidRPr="00A445AD" w:rsidRDefault="00710783" w:rsidP="00A445AD">
            <w:pPr>
              <w:spacing w:before="0"/>
              <w:rPr>
                <w:lang w:val="en-GB"/>
              </w:rPr>
            </w:pPr>
          </w:p>
          <w:p w14:paraId="63AE3256" w14:textId="77777777" w:rsidR="00710783" w:rsidRPr="00A445AD" w:rsidRDefault="00710783" w:rsidP="00A445AD">
            <w:pPr>
              <w:spacing w:before="0"/>
              <w:rPr>
                <w:lang w:val="en-GB"/>
              </w:rPr>
            </w:pPr>
          </w:p>
          <w:p w14:paraId="75293FA3" w14:textId="77777777" w:rsidR="00710783" w:rsidRPr="00A445AD" w:rsidRDefault="00710783" w:rsidP="00A445AD">
            <w:pPr>
              <w:spacing w:before="0"/>
              <w:rPr>
                <w:lang w:val="en-GB"/>
              </w:rPr>
            </w:pPr>
          </w:p>
          <w:p w14:paraId="4129DAE1" w14:textId="77777777" w:rsidR="00710783" w:rsidRPr="00A445AD" w:rsidRDefault="00710783" w:rsidP="00A445AD">
            <w:pPr>
              <w:spacing w:before="0"/>
              <w:rPr>
                <w:lang w:val="en-GB"/>
              </w:rPr>
            </w:pPr>
          </w:p>
          <w:p w14:paraId="61A2A3A0" w14:textId="29FF45EA" w:rsidR="00710783" w:rsidRPr="00A445AD" w:rsidRDefault="00710783" w:rsidP="00A445AD">
            <w:pPr>
              <w:spacing w:before="0"/>
              <w:rPr>
                <w:lang w:val="en-GB"/>
              </w:rPr>
            </w:pPr>
          </w:p>
        </w:tc>
      </w:tr>
      <w:tr w:rsidR="00EA292B" w:rsidRPr="00204109" w14:paraId="07504C2E" w14:textId="77777777" w:rsidTr="00A445AD">
        <w:trPr>
          <w:cantSplit/>
        </w:trPr>
        <w:tc>
          <w:tcPr>
            <w:tcW w:w="2340" w:type="dxa"/>
          </w:tcPr>
          <w:p w14:paraId="4A4610DD" w14:textId="00EACF1A" w:rsidR="00EA292B" w:rsidRPr="00A445AD" w:rsidRDefault="00EA292B" w:rsidP="00A445AD">
            <w:pPr>
              <w:spacing w:before="0"/>
              <w:rPr>
                <w:lang w:val="en-GB"/>
              </w:rPr>
            </w:pPr>
            <w:r w:rsidRPr="00A445AD">
              <w:rPr>
                <w:lang w:val="en-GB"/>
              </w:rPr>
              <w:t xml:space="preserve">Acceptability of </w:t>
            </w:r>
            <w:r w:rsidR="00D20C32" w:rsidRPr="00A445AD">
              <w:rPr>
                <w:lang w:val="en-GB"/>
              </w:rPr>
              <w:t>counselling</w:t>
            </w:r>
            <w:r w:rsidRPr="00A445AD">
              <w:rPr>
                <w:lang w:val="en-GB"/>
              </w:rPr>
              <w:t xml:space="preserve"> on the </w:t>
            </w:r>
            <w:r w:rsidR="008C36EE" w:rsidRPr="00A445AD">
              <w:rPr>
                <w:lang w:val="en-GB"/>
              </w:rPr>
              <w:t>ring</w:t>
            </w:r>
            <w:r w:rsidRPr="00A445AD">
              <w:rPr>
                <w:lang w:val="en-GB"/>
              </w:rPr>
              <w:t>/oral PrEP together and offering choice</w:t>
            </w:r>
          </w:p>
        </w:tc>
        <w:tc>
          <w:tcPr>
            <w:tcW w:w="4590" w:type="dxa"/>
          </w:tcPr>
          <w:p w14:paraId="7D01C739" w14:textId="77777777" w:rsidR="00EA292B" w:rsidRPr="00A445AD" w:rsidRDefault="00EA292B" w:rsidP="00A445AD">
            <w:pPr>
              <w:spacing w:before="0"/>
              <w:rPr>
                <w:lang w:val="en-GB"/>
              </w:rPr>
            </w:pPr>
            <w:r w:rsidRPr="00A445AD">
              <w:rPr>
                <w:lang w:val="en-GB"/>
              </w:rPr>
              <w:t xml:space="preserve">Please see Annex 3 for quantitative and qualitative questions.  </w:t>
            </w:r>
          </w:p>
          <w:p w14:paraId="4844C6D9" w14:textId="77777777" w:rsidR="00EA292B" w:rsidRPr="00A445AD" w:rsidRDefault="00EA292B" w:rsidP="00A445AD">
            <w:pPr>
              <w:spacing w:before="0"/>
              <w:rPr>
                <w:lang w:val="en-GB"/>
              </w:rPr>
            </w:pPr>
          </w:p>
        </w:tc>
        <w:tc>
          <w:tcPr>
            <w:tcW w:w="1890" w:type="dxa"/>
          </w:tcPr>
          <w:p w14:paraId="118D5777" w14:textId="77777777" w:rsidR="00EA292B" w:rsidRPr="00A445AD" w:rsidRDefault="00EA292B" w:rsidP="00A445AD">
            <w:pPr>
              <w:spacing w:before="0"/>
              <w:rPr>
                <w:lang w:val="en-GB"/>
              </w:rPr>
            </w:pPr>
            <w:r w:rsidRPr="00A445AD">
              <w:rPr>
                <w:lang w:val="en-GB"/>
              </w:rPr>
              <w:t xml:space="preserve">After training </w:t>
            </w:r>
          </w:p>
        </w:tc>
        <w:tc>
          <w:tcPr>
            <w:tcW w:w="4410" w:type="dxa"/>
          </w:tcPr>
          <w:p w14:paraId="76612188" w14:textId="77777777" w:rsidR="00EA292B" w:rsidRPr="00A445AD" w:rsidRDefault="00EA292B" w:rsidP="00A445AD">
            <w:pPr>
              <w:spacing w:before="0"/>
              <w:rPr>
                <w:lang w:val="en-GB"/>
              </w:rPr>
            </w:pPr>
            <w:r w:rsidRPr="00A445AD">
              <w:rPr>
                <w:lang w:val="en-GB"/>
              </w:rPr>
              <w:t xml:space="preserve">For quality assurance and </w:t>
            </w:r>
            <w:proofErr w:type="gramStart"/>
            <w:r w:rsidRPr="00A445AD">
              <w:rPr>
                <w:lang w:val="en-GB"/>
              </w:rPr>
              <w:t>improvement;</w:t>
            </w:r>
            <w:proofErr w:type="gramEnd"/>
            <w:r w:rsidRPr="00A445AD">
              <w:rPr>
                <w:lang w:val="en-GB"/>
              </w:rPr>
              <w:t xml:space="preserve"> observational checklist findings and reported qualitatively in aggregate only</w:t>
            </w:r>
          </w:p>
        </w:tc>
      </w:tr>
      <w:tr w:rsidR="004D6FBC" w:rsidRPr="00D20C32" w14:paraId="14852021" w14:textId="77777777" w:rsidTr="000B6DFF">
        <w:tc>
          <w:tcPr>
            <w:tcW w:w="13230" w:type="dxa"/>
            <w:gridSpan w:val="4"/>
            <w:shd w:val="clear" w:color="auto" w:fill="F4711F" w:themeFill="accent4"/>
          </w:tcPr>
          <w:p w14:paraId="2E87383C" w14:textId="77777777" w:rsidR="00EA292B" w:rsidRPr="008E4FDF" w:rsidRDefault="00EA292B" w:rsidP="00837B5A">
            <w:pPr>
              <w:pStyle w:val="Tablebullets"/>
              <w:numPr>
                <w:ilvl w:val="0"/>
                <w:numId w:val="0"/>
              </w:numPr>
              <w:ind w:left="85"/>
              <w:rPr>
                <w:rFonts w:cs="Arial"/>
                <w:b/>
                <w:bCs w:val="0"/>
                <w:color w:val="FFFFFF"/>
                <w:szCs w:val="20"/>
                <w:lang w:val="en-GB"/>
              </w:rPr>
            </w:pPr>
            <w:r w:rsidRPr="008E4FDF">
              <w:rPr>
                <w:rFonts w:cs="Arial"/>
                <w:b/>
                <w:bCs w:val="0"/>
                <w:color w:val="FFFFFF"/>
                <w:szCs w:val="20"/>
                <w:lang w:val="en-GB"/>
              </w:rPr>
              <w:t>Additional content areas relevant to PrEP effectiveness/safety measurable within pilot studies and for inclusion in minimum service packages</w:t>
            </w:r>
          </w:p>
        </w:tc>
      </w:tr>
      <w:tr w:rsidR="00EA292B" w:rsidRPr="00D20C32" w14:paraId="64BEA946" w14:textId="77777777" w:rsidTr="000B6DFF">
        <w:tc>
          <w:tcPr>
            <w:tcW w:w="2340" w:type="dxa"/>
          </w:tcPr>
          <w:p w14:paraId="522E4CA8" w14:textId="77777777" w:rsidR="00EA292B" w:rsidRPr="00A445AD" w:rsidRDefault="00EA292B" w:rsidP="00A445AD">
            <w:pPr>
              <w:spacing w:before="0"/>
              <w:rPr>
                <w:lang w:val="en-GB"/>
              </w:rPr>
            </w:pPr>
            <w:r w:rsidRPr="00A445AD">
              <w:rPr>
                <w:lang w:val="en-GB"/>
              </w:rPr>
              <w:t>HIV acquisition</w:t>
            </w:r>
          </w:p>
        </w:tc>
        <w:tc>
          <w:tcPr>
            <w:tcW w:w="4590" w:type="dxa"/>
          </w:tcPr>
          <w:p w14:paraId="553FAB7C" w14:textId="77777777" w:rsidR="00EA292B" w:rsidRPr="00A445AD" w:rsidRDefault="00EA292B" w:rsidP="00A445AD">
            <w:pPr>
              <w:spacing w:before="0"/>
              <w:rPr>
                <w:lang w:val="en-GB"/>
              </w:rPr>
            </w:pPr>
            <w:r w:rsidRPr="00A445AD">
              <w:rPr>
                <w:lang w:val="en-GB"/>
              </w:rPr>
              <w:t>HIV testing per national guidelines/minimum service package</w:t>
            </w:r>
          </w:p>
        </w:tc>
        <w:tc>
          <w:tcPr>
            <w:tcW w:w="1890" w:type="dxa"/>
          </w:tcPr>
          <w:p w14:paraId="06A2A7D1" w14:textId="77777777" w:rsidR="00EA292B" w:rsidRPr="00A445AD" w:rsidRDefault="00EA292B" w:rsidP="00A445AD">
            <w:pPr>
              <w:spacing w:before="0"/>
              <w:rPr>
                <w:lang w:val="en-GB"/>
              </w:rPr>
            </w:pPr>
            <w:r w:rsidRPr="00A445AD">
              <w:rPr>
                <w:lang w:val="en-GB"/>
              </w:rPr>
              <w:t>1 month and quarterly/routine follow-up visits</w:t>
            </w:r>
          </w:p>
        </w:tc>
        <w:tc>
          <w:tcPr>
            <w:tcW w:w="4410" w:type="dxa"/>
          </w:tcPr>
          <w:p w14:paraId="290CA264" w14:textId="7ACB3A18" w:rsidR="00EA292B" w:rsidRPr="00A445AD" w:rsidRDefault="00EA292B" w:rsidP="00A445AD">
            <w:pPr>
              <w:spacing w:before="0"/>
              <w:rPr>
                <w:lang w:val="en-GB"/>
              </w:rPr>
            </w:pPr>
            <w:r w:rsidRPr="00A445AD">
              <w:rPr>
                <w:lang w:val="en-GB"/>
              </w:rPr>
              <w:t xml:space="preserve">Effectiveness outcome </w:t>
            </w:r>
            <w:r w:rsidR="00170859" w:rsidRPr="00A445AD">
              <w:rPr>
                <w:lang w:val="en-GB"/>
              </w:rPr>
              <w:t>(</w:t>
            </w:r>
            <w:r w:rsidRPr="00A445AD">
              <w:rPr>
                <w:lang w:val="en-GB"/>
              </w:rPr>
              <w:t>though note studies are not powered for this outcome</w:t>
            </w:r>
            <w:r w:rsidR="00170859" w:rsidRPr="00A445AD">
              <w:rPr>
                <w:lang w:val="en-GB"/>
              </w:rPr>
              <w:t>)</w:t>
            </w:r>
            <w:r w:rsidRPr="00A445AD">
              <w:rPr>
                <w:lang w:val="en-GB"/>
              </w:rPr>
              <w:t>; plan aggregate across sites</w:t>
            </w:r>
          </w:p>
        </w:tc>
      </w:tr>
      <w:tr w:rsidR="00EA292B" w:rsidRPr="00D20C32" w14:paraId="507661A2" w14:textId="77777777" w:rsidTr="000B6DFF">
        <w:tc>
          <w:tcPr>
            <w:tcW w:w="2340" w:type="dxa"/>
          </w:tcPr>
          <w:p w14:paraId="0170BF32" w14:textId="77777777" w:rsidR="00EA292B" w:rsidRPr="00A445AD" w:rsidRDefault="00EA292B" w:rsidP="00A445AD">
            <w:pPr>
              <w:spacing w:before="0"/>
              <w:rPr>
                <w:lang w:val="en-GB"/>
              </w:rPr>
            </w:pPr>
            <w:r w:rsidRPr="00A445AD">
              <w:rPr>
                <w:lang w:val="en-GB"/>
              </w:rPr>
              <w:t>Incident pregnancy*</w:t>
            </w:r>
          </w:p>
        </w:tc>
        <w:tc>
          <w:tcPr>
            <w:tcW w:w="4590" w:type="dxa"/>
          </w:tcPr>
          <w:p w14:paraId="5D638FB1" w14:textId="77777777" w:rsidR="00EA292B" w:rsidRPr="00A445AD" w:rsidRDefault="00EA292B" w:rsidP="00A445AD">
            <w:pPr>
              <w:spacing w:before="0"/>
              <w:rPr>
                <w:lang w:val="en-GB"/>
              </w:rPr>
            </w:pPr>
            <w:r w:rsidRPr="00A445AD">
              <w:rPr>
                <w:lang w:val="en-GB"/>
              </w:rPr>
              <w:t xml:space="preserve">Pregnancy testing </w:t>
            </w:r>
          </w:p>
        </w:tc>
        <w:tc>
          <w:tcPr>
            <w:tcW w:w="1890" w:type="dxa"/>
          </w:tcPr>
          <w:p w14:paraId="4F8C71C9" w14:textId="77777777" w:rsidR="00EA292B" w:rsidRPr="00A445AD" w:rsidRDefault="00EA292B" w:rsidP="00A445AD">
            <w:pPr>
              <w:spacing w:before="0"/>
              <w:rPr>
                <w:lang w:val="en-GB"/>
              </w:rPr>
            </w:pPr>
            <w:r w:rsidRPr="00A445AD">
              <w:rPr>
                <w:lang w:val="en-GB"/>
              </w:rPr>
              <w:t>1 month and quarterly/routine follow-up visits</w:t>
            </w:r>
          </w:p>
        </w:tc>
        <w:tc>
          <w:tcPr>
            <w:tcW w:w="4410" w:type="dxa"/>
          </w:tcPr>
          <w:p w14:paraId="7E608C7F" w14:textId="5D0A4BBB" w:rsidR="00170859" w:rsidRPr="00A445AD" w:rsidRDefault="00EA292B" w:rsidP="00A445AD">
            <w:pPr>
              <w:spacing w:before="0"/>
              <w:rPr>
                <w:lang w:val="en-GB"/>
              </w:rPr>
            </w:pPr>
            <w:r w:rsidRPr="00A445AD">
              <w:rPr>
                <w:lang w:val="en-GB"/>
              </w:rPr>
              <w:t>Safety outcome; plan aggregate across sites</w:t>
            </w:r>
          </w:p>
          <w:p w14:paraId="09C4D412" w14:textId="77777777" w:rsidR="00EA292B" w:rsidRDefault="00EA292B" w:rsidP="00A445AD">
            <w:pPr>
              <w:spacing w:before="0"/>
              <w:rPr>
                <w:lang w:val="en-GB"/>
              </w:rPr>
            </w:pPr>
            <w:r w:rsidRPr="00A445AD">
              <w:rPr>
                <w:lang w:val="en-GB"/>
              </w:rPr>
              <w:t>Ring to be discontinued in event of incident pregnancy</w:t>
            </w:r>
            <w:r w:rsidR="00170859" w:rsidRPr="00A445AD">
              <w:rPr>
                <w:lang w:val="en-GB"/>
              </w:rPr>
              <w:t>.</w:t>
            </w:r>
          </w:p>
          <w:p w14:paraId="5EC704EB" w14:textId="77777777" w:rsidR="00831985" w:rsidRDefault="00831985" w:rsidP="00A445AD">
            <w:pPr>
              <w:spacing w:before="0"/>
              <w:rPr>
                <w:lang w:val="en-GB"/>
              </w:rPr>
            </w:pPr>
          </w:p>
          <w:p w14:paraId="16BB8B14" w14:textId="77777777" w:rsidR="00831985" w:rsidRDefault="00831985" w:rsidP="00A445AD">
            <w:pPr>
              <w:spacing w:before="0"/>
              <w:rPr>
                <w:lang w:val="en-GB"/>
              </w:rPr>
            </w:pPr>
          </w:p>
          <w:p w14:paraId="59F61452" w14:textId="327D94A0" w:rsidR="0061511D" w:rsidRPr="00A445AD" w:rsidRDefault="0061511D" w:rsidP="00A445AD">
            <w:pPr>
              <w:spacing w:before="0"/>
              <w:rPr>
                <w:lang w:val="en-GB"/>
              </w:rPr>
            </w:pPr>
          </w:p>
        </w:tc>
      </w:tr>
      <w:tr w:rsidR="0061511D" w:rsidRPr="00D20C32" w14:paraId="5DCC7C21" w14:textId="77777777" w:rsidTr="00562CEA">
        <w:trPr>
          <w:trHeight w:val="710"/>
        </w:trPr>
        <w:tc>
          <w:tcPr>
            <w:tcW w:w="2340" w:type="dxa"/>
            <w:shd w:val="clear" w:color="auto" w:fill="FCE2D2" w:themeFill="accent4" w:themeFillTint="33"/>
          </w:tcPr>
          <w:p w14:paraId="7D7E93AE" w14:textId="77777777" w:rsidR="0061511D" w:rsidRPr="008E4FDF" w:rsidRDefault="0061511D" w:rsidP="00562CEA">
            <w:pPr>
              <w:pStyle w:val="Tableheader"/>
              <w:ind w:left="180"/>
              <w:rPr>
                <w:rStyle w:val="Heading1Char"/>
                <w:rFonts w:eastAsiaTheme="minorEastAsia" w:cs="Arial"/>
                <w:b w:val="0"/>
                <w:bCs/>
                <w:noProof w:val="0"/>
                <w:sz w:val="20"/>
                <w:szCs w:val="20"/>
                <w:lang w:val="en-GB"/>
              </w:rPr>
            </w:pPr>
            <w:r w:rsidRPr="008E4FDF">
              <w:rPr>
                <w:rFonts w:cs="Arial"/>
                <w:szCs w:val="20"/>
                <w:lang w:val="en-GB"/>
              </w:rPr>
              <w:lastRenderedPageBreak/>
              <w:t>Required outcome measures</w:t>
            </w:r>
          </w:p>
        </w:tc>
        <w:tc>
          <w:tcPr>
            <w:tcW w:w="4590" w:type="dxa"/>
            <w:shd w:val="clear" w:color="auto" w:fill="FCE2D2" w:themeFill="accent4" w:themeFillTint="33"/>
          </w:tcPr>
          <w:p w14:paraId="7BF46D4C" w14:textId="77777777" w:rsidR="0061511D" w:rsidRPr="008E4FDF" w:rsidRDefault="0061511D" w:rsidP="00562CEA">
            <w:pPr>
              <w:pStyle w:val="Tableheader"/>
              <w:ind w:left="180"/>
              <w:rPr>
                <w:rStyle w:val="Heading1Char"/>
                <w:rFonts w:cs="Arial"/>
                <w:b w:val="0"/>
                <w:bCs/>
                <w:noProof w:val="0"/>
                <w:sz w:val="20"/>
                <w:szCs w:val="20"/>
                <w:lang w:val="en-GB"/>
              </w:rPr>
            </w:pPr>
            <w:r w:rsidRPr="008E4FDF">
              <w:rPr>
                <w:rFonts w:cs="Arial"/>
                <w:szCs w:val="20"/>
                <w:lang w:val="en-GB"/>
              </w:rPr>
              <w:t>How measured?</w:t>
            </w:r>
          </w:p>
        </w:tc>
        <w:tc>
          <w:tcPr>
            <w:tcW w:w="1890" w:type="dxa"/>
            <w:shd w:val="clear" w:color="auto" w:fill="FCE2D2" w:themeFill="accent4" w:themeFillTint="33"/>
          </w:tcPr>
          <w:p w14:paraId="6B11FCCF" w14:textId="77777777" w:rsidR="0061511D" w:rsidRPr="00D20C32" w:rsidRDefault="0061511D" w:rsidP="00562CEA">
            <w:pPr>
              <w:pStyle w:val="Tableheader"/>
              <w:ind w:left="180"/>
              <w:rPr>
                <w:rFonts w:cs="Arial"/>
                <w:b w:val="0"/>
                <w:bCs w:val="0"/>
                <w:szCs w:val="20"/>
                <w:lang w:val="en-GB"/>
              </w:rPr>
            </w:pPr>
            <w:r w:rsidRPr="00D20C32">
              <w:rPr>
                <w:rFonts w:cs="Arial"/>
                <w:szCs w:val="20"/>
                <w:lang w:val="en-GB"/>
              </w:rPr>
              <w:t>When measured?</w:t>
            </w:r>
          </w:p>
        </w:tc>
        <w:tc>
          <w:tcPr>
            <w:tcW w:w="4410" w:type="dxa"/>
            <w:shd w:val="clear" w:color="auto" w:fill="FCE2D2" w:themeFill="accent4" w:themeFillTint="33"/>
          </w:tcPr>
          <w:p w14:paraId="2C1C8950" w14:textId="77777777" w:rsidR="0061511D" w:rsidRPr="00D20C32" w:rsidRDefault="0061511D" w:rsidP="00562CEA">
            <w:pPr>
              <w:pStyle w:val="Tableheader"/>
              <w:ind w:left="180"/>
              <w:rPr>
                <w:rFonts w:cs="Arial"/>
                <w:b w:val="0"/>
                <w:bCs w:val="0"/>
                <w:szCs w:val="20"/>
                <w:lang w:val="en-GB"/>
              </w:rPr>
            </w:pPr>
            <w:r w:rsidRPr="00D20C32">
              <w:rPr>
                <w:rFonts w:cs="Arial"/>
                <w:szCs w:val="20"/>
                <w:lang w:val="en-GB"/>
              </w:rPr>
              <w:t>Role in analysis?</w:t>
            </w:r>
          </w:p>
        </w:tc>
      </w:tr>
      <w:tr w:rsidR="00296221" w:rsidRPr="00D20C32" w14:paraId="614434BD" w14:textId="77777777" w:rsidTr="004950A2">
        <w:tc>
          <w:tcPr>
            <w:tcW w:w="13230" w:type="dxa"/>
            <w:gridSpan w:val="4"/>
            <w:shd w:val="clear" w:color="auto" w:fill="F4711F" w:themeFill="accent4"/>
          </w:tcPr>
          <w:p w14:paraId="2BE73E0D" w14:textId="77777777" w:rsidR="00296221" w:rsidRPr="008E4FDF" w:rsidRDefault="00296221" w:rsidP="004950A2">
            <w:pPr>
              <w:pStyle w:val="Tablebullets"/>
              <w:numPr>
                <w:ilvl w:val="0"/>
                <w:numId w:val="0"/>
              </w:numPr>
              <w:ind w:left="85"/>
              <w:rPr>
                <w:rFonts w:cs="Arial"/>
                <w:b/>
                <w:bCs w:val="0"/>
                <w:color w:val="FFFFFF"/>
                <w:szCs w:val="20"/>
                <w:lang w:val="en-GB"/>
              </w:rPr>
            </w:pPr>
            <w:r w:rsidRPr="008E4FDF">
              <w:rPr>
                <w:rFonts w:cs="Arial"/>
                <w:b/>
                <w:bCs w:val="0"/>
                <w:color w:val="FFFFFF"/>
                <w:szCs w:val="20"/>
                <w:lang w:val="en-GB"/>
              </w:rPr>
              <w:t>Additional content areas relevant to PrEP effectiveness/safety measurable within pilot studies and for inclusion in minimum service packages</w:t>
            </w:r>
          </w:p>
        </w:tc>
      </w:tr>
      <w:tr w:rsidR="00EA292B" w:rsidRPr="00D20C32" w14:paraId="7F8D3889" w14:textId="77777777" w:rsidTr="000B6DFF">
        <w:tc>
          <w:tcPr>
            <w:tcW w:w="2340" w:type="dxa"/>
          </w:tcPr>
          <w:p w14:paraId="688C6781" w14:textId="77777777" w:rsidR="00EA292B" w:rsidRPr="00A445AD" w:rsidRDefault="00EA292B" w:rsidP="00A445AD">
            <w:pPr>
              <w:spacing w:before="0"/>
              <w:rPr>
                <w:lang w:val="en-GB"/>
              </w:rPr>
            </w:pPr>
            <w:r w:rsidRPr="00A445AD">
              <w:rPr>
                <w:lang w:val="en-GB"/>
              </w:rPr>
              <w:t>Adverse drug reaction reporting per national guidelines</w:t>
            </w:r>
          </w:p>
        </w:tc>
        <w:tc>
          <w:tcPr>
            <w:tcW w:w="4590" w:type="dxa"/>
          </w:tcPr>
          <w:p w14:paraId="6D6BB007" w14:textId="77777777" w:rsidR="00EA292B" w:rsidRPr="00A445AD" w:rsidRDefault="00EA292B" w:rsidP="00A445AD">
            <w:pPr>
              <w:spacing w:before="0"/>
              <w:rPr>
                <w:lang w:val="en-GB"/>
              </w:rPr>
            </w:pPr>
            <w:r w:rsidRPr="00A445AD">
              <w:rPr>
                <w:lang w:val="en-GB"/>
              </w:rPr>
              <w:t xml:space="preserve"># </w:t>
            </w:r>
            <w:proofErr w:type="gramStart"/>
            <w:r w:rsidRPr="00A445AD">
              <w:rPr>
                <w:lang w:val="en-GB"/>
              </w:rPr>
              <w:t>of</w:t>
            </w:r>
            <w:proofErr w:type="gramEnd"/>
            <w:r w:rsidRPr="00A445AD">
              <w:rPr>
                <w:lang w:val="en-GB"/>
              </w:rPr>
              <w:t xml:space="preserve"> participants reporting adverse drug reactions</w:t>
            </w:r>
          </w:p>
        </w:tc>
        <w:tc>
          <w:tcPr>
            <w:tcW w:w="1890" w:type="dxa"/>
          </w:tcPr>
          <w:p w14:paraId="574CF986" w14:textId="77777777" w:rsidR="00EA292B" w:rsidRPr="00A445AD" w:rsidRDefault="00EA292B" w:rsidP="00A445AD">
            <w:pPr>
              <w:spacing w:before="0"/>
              <w:rPr>
                <w:lang w:val="en-GB"/>
              </w:rPr>
            </w:pPr>
            <w:r w:rsidRPr="00A445AD">
              <w:rPr>
                <w:lang w:val="en-GB"/>
              </w:rPr>
              <w:t xml:space="preserve">All follow-up and ad hoc visits </w:t>
            </w:r>
          </w:p>
        </w:tc>
        <w:tc>
          <w:tcPr>
            <w:tcW w:w="4410" w:type="dxa"/>
          </w:tcPr>
          <w:p w14:paraId="3F0D629F" w14:textId="77777777" w:rsidR="00EA292B" w:rsidRPr="00A445AD" w:rsidRDefault="00EA292B" w:rsidP="00A445AD">
            <w:pPr>
              <w:spacing w:before="0"/>
              <w:rPr>
                <w:lang w:val="en-GB"/>
              </w:rPr>
            </w:pPr>
            <w:r w:rsidRPr="00A445AD">
              <w:rPr>
                <w:lang w:val="en-GB"/>
              </w:rPr>
              <w:t xml:space="preserve">Safety </w:t>
            </w:r>
            <w:proofErr w:type="gramStart"/>
            <w:r w:rsidRPr="00A445AD">
              <w:rPr>
                <w:lang w:val="en-GB"/>
              </w:rPr>
              <w:t>outcome;</w:t>
            </w:r>
            <w:proofErr w:type="gramEnd"/>
            <w:r w:rsidRPr="00A445AD">
              <w:rPr>
                <w:lang w:val="en-GB"/>
              </w:rPr>
              <w:t xml:space="preserve"> relatedness to PrEP method use; plan aggregate across sites</w:t>
            </w:r>
          </w:p>
        </w:tc>
      </w:tr>
      <w:tr w:rsidR="00EA292B" w:rsidRPr="00D20C32" w14:paraId="236A1E96" w14:textId="77777777" w:rsidTr="000B6DFF">
        <w:tc>
          <w:tcPr>
            <w:tcW w:w="2340" w:type="dxa"/>
          </w:tcPr>
          <w:p w14:paraId="67BEEA9C" w14:textId="55468429" w:rsidR="00EA292B" w:rsidRPr="00A445AD" w:rsidRDefault="00EA292B" w:rsidP="00A445AD">
            <w:pPr>
              <w:spacing w:before="0"/>
              <w:rPr>
                <w:lang w:val="en-GB"/>
              </w:rPr>
            </w:pPr>
            <w:r w:rsidRPr="00A445AD">
              <w:rPr>
                <w:lang w:val="en-GB"/>
              </w:rPr>
              <w:t>Social harms</w:t>
            </w:r>
            <w:r w:rsidR="00A15468" w:rsidRPr="00A445AD">
              <w:rPr>
                <w:lang w:val="en-GB"/>
              </w:rPr>
              <w:t>†</w:t>
            </w:r>
            <w:r w:rsidRPr="00A445AD">
              <w:rPr>
                <w:lang w:val="en-GB"/>
              </w:rPr>
              <w:t xml:space="preserve"> reported by participant or recorded at study site </w:t>
            </w:r>
          </w:p>
        </w:tc>
        <w:tc>
          <w:tcPr>
            <w:tcW w:w="4590" w:type="dxa"/>
          </w:tcPr>
          <w:p w14:paraId="223B52D7" w14:textId="0659158C" w:rsidR="00EA292B" w:rsidRPr="00A445AD" w:rsidRDefault="00EA292B" w:rsidP="00A445AD">
            <w:pPr>
              <w:spacing w:before="0"/>
              <w:rPr>
                <w:lang w:val="en-GB"/>
              </w:rPr>
            </w:pPr>
            <w:r w:rsidRPr="00A445AD">
              <w:rPr>
                <w:lang w:val="en-GB"/>
              </w:rPr>
              <w:t xml:space="preserve"># </w:t>
            </w:r>
            <w:proofErr w:type="gramStart"/>
            <w:r w:rsidRPr="00A445AD">
              <w:rPr>
                <w:lang w:val="en-GB"/>
              </w:rPr>
              <w:t>of</w:t>
            </w:r>
            <w:proofErr w:type="gramEnd"/>
            <w:r w:rsidRPr="00A445AD">
              <w:rPr>
                <w:lang w:val="en-GB"/>
              </w:rPr>
              <w:t xml:space="preserve"> participants reporting </w:t>
            </w:r>
            <w:r w:rsidR="003E32E2" w:rsidRPr="00A445AD">
              <w:rPr>
                <w:lang w:val="en-GB"/>
              </w:rPr>
              <w:t xml:space="preserve">social </w:t>
            </w:r>
            <w:r w:rsidRPr="00A445AD">
              <w:rPr>
                <w:lang w:val="en-GB"/>
              </w:rPr>
              <w:t>harms</w:t>
            </w:r>
            <w:r w:rsidR="003E32E2" w:rsidRPr="00A445AD">
              <w:rPr>
                <w:lang w:val="en-GB"/>
              </w:rPr>
              <w:t xml:space="preserve"> and sub-portion attributed to PrEP use</w:t>
            </w:r>
          </w:p>
        </w:tc>
        <w:tc>
          <w:tcPr>
            <w:tcW w:w="1890" w:type="dxa"/>
          </w:tcPr>
          <w:p w14:paraId="58E5D8B9" w14:textId="77777777" w:rsidR="00EA292B" w:rsidRPr="00A445AD" w:rsidRDefault="00EA292B" w:rsidP="00A445AD">
            <w:pPr>
              <w:spacing w:before="0"/>
              <w:rPr>
                <w:lang w:val="en-GB"/>
              </w:rPr>
            </w:pPr>
            <w:r w:rsidRPr="00A445AD">
              <w:rPr>
                <w:lang w:val="en-GB"/>
              </w:rPr>
              <w:t xml:space="preserve">All follow-up and ad hoc visits </w:t>
            </w:r>
          </w:p>
        </w:tc>
        <w:tc>
          <w:tcPr>
            <w:tcW w:w="4410" w:type="dxa"/>
          </w:tcPr>
          <w:p w14:paraId="04B80A27" w14:textId="77777777" w:rsidR="00EA292B" w:rsidRPr="00A445AD" w:rsidRDefault="00EA292B" w:rsidP="00A445AD">
            <w:pPr>
              <w:spacing w:before="0"/>
              <w:rPr>
                <w:lang w:val="en-GB"/>
              </w:rPr>
            </w:pPr>
            <w:r w:rsidRPr="00A445AD">
              <w:rPr>
                <w:lang w:val="en-GB"/>
              </w:rPr>
              <w:t xml:space="preserve">Safety </w:t>
            </w:r>
            <w:proofErr w:type="gramStart"/>
            <w:r w:rsidRPr="00A445AD">
              <w:rPr>
                <w:lang w:val="en-GB"/>
              </w:rPr>
              <w:t>outcome;</w:t>
            </w:r>
            <w:proofErr w:type="gramEnd"/>
            <w:r w:rsidRPr="00A445AD">
              <w:rPr>
                <w:lang w:val="en-GB"/>
              </w:rPr>
              <w:t xml:space="preserve"> relatedness to PrEP method use; plan aggregate across sites</w:t>
            </w:r>
          </w:p>
        </w:tc>
      </w:tr>
    </w:tbl>
    <w:p w14:paraId="39241E9C" w14:textId="229C6118" w:rsidR="00EA292B" w:rsidRPr="00DA2B08" w:rsidRDefault="4361180D" w:rsidP="00140E4C">
      <w:pPr>
        <w:spacing w:before="0"/>
        <w:ind w:left="-900"/>
        <w:rPr>
          <w:sz w:val="18"/>
          <w:szCs w:val="18"/>
          <w:lang w:val="en-GB"/>
        </w:rPr>
      </w:pPr>
      <w:r w:rsidRPr="00DA2B08">
        <w:rPr>
          <w:sz w:val="18"/>
          <w:szCs w:val="18"/>
          <w:lang w:val="en-GB"/>
        </w:rPr>
        <w:t>*</w:t>
      </w:r>
      <w:r w:rsidR="5A701DE3" w:rsidRPr="00DA2B08">
        <w:rPr>
          <w:sz w:val="18"/>
          <w:szCs w:val="18"/>
          <w:lang w:val="en-GB"/>
        </w:rPr>
        <w:t>C</w:t>
      </w:r>
      <w:r w:rsidRPr="00DA2B08">
        <w:rPr>
          <w:sz w:val="18"/>
          <w:szCs w:val="18"/>
          <w:lang w:val="en-GB"/>
        </w:rPr>
        <w:t>hange pending emerging evidence of safety in pregnancy</w:t>
      </w:r>
    </w:p>
    <w:p w14:paraId="42DFA49B" w14:textId="1ABE3857" w:rsidR="00A15468" w:rsidRPr="00DA2B08" w:rsidRDefault="00A15468" w:rsidP="00140E4C">
      <w:pPr>
        <w:spacing w:before="120"/>
        <w:ind w:left="-900"/>
        <w:rPr>
          <w:sz w:val="18"/>
          <w:szCs w:val="18"/>
          <w:lang w:val="en-GB"/>
        </w:rPr>
      </w:pPr>
      <w:r w:rsidRPr="00DA2B08">
        <w:rPr>
          <w:rFonts w:cs="Arial"/>
          <w:sz w:val="18"/>
          <w:szCs w:val="18"/>
          <w:lang w:val="en-GB"/>
        </w:rPr>
        <w:t>†</w:t>
      </w:r>
      <w:r w:rsidRPr="00DA2B08">
        <w:rPr>
          <w:sz w:val="18"/>
          <w:szCs w:val="18"/>
          <w:lang w:val="en-GB"/>
        </w:rPr>
        <w:t xml:space="preserve"> Social harms should use the most appropriate national definition. A suggested definition is: “</w:t>
      </w:r>
      <w:r w:rsidR="00BF6188" w:rsidRPr="00DA2B08">
        <w:rPr>
          <w:sz w:val="18"/>
          <w:szCs w:val="18"/>
          <w:lang w:val="en-GB"/>
        </w:rPr>
        <w:t>S</w:t>
      </w:r>
      <w:r w:rsidRPr="00DA2B08">
        <w:rPr>
          <w:sz w:val="18"/>
          <w:szCs w:val="18"/>
          <w:lang w:val="en-GB"/>
        </w:rPr>
        <w:t>ocial harms are events that cause physical, emotional, or financial but nonmedical adverse consequences due to PrEP use.”</w:t>
      </w:r>
    </w:p>
    <w:p w14:paraId="39B71067" w14:textId="66CD2267" w:rsidR="00EA292B" w:rsidRPr="00D20C32" w:rsidRDefault="00EA292B" w:rsidP="00140E4C">
      <w:pPr>
        <w:ind w:left="-900"/>
        <w:rPr>
          <w:b/>
          <w:bCs w:val="0"/>
          <w:lang w:val="en-GB"/>
        </w:rPr>
      </w:pPr>
      <w:r w:rsidRPr="00D20C32">
        <w:rPr>
          <w:b/>
          <w:bCs w:val="0"/>
          <w:lang w:val="en-GB"/>
        </w:rPr>
        <w:t>Table 4. Suggested outcome measures and questions for investigator consideration</w:t>
      </w:r>
    </w:p>
    <w:tbl>
      <w:tblPr>
        <w:tblStyle w:val="TableGrid"/>
        <w:tblW w:w="13230" w:type="dxa"/>
        <w:tblInd w:w="-905" w:type="dxa"/>
        <w:tblLook w:val="04A0" w:firstRow="1" w:lastRow="0" w:firstColumn="1" w:lastColumn="0" w:noHBand="0" w:noVBand="1"/>
      </w:tblPr>
      <w:tblGrid>
        <w:gridCol w:w="3060"/>
        <w:gridCol w:w="3240"/>
        <w:gridCol w:w="2970"/>
        <w:gridCol w:w="3960"/>
      </w:tblGrid>
      <w:tr w:rsidR="004D6FBC" w:rsidRPr="00D20C32" w14:paraId="55ED1165" w14:textId="77777777" w:rsidTr="0061511D">
        <w:trPr>
          <w:trHeight w:val="737"/>
        </w:trPr>
        <w:tc>
          <w:tcPr>
            <w:tcW w:w="3060" w:type="dxa"/>
            <w:shd w:val="clear" w:color="auto" w:fill="FCE2D2" w:themeFill="accent4" w:themeFillTint="33"/>
          </w:tcPr>
          <w:p w14:paraId="3EFD0F11" w14:textId="77777777" w:rsidR="00EA292B" w:rsidRPr="008E4FDF" w:rsidRDefault="00EA292B" w:rsidP="008E4FDF">
            <w:pPr>
              <w:pStyle w:val="Tableheader"/>
              <w:ind w:left="180"/>
              <w:rPr>
                <w:rFonts w:cs="Arial"/>
                <w:szCs w:val="20"/>
                <w:lang w:val="en-GB"/>
              </w:rPr>
            </w:pPr>
            <w:r w:rsidRPr="00D20C32">
              <w:rPr>
                <w:rFonts w:cs="Arial"/>
                <w:szCs w:val="20"/>
                <w:lang w:val="en-GB"/>
              </w:rPr>
              <w:t>Outcome measures</w:t>
            </w:r>
          </w:p>
        </w:tc>
        <w:tc>
          <w:tcPr>
            <w:tcW w:w="3240" w:type="dxa"/>
            <w:shd w:val="clear" w:color="auto" w:fill="FCE2D2" w:themeFill="accent4" w:themeFillTint="33"/>
          </w:tcPr>
          <w:p w14:paraId="0D37DC3D" w14:textId="77777777" w:rsidR="00EA292B" w:rsidRPr="008E4FDF" w:rsidRDefault="00EA292B" w:rsidP="008E4FDF">
            <w:pPr>
              <w:pStyle w:val="Tableheader"/>
              <w:ind w:left="180"/>
              <w:rPr>
                <w:rFonts w:cs="Arial"/>
                <w:szCs w:val="20"/>
                <w:lang w:val="en-GB"/>
              </w:rPr>
            </w:pPr>
            <w:r w:rsidRPr="008E4FDF">
              <w:rPr>
                <w:rFonts w:cs="Arial"/>
                <w:szCs w:val="20"/>
                <w:lang w:val="en-GB"/>
              </w:rPr>
              <w:t>How measured?</w:t>
            </w:r>
          </w:p>
        </w:tc>
        <w:tc>
          <w:tcPr>
            <w:tcW w:w="2970" w:type="dxa"/>
            <w:shd w:val="clear" w:color="auto" w:fill="FCE2D2" w:themeFill="accent4" w:themeFillTint="33"/>
          </w:tcPr>
          <w:p w14:paraId="3308DA91" w14:textId="77777777" w:rsidR="00EA292B" w:rsidRPr="008E4FDF" w:rsidRDefault="00EA292B" w:rsidP="008E4FDF">
            <w:pPr>
              <w:pStyle w:val="Tableheader"/>
              <w:ind w:left="180"/>
              <w:rPr>
                <w:rFonts w:cs="Arial"/>
                <w:szCs w:val="20"/>
                <w:lang w:val="en-GB"/>
              </w:rPr>
            </w:pPr>
            <w:r w:rsidRPr="008E4FDF">
              <w:rPr>
                <w:rFonts w:cs="Arial"/>
                <w:szCs w:val="20"/>
                <w:lang w:val="en-GB"/>
              </w:rPr>
              <w:t>When measured?</w:t>
            </w:r>
          </w:p>
        </w:tc>
        <w:tc>
          <w:tcPr>
            <w:tcW w:w="3960" w:type="dxa"/>
            <w:shd w:val="clear" w:color="auto" w:fill="FCE2D2" w:themeFill="accent4" w:themeFillTint="33"/>
          </w:tcPr>
          <w:p w14:paraId="75B5AE4F" w14:textId="77777777" w:rsidR="00EA292B" w:rsidRPr="008E4FDF" w:rsidRDefault="00EA292B" w:rsidP="008E4FDF">
            <w:pPr>
              <w:pStyle w:val="Tableheader"/>
              <w:ind w:left="180"/>
              <w:rPr>
                <w:rFonts w:cs="Arial"/>
                <w:szCs w:val="20"/>
                <w:lang w:val="en-GB"/>
              </w:rPr>
            </w:pPr>
            <w:r w:rsidRPr="008E4FDF">
              <w:rPr>
                <w:rFonts w:cs="Arial"/>
                <w:szCs w:val="20"/>
                <w:lang w:val="en-GB"/>
              </w:rPr>
              <w:t>Role in analysis?</w:t>
            </w:r>
          </w:p>
        </w:tc>
      </w:tr>
      <w:tr w:rsidR="004D6FBC" w:rsidRPr="00D20C32" w14:paraId="4B56EA8E" w14:textId="77777777" w:rsidTr="00DA5CE6">
        <w:tc>
          <w:tcPr>
            <w:tcW w:w="13230" w:type="dxa"/>
            <w:gridSpan w:val="4"/>
            <w:tcBorders>
              <w:bottom w:val="single" w:sz="4" w:space="0" w:color="auto"/>
            </w:tcBorders>
            <w:shd w:val="clear" w:color="auto" w:fill="F4711F" w:themeFill="accent4"/>
            <w:vAlign w:val="center"/>
          </w:tcPr>
          <w:p w14:paraId="02C143E9" w14:textId="0E84105D" w:rsidR="00EA292B" w:rsidRPr="008E4FDF" w:rsidRDefault="00EA292B" w:rsidP="00837B5A">
            <w:pPr>
              <w:rPr>
                <w:b/>
                <w:bCs w:val="0"/>
                <w:color w:val="FFFFFF"/>
                <w:lang w:val="en-GB"/>
              </w:rPr>
            </w:pPr>
            <w:r w:rsidRPr="008E4FDF">
              <w:rPr>
                <w:rFonts w:cs="Arial"/>
                <w:b/>
                <w:bCs w:val="0"/>
                <w:color w:val="FFFFFF"/>
                <w:szCs w:val="20"/>
                <w:lang w:val="en-GB"/>
              </w:rPr>
              <w:t>Suggested Feasibility Measures: End</w:t>
            </w:r>
            <w:r w:rsidR="00711401" w:rsidRPr="008E4FDF">
              <w:rPr>
                <w:rFonts w:cs="Arial"/>
                <w:b/>
                <w:bCs w:val="0"/>
                <w:color w:val="FFFFFF"/>
                <w:szCs w:val="20"/>
                <w:lang w:val="en-GB"/>
              </w:rPr>
              <w:t>-</w:t>
            </w:r>
            <w:r w:rsidRPr="008E4FDF">
              <w:rPr>
                <w:rFonts w:cs="Arial"/>
                <w:b/>
                <w:bCs w:val="0"/>
                <w:color w:val="FFFFFF"/>
                <w:szCs w:val="20"/>
                <w:lang w:val="en-GB"/>
              </w:rPr>
              <w:t>Users</w:t>
            </w:r>
          </w:p>
        </w:tc>
      </w:tr>
      <w:tr w:rsidR="00EA292B" w:rsidRPr="00D20C32" w14:paraId="0728BAF7" w14:textId="77777777" w:rsidTr="0061511D">
        <w:tc>
          <w:tcPr>
            <w:tcW w:w="3060" w:type="dxa"/>
            <w:tcBorders>
              <w:bottom w:val="single" w:sz="4" w:space="0" w:color="auto"/>
            </w:tcBorders>
            <w:shd w:val="clear" w:color="auto" w:fill="auto"/>
          </w:tcPr>
          <w:p w14:paraId="60712A2B" w14:textId="42255B9A" w:rsidR="00EA292B" w:rsidRPr="00A445AD" w:rsidRDefault="00EA292B" w:rsidP="00A445AD">
            <w:pPr>
              <w:spacing w:before="0"/>
              <w:rPr>
                <w:lang w:val="en-GB"/>
              </w:rPr>
            </w:pPr>
            <w:r w:rsidRPr="00A445AD">
              <w:rPr>
                <w:lang w:val="en-GB"/>
              </w:rPr>
              <w:t>PrEP method planned to use at time of facility visit (</w:t>
            </w:r>
            <w:r w:rsidR="00D20C32" w:rsidRPr="00A445AD">
              <w:rPr>
                <w:lang w:val="en-GB"/>
              </w:rPr>
              <w:t>enrolment</w:t>
            </w:r>
            <w:r w:rsidRPr="00A445AD">
              <w:rPr>
                <w:lang w:val="en-GB"/>
              </w:rPr>
              <w:t>)</w:t>
            </w:r>
          </w:p>
        </w:tc>
        <w:tc>
          <w:tcPr>
            <w:tcW w:w="3240" w:type="dxa"/>
            <w:tcBorders>
              <w:bottom w:val="single" w:sz="4" w:space="0" w:color="auto"/>
            </w:tcBorders>
            <w:shd w:val="clear" w:color="auto" w:fill="auto"/>
          </w:tcPr>
          <w:p w14:paraId="706BA9A1" w14:textId="77777777" w:rsidR="00EA292B" w:rsidRPr="00A445AD" w:rsidRDefault="00EA292B" w:rsidP="00A445AD">
            <w:pPr>
              <w:pStyle w:val="paragraph"/>
              <w:spacing w:before="0"/>
              <w:textAlignment w:val="baseline"/>
              <w:rPr>
                <w:rFonts w:ascii="Arial" w:eastAsiaTheme="minorEastAsia" w:hAnsi="Arial" w:cstheme="minorBidi"/>
                <w:bCs/>
                <w:sz w:val="20"/>
                <w:szCs w:val="22"/>
                <w:lang w:val="en-GB" w:eastAsia="zh-CN"/>
              </w:rPr>
            </w:pPr>
            <w:r w:rsidRPr="00A445AD">
              <w:rPr>
                <w:rFonts w:ascii="Arial" w:eastAsiaTheme="minorEastAsia" w:hAnsi="Arial" w:cstheme="minorBidi"/>
                <w:bCs/>
                <w:sz w:val="20"/>
                <w:szCs w:val="22"/>
                <w:lang w:val="en-GB" w:eastAsia="zh-CN"/>
              </w:rPr>
              <w:t>Please see Annex 3 for suggested quantitative questions.</w:t>
            </w:r>
          </w:p>
        </w:tc>
        <w:tc>
          <w:tcPr>
            <w:tcW w:w="2970" w:type="dxa"/>
            <w:tcBorders>
              <w:bottom w:val="single" w:sz="4" w:space="0" w:color="auto"/>
            </w:tcBorders>
            <w:shd w:val="clear" w:color="auto" w:fill="auto"/>
          </w:tcPr>
          <w:p w14:paraId="6D5788E9" w14:textId="4B17D36A" w:rsidR="00EA292B" w:rsidRPr="00D20C32" w:rsidRDefault="4361180D" w:rsidP="00A445AD">
            <w:pPr>
              <w:spacing w:before="0"/>
              <w:rPr>
                <w:lang w:val="en-GB"/>
              </w:rPr>
            </w:pPr>
            <w:r w:rsidRPr="2104C340">
              <w:rPr>
                <w:lang w:val="en-GB"/>
              </w:rPr>
              <w:t>End-user interview following sensiti</w:t>
            </w:r>
            <w:r w:rsidR="57C5AACE" w:rsidRPr="2104C340">
              <w:rPr>
                <w:lang w:val="en-GB"/>
              </w:rPr>
              <w:t>s</w:t>
            </w:r>
            <w:r w:rsidRPr="2104C340">
              <w:rPr>
                <w:lang w:val="en-GB"/>
              </w:rPr>
              <w:t xml:space="preserve">ation session </w:t>
            </w:r>
            <w:r w:rsidR="4257A535" w:rsidRPr="2104C340">
              <w:rPr>
                <w:lang w:val="en-GB"/>
              </w:rPr>
              <w:t xml:space="preserve">and </w:t>
            </w:r>
            <w:r w:rsidRPr="2104C340">
              <w:rPr>
                <w:lang w:val="en-GB"/>
              </w:rPr>
              <w:t>before provider visit, if feasible</w:t>
            </w:r>
          </w:p>
        </w:tc>
        <w:tc>
          <w:tcPr>
            <w:tcW w:w="3960" w:type="dxa"/>
            <w:tcBorders>
              <w:bottom w:val="single" w:sz="4" w:space="0" w:color="auto"/>
            </w:tcBorders>
            <w:shd w:val="clear" w:color="auto" w:fill="auto"/>
          </w:tcPr>
          <w:p w14:paraId="522C4390" w14:textId="136A9AB7" w:rsidR="00EA292B" w:rsidRPr="00D20C32" w:rsidRDefault="00EA292B" w:rsidP="00A445AD">
            <w:pPr>
              <w:spacing w:before="0"/>
              <w:rPr>
                <w:lang w:val="en-GB"/>
              </w:rPr>
            </w:pPr>
            <w:r w:rsidRPr="00D20C32">
              <w:rPr>
                <w:lang w:val="en-GB"/>
              </w:rPr>
              <w:t xml:space="preserve">Comparison of client perceptions prior to and following provider </w:t>
            </w:r>
            <w:r w:rsidR="00D20C32" w:rsidRPr="00D20C32">
              <w:rPr>
                <w:lang w:val="en-GB"/>
              </w:rPr>
              <w:t>counselling</w:t>
            </w:r>
          </w:p>
        </w:tc>
      </w:tr>
      <w:tr w:rsidR="00EA292B" w:rsidRPr="00D20C32" w14:paraId="601192D5" w14:textId="77777777" w:rsidTr="0061511D">
        <w:tc>
          <w:tcPr>
            <w:tcW w:w="3060" w:type="dxa"/>
            <w:tcBorders>
              <w:bottom w:val="single" w:sz="4" w:space="0" w:color="auto"/>
            </w:tcBorders>
            <w:shd w:val="clear" w:color="auto" w:fill="auto"/>
          </w:tcPr>
          <w:p w14:paraId="40994C6E" w14:textId="77777777" w:rsidR="00EA292B" w:rsidRPr="00A445AD" w:rsidRDefault="00EA292B" w:rsidP="00A445AD">
            <w:pPr>
              <w:spacing w:before="0"/>
              <w:rPr>
                <w:lang w:val="en-GB"/>
              </w:rPr>
            </w:pPr>
            <w:r w:rsidRPr="00A445AD">
              <w:rPr>
                <w:lang w:val="en-GB"/>
              </w:rPr>
              <w:t>Perceived effort to access/use the ring</w:t>
            </w:r>
          </w:p>
        </w:tc>
        <w:tc>
          <w:tcPr>
            <w:tcW w:w="3240" w:type="dxa"/>
            <w:tcBorders>
              <w:bottom w:val="single" w:sz="4" w:space="0" w:color="auto"/>
            </w:tcBorders>
            <w:shd w:val="clear" w:color="auto" w:fill="auto"/>
          </w:tcPr>
          <w:p w14:paraId="5415E25D" w14:textId="77777777" w:rsidR="00EA292B" w:rsidRPr="00A445AD" w:rsidRDefault="00EA292B" w:rsidP="00A445AD">
            <w:pPr>
              <w:spacing w:before="0" w:line="240" w:lineRule="auto"/>
              <w:rPr>
                <w:lang w:val="en-GB"/>
              </w:rPr>
            </w:pPr>
            <w:r w:rsidRPr="00A445AD">
              <w:rPr>
                <w:lang w:val="en-GB"/>
              </w:rPr>
              <w:t>Please see Annex 3 for suggested quantitative questions.</w:t>
            </w:r>
          </w:p>
        </w:tc>
        <w:tc>
          <w:tcPr>
            <w:tcW w:w="2970" w:type="dxa"/>
            <w:tcBorders>
              <w:bottom w:val="single" w:sz="4" w:space="0" w:color="auto"/>
            </w:tcBorders>
            <w:shd w:val="clear" w:color="auto" w:fill="auto"/>
          </w:tcPr>
          <w:p w14:paraId="6699F1C9" w14:textId="6C166179" w:rsidR="00EA292B" w:rsidRPr="00D20C32" w:rsidRDefault="4361180D" w:rsidP="00A445AD">
            <w:pPr>
              <w:spacing w:before="0"/>
              <w:rPr>
                <w:lang w:val="en-GB"/>
              </w:rPr>
            </w:pPr>
            <w:r w:rsidRPr="2104C340">
              <w:rPr>
                <w:lang w:val="en-GB"/>
              </w:rPr>
              <w:t>Interviews following community or waiting room sensiti</w:t>
            </w:r>
            <w:r w:rsidR="4F79DA11" w:rsidRPr="2104C340">
              <w:rPr>
                <w:lang w:val="en-GB"/>
              </w:rPr>
              <w:t>s</w:t>
            </w:r>
            <w:r w:rsidRPr="2104C340">
              <w:rPr>
                <w:lang w:val="en-GB"/>
              </w:rPr>
              <w:t>ation sessions</w:t>
            </w:r>
          </w:p>
        </w:tc>
        <w:tc>
          <w:tcPr>
            <w:tcW w:w="3960" w:type="dxa"/>
            <w:tcBorders>
              <w:bottom w:val="single" w:sz="4" w:space="0" w:color="auto"/>
            </w:tcBorders>
            <w:shd w:val="clear" w:color="auto" w:fill="auto"/>
          </w:tcPr>
          <w:p w14:paraId="3BB8CEEA" w14:textId="77777777" w:rsidR="00EA292B" w:rsidRDefault="00EA292B" w:rsidP="00A445AD">
            <w:pPr>
              <w:spacing w:before="0"/>
              <w:rPr>
                <w:lang w:val="en-GB"/>
              </w:rPr>
            </w:pPr>
            <w:r w:rsidRPr="00D20C32">
              <w:rPr>
                <w:lang w:val="en-GB"/>
              </w:rPr>
              <w:t xml:space="preserve">Context-specific client preferences to shape demand creation </w:t>
            </w:r>
            <w:r w:rsidR="00170859" w:rsidRPr="00D20C32">
              <w:rPr>
                <w:lang w:val="en-GB"/>
              </w:rPr>
              <w:t>and</w:t>
            </w:r>
            <w:r w:rsidRPr="00D20C32">
              <w:rPr>
                <w:lang w:val="en-GB"/>
              </w:rPr>
              <w:t xml:space="preserve"> service provision</w:t>
            </w:r>
          </w:p>
          <w:p w14:paraId="5F0B341C" w14:textId="77777777" w:rsidR="0061511D" w:rsidRDefault="0061511D" w:rsidP="00A445AD">
            <w:pPr>
              <w:spacing w:before="0"/>
              <w:rPr>
                <w:lang w:val="en-GB"/>
              </w:rPr>
            </w:pPr>
          </w:p>
          <w:p w14:paraId="3ADD8A5B" w14:textId="0A183DE5" w:rsidR="0061511D" w:rsidRPr="00D20C32" w:rsidRDefault="0061511D" w:rsidP="00A445AD">
            <w:pPr>
              <w:spacing w:before="0"/>
              <w:rPr>
                <w:lang w:val="en-GB"/>
              </w:rPr>
            </w:pPr>
          </w:p>
        </w:tc>
      </w:tr>
      <w:tr w:rsidR="0061511D" w:rsidRPr="00D20C32" w14:paraId="38E43060" w14:textId="77777777" w:rsidTr="0061511D">
        <w:trPr>
          <w:trHeight w:val="530"/>
        </w:trPr>
        <w:tc>
          <w:tcPr>
            <w:tcW w:w="3060" w:type="dxa"/>
            <w:shd w:val="clear" w:color="auto" w:fill="FCE2D2" w:themeFill="accent4" w:themeFillTint="33"/>
          </w:tcPr>
          <w:p w14:paraId="5DE7DA57" w14:textId="77777777" w:rsidR="0061511D" w:rsidRPr="008E4FDF" w:rsidRDefault="0061511D" w:rsidP="00562CEA">
            <w:pPr>
              <w:pStyle w:val="Tableheader"/>
              <w:ind w:left="180"/>
              <w:rPr>
                <w:rFonts w:cs="Arial"/>
                <w:szCs w:val="20"/>
                <w:lang w:val="en-GB"/>
              </w:rPr>
            </w:pPr>
            <w:r w:rsidRPr="00D20C32">
              <w:rPr>
                <w:rFonts w:cs="Arial"/>
                <w:szCs w:val="20"/>
                <w:lang w:val="en-GB"/>
              </w:rPr>
              <w:lastRenderedPageBreak/>
              <w:t>Outcome measures</w:t>
            </w:r>
          </w:p>
        </w:tc>
        <w:tc>
          <w:tcPr>
            <w:tcW w:w="3240" w:type="dxa"/>
            <w:shd w:val="clear" w:color="auto" w:fill="FCE2D2" w:themeFill="accent4" w:themeFillTint="33"/>
          </w:tcPr>
          <w:p w14:paraId="22B01EE3" w14:textId="77777777" w:rsidR="0061511D" w:rsidRPr="008E4FDF" w:rsidRDefault="0061511D" w:rsidP="00562CEA">
            <w:pPr>
              <w:pStyle w:val="Tableheader"/>
              <w:ind w:left="180"/>
              <w:rPr>
                <w:rFonts w:cs="Arial"/>
                <w:szCs w:val="20"/>
                <w:lang w:val="en-GB"/>
              </w:rPr>
            </w:pPr>
            <w:r w:rsidRPr="008E4FDF">
              <w:rPr>
                <w:rFonts w:cs="Arial"/>
                <w:szCs w:val="20"/>
                <w:lang w:val="en-GB"/>
              </w:rPr>
              <w:t>How measured?</w:t>
            </w:r>
          </w:p>
        </w:tc>
        <w:tc>
          <w:tcPr>
            <w:tcW w:w="2970" w:type="dxa"/>
            <w:shd w:val="clear" w:color="auto" w:fill="FCE2D2" w:themeFill="accent4" w:themeFillTint="33"/>
          </w:tcPr>
          <w:p w14:paraId="599DB7CA" w14:textId="77777777" w:rsidR="0061511D" w:rsidRPr="008E4FDF" w:rsidRDefault="0061511D" w:rsidP="00562CEA">
            <w:pPr>
              <w:pStyle w:val="Tableheader"/>
              <w:ind w:left="180"/>
              <w:rPr>
                <w:rFonts w:cs="Arial"/>
                <w:szCs w:val="20"/>
                <w:lang w:val="en-GB"/>
              </w:rPr>
            </w:pPr>
            <w:r w:rsidRPr="008E4FDF">
              <w:rPr>
                <w:rFonts w:cs="Arial"/>
                <w:szCs w:val="20"/>
                <w:lang w:val="en-GB"/>
              </w:rPr>
              <w:t>When measured?</w:t>
            </w:r>
          </w:p>
        </w:tc>
        <w:tc>
          <w:tcPr>
            <w:tcW w:w="3960" w:type="dxa"/>
            <w:shd w:val="clear" w:color="auto" w:fill="FCE2D2" w:themeFill="accent4" w:themeFillTint="33"/>
          </w:tcPr>
          <w:p w14:paraId="12A0AB9C" w14:textId="77777777" w:rsidR="0061511D" w:rsidRPr="008E4FDF" w:rsidRDefault="0061511D" w:rsidP="00562CEA">
            <w:pPr>
              <w:pStyle w:val="Tableheader"/>
              <w:ind w:left="180"/>
              <w:rPr>
                <w:rFonts w:cs="Arial"/>
                <w:szCs w:val="20"/>
                <w:lang w:val="en-GB"/>
              </w:rPr>
            </w:pPr>
            <w:r w:rsidRPr="008E4FDF">
              <w:rPr>
                <w:rFonts w:cs="Arial"/>
                <w:szCs w:val="20"/>
                <w:lang w:val="en-GB"/>
              </w:rPr>
              <w:t>Role in analysis?</w:t>
            </w:r>
          </w:p>
        </w:tc>
      </w:tr>
      <w:tr w:rsidR="006342D2" w:rsidRPr="00D20C32" w14:paraId="30DF6062" w14:textId="77777777" w:rsidTr="00562CEA">
        <w:tc>
          <w:tcPr>
            <w:tcW w:w="13230" w:type="dxa"/>
            <w:gridSpan w:val="4"/>
            <w:tcBorders>
              <w:bottom w:val="single" w:sz="4" w:space="0" w:color="auto"/>
            </w:tcBorders>
            <w:shd w:val="clear" w:color="auto" w:fill="F4711F" w:themeFill="accent4"/>
            <w:vAlign w:val="center"/>
          </w:tcPr>
          <w:p w14:paraId="0F2C4853" w14:textId="209DEC21" w:rsidR="006342D2" w:rsidRPr="008E4FDF" w:rsidRDefault="006342D2" w:rsidP="00562CEA">
            <w:pPr>
              <w:rPr>
                <w:b/>
                <w:bCs w:val="0"/>
                <w:color w:val="FFFFFF"/>
                <w:lang w:val="en-GB"/>
              </w:rPr>
            </w:pPr>
            <w:r w:rsidRPr="008E4FDF">
              <w:rPr>
                <w:rFonts w:cs="Arial"/>
                <w:b/>
                <w:bCs w:val="0"/>
                <w:color w:val="FFFFFF"/>
                <w:szCs w:val="20"/>
                <w:lang w:val="en-GB"/>
              </w:rPr>
              <w:t>Suggested Feasibility Measures: End-Users</w:t>
            </w:r>
            <w:r>
              <w:rPr>
                <w:rFonts w:cs="Arial"/>
                <w:b/>
                <w:bCs w:val="0"/>
                <w:color w:val="FFFFFF"/>
                <w:szCs w:val="20"/>
                <w:lang w:val="en-GB"/>
              </w:rPr>
              <w:t xml:space="preserve"> (continued)</w:t>
            </w:r>
          </w:p>
        </w:tc>
      </w:tr>
      <w:tr w:rsidR="00EA292B" w:rsidRPr="00D20C32" w14:paraId="42DBBFDB" w14:textId="77777777" w:rsidTr="0061511D">
        <w:tc>
          <w:tcPr>
            <w:tcW w:w="3060" w:type="dxa"/>
            <w:tcBorders>
              <w:bottom w:val="single" w:sz="4" w:space="0" w:color="auto"/>
            </w:tcBorders>
            <w:shd w:val="clear" w:color="auto" w:fill="auto"/>
          </w:tcPr>
          <w:p w14:paraId="774B850F" w14:textId="77777777" w:rsidR="00EA292B" w:rsidRPr="00A445AD" w:rsidRDefault="00EA292B" w:rsidP="00A445AD">
            <w:pPr>
              <w:spacing w:before="0"/>
              <w:rPr>
                <w:lang w:val="en-GB"/>
              </w:rPr>
            </w:pPr>
            <w:r w:rsidRPr="00A445AD">
              <w:rPr>
                <w:lang w:val="en-GB"/>
              </w:rPr>
              <w:t>Perceived “opportunity costs” associated with ring use</w:t>
            </w:r>
          </w:p>
        </w:tc>
        <w:tc>
          <w:tcPr>
            <w:tcW w:w="3240" w:type="dxa"/>
            <w:tcBorders>
              <w:bottom w:val="single" w:sz="4" w:space="0" w:color="auto"/>
            </w:tcBorders>
            <w:shd w:val="clear" w:color="auto" w:fill="auto"/>
          </w:tcPr>
          <w:p w14:paraId="5A3E2023" w14:textId="77777777" w:rsidR="00EA292B" w:rsidRPr="00A445AD" w:rsidRDefault="00EA292B" w:rsidP="00A445AD">
            <w:pPr>
              <w:pStyle w:val="paragraph"/>
              <w:spacing w:before="0"/>
              <w:textAlignment w:val="baseline"/>
              <w:rPr>
                <w:rFonts w:ascii="Arial" w:eastAsiaTheme="minorEastAsia" w:hAnsi="Arial" w:cstheme="minorBidi"/>
                <w:bCs/>
                <w:sz w:val="20"/>
                <w:szCs w:val="22"/>
                <w:lang w:val="en-GB" w:eastAsia="zh-CN"/>
              </w:rPr>
            </w:pPr>
            <w:r w:rsidRPr="00A445AD">
              <w:rPr>
                <w:rFonts w:ascii="Arial" w:eastAsiaTheme="minorEastAsia" w:hAnsi="Arial" w:cstheme="minorBidi"/>
                <w:bCs/>
                <w:sz w:val="20"/>
                <w:szCs w:val="22"/>
                <w:lang w:val="en-GB" w:eastAsia="zh-CN"/>
              </w:rPr>
              <w:t>Please see Annex 3 for suggested quantitative questions.</w:t>
            </w:r>
          </w:p>
        </w:tc>
        <w:tc>
          <w:tcPr>
            <w:tcW w:w="2970" w:type="dxa"/>
            <w:tcBorders>
              <w:bottom w:val="single" w:sz="4" w:space="0" w:color="auto"/>
            </w:tcBorders>
            <w:shd w:val="clear" w:color="auto" w:fill="auto"/>
          </w:tcPr>
          <w:p w14:paraId="1C63C3DF" w14:textId="31A64DB4" w:rsidR="00EA292B" w:rsidRPr="00D20C32" w:rsidRDefault="4361180D" w:rsidP="00A445AD">
            <w:pPr>
              <w:spacing w:before="0"/>
              <w:rPr>
                <w:lang w:val="en-GB"/>
              </w:rPr>
            </w:pPr>
            <w:r w:rsidRPr="2104C340">
              <w:rPr>
                <w:lang w:val="en-GB"/>
              </w:rPr>
              <w:t>Interviews following community or waiting room sensiti</w:t>
            </w:r>
            <w:r w:rsidR="024D489C" w:rsidRPr="2104C340">
              <w:rPr>
                <w:lang w:val="en-GB"/>
              </w:rPr>
              <w:t>s</w:t>
            </w:r>
            <w:r w:rsidRPr="2104C340">
              <w:rPr>
                <w:lang w:val="en-GB"/>
              </w:rPr>
              <w:t>ation sessions</w:t>
            </w:r>
          </w:p>
        </w:tc>
        <w:tc>
          <w:tcPr>
            <w:tcW w:w="3960" w:type="dxa"/>
            <w:tcBorders>
              <w:bottom w:val="single" w:sz="4" w:space="0" w:color="auto"/>
            </w:tcBorders>
            <w:shd w:val="clear" w:color="auto" w:fill="auto"/>
          </w:tcPr>
          <w:p w14:paraId="3A5DFDBB" w14:textId="5BC15062" w:rsidR="00EA292B" w:rsidRPr="00D20C32" w:rsidRDefault="00EA292B" w:rsidP="00A445AD">
            <w:pPr>
              <w:spacing w:before="0"/>
              <w:rPr>
                <w:lang w:val="en-GB"/>
              </w:rPr>
            </w:pPr>
            <w:r w:rsidRPr="00D20C32">
              <w:rPr>
                <w:lang w:val="en-GB"/>
              </w:rPr>
              <w:t xml:space="preserve">Context-specific client preferences to shape demand creation </w:t>
            </w:r>
            <w:r w:rsidR="00170859" w:rsidRPr="00D20C32">
              <w:rPr>
                <w:lang w:val="en-GB"/>
              </w:rPr>
              <w:t>and</w:t>
            </w:r>
            <w:r w:rsidRPr="00D20C32">
              <w:rPr>
                <w:lang w:val="en-GB"/>
              </w:rPr>
              <w:t xml:space="preserve"> service provision</w:t>
            </w:r>
          </w:p>
        </w:tc>
      </w:tr>
      <w:tr w:rsidR="00EA292B" w:rsidRPr="00D20C32" w14:paraId="3F540250" w14:textId="77777777" w:rsidTr="0061511D">
        <w:tc>
          <w:tcPr>
            <w:tcW w:w="3060" w:type="dxa"/>
            <w:shd w:val="clear" w:color="auto" w:fill="auto"/>
          </w:tcPr>
          <w:p w14:paraId="035C14FF" w14:textId="77777777" w:rsidR="00EA292B" w:rsidRPr="00D20C32" w:rsidRDefault="00EA292B" w:rsidP="00A445AD">
            <w:pPr>
              <w:spacing w:before="0"/>
              <w:rPr>
                <w:lang w:val="en-GB"/>
              </w:rPr>
            </w:pPr>
            <w:r w:rsidRPr="00D20C32">
              <w:rPr>
                <w:lang w:val="en-GB"/>
              </w:rPr>
              <w:t>Perceived effectiveness of ring compared to oral PrEP or other HIV prevention methods</w:t>
            </w:r>
          </w:p>
        </w:tc>
        <w:tc>
          <w:tcPr>
            <w:tcW w:w="3240" w:type="dxa"/>
            <w:shd w:val="clear" w:color="auto" w:fill="auto"/>
          </w:tcPr>
          <w:p w14:paraId="7E9E2558" w14:textId="54407DF8" w:rsidR="00EA292B" w:rsidRPr="00A445AD" w:rsidRDefault="00EA292B" w:rsidP="00A445AD">
            <w:pPr>
              <w:spacing w:before="0" w:line="240" w:lineRule="auto"/>
              <w:rPr>
                <w:lang w:val="en-GB"/>
              </w:rPr>
            </w:pPr>
            <w:r w:rsidRPr="00A445AD">
              <w:rPr>
                <w:lang w:val="en-GB"/>
              </w:rPr>
              <w:t xml:space="preserve">Please see Annex 3 for suggested quantitative questions. Probe role of perceived effectiveness in decision-making </w:t>
            </w:r>
            <w:r w:rsidR="00170859" w:rsidRPr="00A445AD">
              <w:rPr>
                <w:lang w:val="en-GB"/>
              </w:rPr>
              <w:t xml:space="preserve">about </w:t>
            </w:r>
            <w:r w:rsidRPr="00A445AD">
              <w:rPr>
                <w:lang w:val="en-GB"/>
              </w:rPr>
              <w:t>the two methods in qualitative interview subset.</w:t>
            </w:r>
          </w:p>
        </w:tc>
        <w:tc>
          <w:tcPr>
            <w:tcW w:w="2970" w:type="dxa"/>
            <w:shd w:val="clear" w:color="auto" w:fill="auto"/>
          </w:tcPr>
          <w:p w14:paraId="140B8F57" w14:textId="274040EE" w:rsidR="00EA292B" w:rsidRPr="00D20C32" w:rsidRDefault="00EA292B" w:rsidP="00A445AD">
            <w:pPr>
              <w:spacing w:before="0"/>
              <w:rPr>
                <w:lang w:val="en-GB"/>
              </w:rPr>
            </w:pPr>
            <w:r w:rsidRPr="00D20C32">
              <w:rPr>
                <w:lang w:val="en-GB"/>
              </w:rPr>
              <w:t>Key informant interviews of representative end-user participants</w:t>
            </w:r>
          </w:p>
        </w:tc>
        <w:tc>
          <w:tcPr>
            <w:tcW w:w="3960" w:type="dxa"/>
            <w:shd w:val="clear" w:color="auto" w:fill="auto"/>
          </w:tcPr>
          <w:p w14:paraId="5800B72B" w14:textId="77777777" w:rsidR="00EA292B" w:rsidRDefault="00EA292B" w:rsidP="00A445AD">
            <w:pPr>
              <w:spacing w:before="0"/>
              <w:rPr>
                <w:lang w:val="en-GB"/>
              </w:rPr>
            </w:pPr>
            <w:r w:rsidRPr="00D20C32">
              <w:rPr>
                <w:lang w:val="en-GB"/>
              </w:rPr>
              <w:t xml:space="preserve">Context-specific client preferences to shape demand creation </w:t>
            </w:r>
            <w:r w:rsidR="00170859" w:rsidRPr="00D20C32">
              <w:rPr>
                <w:lang w:val="en-GB"/>
              </w:rPr>
              <w:t>and</w:t>
            </w:r>
            <w:r w:rsidRPr="00D20C32">
              <w:rPr>
                <w:lang w:val="en-GB"/>
              </w:rPr>
              <w:t xml:space="preserve"> service provision</w:t>
            </w:r>
          </w:p>
          <w:p w14:paraId="1A86C583" w14:textId="44434683" w:rsidR="006A33CC" w:rsidRPr="00D20C32" w:rsidRDefault="006A33CC" w:rsidP="00A445AD">
            <w:pPr>
              <w:spacing w:before="0"/>
              <w:rPr>
                <w:lang w:val="en-GB"/>
              </w:rPr>
            </w:pPr>
          </w:p>
        </w:tc>
      </w:tr>
      <w:tr w:rsidR="003E32E2" w:rsidRPr="00D20C32" w14:paraId="6A22F678" w14:textId="77777777" w:rsidTr="0061511D">
        <w:trPr>
          <w:cantSplit/>
        </w:trPr>
        <w:tc>
          <w:tcPr>
            <w:tcW w:w="3060" w:type="dxa"/>
            <w:tcBorders>
              <w:bottom w:val="single" w:sz="4" w:space="0" w:color="auto"/>
            </w:tcBorders>
            <w:shd w:val="clear" w:color="auto" w:fill="auto"/>
          </w:tcPr>
          <w:p w14:paraId="14E99B18" w14:textId="7222CE2E" w:rsidR="003E32E2" w:rsidRPr="00D20C32" w:rsidRDefault="003E32E2" w:rsidP="00A445AD">
            <w:pPr>
              <w:spacing w:before="0"/>
              <w:rPr>
                <w:lang w:val="en-GB"/>
              </w:rPr>
            </w:pPr>
            <w:r w:rsidRPr="00D20C32">
              <w:rPr>
                <w:lang w:val="en-GB"/>
              </w:rPr>
              <w:t>Perceived self-efficacy to use ring as PrEP</w:t>
            </w:r>
          </w:p>
        </w:tc>
        <w:tc>
          <w:tcPr>
            <w:tcW w:w="3240" w:type="dxa"/>
            <w:tcBorders>
              <w:bottom w:val="single" w:sz="4" w:space="0" w:color="auto"/>
            </w:tcBorders>
            <w:shd w:val="clear" w:color="auto" w:fill="auto"/>
          </w:tcPr>
          <w:p w14:paraId="60EFAE00" w14:textId="77777777" w:rsidR="003E32E2" w:rsidRPr="00A445AD" w:rsidRDefault="003E32E2" w:rsidP="00A445AD">
            <w:pPr>
              <w:spacing w:before="0" w:line="240" w:lineRule="auto"/>
              <w:rPr>
                <w:lang w:val="en-GB"/>
              </w:rPr>
            </w:pPr>
            <w:r w:rsidRPr="00A445AD">
              <w:rPr>
                <w:lang w:val="en-GB"/>
              </w:rPr>
              <w:t>Please see Annex 3 for suggested quantitative questions.</w:t>
            </w:r>
          </w:p>
        </w:tc>
        <w:tc>
          <w:tcPr>
            <w:tcW w:w="2970" w:type="dxa"/>
            <w:tcBorders>
              <w:bottom w:val="single" w:sz="4" w:space="0" w:color="auto"/>
            </w:tcBorders>
            <w:shd w:val="clear" w:color="auto" w:fill="auto"/>
          </w:tcPr>
          <w:p w14:paraId="65F31E60" w14:textId="53FFB7D9" w:rsidR="003E32E2" w:rsidRPr="00D20C32" w:rsidRDefault="7A38DD7E" w:rsidP="00A445AD">
            <w:pPr>
              <w:spacing w:before="0"/>
              <w:rPr>
                <w:lang w:val="en-GB"/>
              </w:rPr>
            </w:pPr>
            <w:r w:rsidRPr="2104C340">
              <w:rPr>
                <w:lang w:val="en-GB"/>
              </w:rPr>
              <w:t>Interviews following community or waiting room sensiti</w:t>
            </w:r>
            <w:r w:rsidR="38C8EF72" w:rsidRPr="2104C340">
              <w:rPr>
                <w:lang w:val="en-GB"/>
              </w:rPr>
              <w:t>s</w:t>
            </w:r>
            <w:r w:rsidRPr="2104C340">
              <w:rPr>
                <w:lang w:val="en-GB"/>
              </w:rPr>
              <w:t>ation sessions</w:t>
            </w:r>
          </w:p>
        </w:tc>
        <w:tc>
          <w:tcPr>
            <w:tcW w:w="3960" w:type="dxa"/>
            <w:tcBorders>
              <w:bottom w:val="single" w:sz="4" w:space="0" w:color="auto"/>
            </w:tcBorders>
            <w:shd w:val="clear" w:color="auto" w:fill="auto"/>
          </w:tcPr>
          <w:p w14:paraId="3AE123B0" w14:textId="7E69344A" w:rsidR="003E32E2" w:rsidRPr="00D20C32" w:rsidRDefault="003E32E2" w:rsidP="00A445AD">
            <w:pPr>
              <w:spacing w:before="0"/>
              <w:rPr>
                <w:lang w:val="en-GB"/>
              </w:rPr>
            </w:pPr>
            <w:r w:rsidRPr="00D20C32">
              <w:rPr>
                <w:lang w:val="en-GB"/>
              </w:rPr>
              <w:t>Context-specific client preferences to shape demand creation and service provision</w:t>
            </w:r>
          </w:p>
        </w:tc>
      </w:tr>
      <w:tr w:rsidR="003E32E2" w:rsidRPr="00D20C32" w14:paraId="7524DE32" w14:textId="77777777" w:rsidTr="0061511D">
        <w:tc>
          <w:tcPr>
            <w:tcW w:w="3060" w:type="dxa"/>
            <w:shd w:val="clear" w:color="auto" w:fill="auto"/>
          </w:tcPr>
          <w:p w14:paraId="5A564A22" w14:textId="3C4CBE96" w:rsidR="003E32E2" w:rsidRPr="00D20C32" w:rsidRDefault="003E32E2" w:rsidP="00A445AD">
            <w:pPr>
              <w:spacing w:before="0"/>
              <w:rPr>
                <w:lang w:val="en-GB"/>
              </w:rPr>
            </w:pPr>
            <w:r w:rsidRPr="00D20C32">
              <w:rPr>
                <w:lang w:val="en-GB"/>
              </w:rPr>
              <w:t>Perceived most reliable source for PrEP information/ recommendation</w:t>
            </w:r>
          </w:p>
        </w:tc>
        <w:tc>
          <w:tcPr>
            <w:tcW w:w="3240" w:type="dxa"/>
            <w:shd w:val="clear" w:color="auto" w:fill="auto"/>
          </w:tcPr>
          <w:p w14:paraId="3B66F3D0" w14:textId="77777777" w:rsidR="003E32E2" w:rsidRPr="00A445AD" w:rsidRDefault="003E32E2" w:rsidP="00A445AD">
            <w:pPr>
              <w:spacing w:before="0" w:line="240" w:lineRule="auto"/>
              <w:rPr>
                <w:lang w:val="en-GB"/>
              </w:rPr>
            </w:pPr>
            <w:r w:rsidRPr="00A445AD">
              <w:rPr>
                <w:lang w:val="en-GB"/>
              </w:rPr>
              <w:t>Please see Annex 3 for suggested quantitative and qualitative questions.</w:t>
            </w:r>
          </w:p>
        </w:tc>
        <w:tc>
          <w:tcPr>
            <w:tcW w:w="2970" w:type="dxa"/>
            <w:shd w:val="clear" w:color="auto" w:fill="auto"/>
          </w:tcPr>
          <w:p w14:paraId="77A436E5" w14:textId="143CE849" w:rsidR="003E32E2" w:rsidRPr="00D20C32" w:rsidRDefault="7A38DD7E" w:rsidP="00A445AD">
            <w:pPr>
              <w:spacing w:before="0"/>
              <w:rPr>
                <w:lang w:val="en-GB"/>
              </w:rPr>
            </w:pPr>
            <w:r w:rsidRPr="2104C340">
              <w:rPr>
                <w:lang w:val="en-GB"/>
              </w:rPr>
              <w:t>Interviews following community or waiting room sensiti</w:t>
            </w:r>
            <w:r w:rsidR="650B4426" w:rsidRPr="2104C340">
              <w:rPr>
                <w:lang w:val="en-GB"/>
              </w:rPr>
              <w:t>s</w:t>
            </w:r>
            <w:r w:rsidRPr="2104C340">
              <w:rPr>
                <w:lang w:val="en-GB"/>
              </w:rPr>
              <w:t>ation sessions</w:t>
            </w:r>
          </w:p>
        </w:tc>
        <w:tc>
          <w:tcPr>
            <w:tcW w:w="3960" w:type="dxa"/>
            <w:shd w:val="clear" w:color="auto" w:fill="auto"/>
          </w:tcPr>
          <w:p w14:paraId="71DAE234" w14:textId="62C6F4B0" w:rsidR="003E32E2" w:rsidRPr="00D20C32" w:rsidRDefault="003E32E2" w:rsidP="00A445AD">
            <w:pPr>
              <w:spacing w:before="0"/>
              <w:rPr>
                <w:lang w:val="en-GB"/>
              </w:rPr>
            </w:pPr>
            <w:r w:rsidRPr="00D20C32">
              <w:rPr>
                <w:lang w:val="en-GB"/>
              </w:rPr>
              <w:t>Context-specific client preferences to shape demand creation and service provision</w:t>
            </w:r>
          </w:p>
        </w:tc>
      </w:tr>
      <w:tr w:rsidR="003E32E2" w:rsidRPr="00D20C32" w14:paraId="3C3EC867" w14:textId="77777777" w:rsidTr="0061511D">
        <w:tc>
          <w:tcPr>
            <w:tcW w:w="3060" w:type="dxa"/>
            <w:tcBorders>
              <w:bottom w:val="single" w:sz="4" w:space="0" w:color="auto"/>
            </w:tcBorders>
            <w:shd w:val="clear" w:color="auto" w:fill="auto"/>
          </w:tcPr>
          <w:p w14:paraId="226D275E" w14:textId="67384E57" w:rsidR="003E32E2" w:rsidRPr="00D20C32" w:rsidRDefault="003E32E2" w:rsidP="00A445AD">
            <w:pPr>
              <w:spacing w:before="0"/>
              <w:rPr>
                <w:lang w:val="en-GB"/>
              </w:rPr>
            </w:pPr>
            <w:r w:rsidRPr="00D20C32">
              <w:rPr>
                <w:lang w:val="en-GB"/>
              </w:rPr>
              <w:t>Preferred site and provider for general PrEP provision and specifically for the ring</w:t>
            </w:r>
          </w:p>
        </w:tc>
        <w:tc>
          <w:tcPr>
            <w:tcW w:w="3240" w:type="dxa"/>
            <w:tcBorders>
              <w:bottom w:val="single" w:sz="4" w:space="0" w:color="auto"/>
            </w:tcBorders>
            <w:shd w:val="clear" w:color="auto" w:fill="auto"/>
          </w:tcPr>
          <w:p w14:paraId="508BF6B9" w14:textId="77777777" w:rsidR="003E32E2" w:rsidRPr="00A445AD" w:rsidRDefault="003E32E2" w:rsidP="00A445AD">
            <w:pPr>
              <w:spacing w:before="0" w:line="240" w:lineRule="auto"/>
              <w:rPr>
                <w:lang w:val="en-GB"/>
              </w:rPr>
            </w:pPr>
            <w:r w:rsidRPr="00A445AD">
              <w:rPr>
                <w:lang w:val="en-GB"/>
              </w:rPr>
              <w:t>Please see Annex 3 for suggested quantitative questions.</w:t>
            </w:r>
          </w:p>
        </w:tc>
        <w:tc>
          <w:tcPr>
            <w:tcW w:w="2970" w:type="dxa"/>
            <w:tcBorders>
              <w:bottom w:val="single" w:sz="4" w:space="0" w:color="auto"/>
            </w:tcBorders>
            <w:shd w:val="clear" w:color="auto" w:fill="auto"/>
          </w:tcPr>
          <w:p w14:paraId="2484EC2D" w14:textId="7FA7F3EF" w:rsidR="003E32E2" w:rsidRPr="00D20C32" w:rsidRDefault="7A38DD7E" w:rsidP="00A445AD">
            <w:pPr>
              <w:spacing w:before="0"/>
              <w:rPr>
                <w:lang w:val="en-GB"/>
              </w:rPr>
            </w:pPr>
            <w:r w:rsidRPr="2104C340">
              <w:rPr>
                <w:lang w:val="en-GB"/>
              </w:rPr>
              <w:t>Interviews following community or waiting room sensiti</w:t>
            </w:r>
            <w:r w:rsidR="3733B501" w:rsidRPr="2104C340">
              <w:rPr>
                <w:lang w:val="en-GB"/>
              </w:rPr>
              <w:t>s</w:t>
            </w:r>
            <w:r w:rsidRPr="2104C340">
              <w:rPr>
                <w:lang w:val="en-GB"/>
              </w:rPr>
              <w:t>ation sessions</w:t>
            </w:r>
          </w:p>
        </w:tc>
        <w:tc>
          <w:tcPr>
            <w:tcW w:w="3960" w:type="dxa"/>
            <w:tcBorders>
              <w:bottom w:val="single" w:sz="4" w:space="0" w:color="auto"/>
            </w:tcBorders>
            <w:shd w:val="clear" w:color="auto" w:fill="auto"/>
          </w:tcPr>
          <w:p w14:paraId="1A655371" w14:textId="1B32837D" w:rsidR="003E32E2" w:rsidRPr="00D20C32" w:rsidRDefault="003E32E2" w:rsidP="00A445AD">
            <w:pPr>
              <w:spacing w:before="0"/>
              <w:rPr>
                <w:lang w:val="en-GB"/>
              </w:rPr>
            </w:pPr>
            <w:r w:rsidRPr="00D20C32">
              <w:rPr>
                <w:lang w:val="en-GB"/>
              </w:rPr>
              <w:t>Context-specific client preferences to shape demand creation and service provision</w:t>
            </w:r>
          </w:p>
        </w:tc>
      </w:tr>
      <w:tr w:rsidR="003E32E2" w:rsidRPr="00D20C32" w14:paraId="423FBF64" w14:textId="77777777" w:rsidTr="0061511D">
        <w:tc>
          <w:tcPr>
            <w:tcW w:w="3060" w:type="dxa"/>
            <w:shd w:val="clear" w:color="auto" w:fill="auto"/>
          </w:tcPr>
          <w:p w14:paraId="4F9AF3A7" w14:textId="7622553D" w:rsidR="003E32E2" w:rsidRPr="00D20C32" w:rsidRDefault="003E32E2" w:rsidP="00A445AD">
            <w:pPr>
              <w:spacing w:before="0"/>
              <w:rPr>
                <w:lang w:val="en-GB"/>
              </w:rPr>
            </w:pPr>
            <w:r w:rsidRPr="00D20C32">
              <w:rPr>
                <w:lang w:val="en-GB"/>
              </w:rPr>
              <w:t>Perceived facilitators/barriers to ring access and use</w:t>
            </w:r>
          </w:p>
        </w:tc>
        <w:tc>
          <w:tcPr>
            <w:tcW w:w="3240" w:type="dxa"/>
            <w:shd w:val="clear" w:color="auto" w:fill="auto"/>
          </w:tcPr>
          <w:p w14:paraId="06823E84" w14:textId="77777777" w:rsidR="003E32E2" w:rsidRPr="00A445AD" w:rsidRDefault="003E32E2" w:rsidP="00A445AD">
            <w:pPr>
              <w:spacing w:before="0" w:line="240" w:lineRule="auto"/>
              <w:rPr>
                <w:lang w:val="en-GB"/>
              </w:rPr>
            </w:pPr>
            <w:r w:rsidRPr="00A445AD">
              <w:rPr>
                <w:lang w:val="en-GB"/>
              </w:rPr>
              <w:t>Please see Annex 3 for suggested quantitative and qualitative questions.</w:t>
            </w:r>
          </w:p>
        </w:tc>
        <w:tc>
          <w:tcPr>
            <w:tcW w:w="2970" w:type="dxa"/>
            <w:shd w:val="clear" w:color="auto" w:fill="auto"/>
          </w:tcPr>
          <w:p w14:paraId="4DA4F032" w14:textId="69461999" w:rsidR="003E32E2" w:rsidRPr="00D20C32" w:rsidRDefault="7A38DD7E" w:rsidP="00A445AD">
            <w:pPr>
              <w:spacing w:before="0"/>
              <w:rPr>
                <w:lang w:val="en-GB"/>
              </w:rPr>
            </w:pPr>
            <w:r w:rsidRPr="2104C340">
              <w:rPr>
                <w:lang w:val="en-GB"/>
              </w:rPr>
              <w:t>Interviews following community or waiting room sensiti</w:t>
            </w:r>
            <w:r w:rsidR="20B63A16" w:rsidRPr="2104C340">
              <w:rPr>
                <w:lang w:val="en-GB"/>
              </w:rPr>
              <w:t>s</w:t>
            </w:r>
            <w:r w:rsidRPr="2104C340">
              <w:rPr>
                <w:lang w:val="en-GB"/>
              </w:rPr>
              <w:t>ation sessions</w:t>
            </w:r>
          </w:p>
        </w:tc>
        <w:tc>
          <w:tcPr>
            <w:tcW w:w="3960" w:type="dxa"/>
            <w:shd w:val="clear" w:color="auto" w:fill="auto"/>
          </w:tcPr>
          <w:p w14:paraId="4B9F8861" w14:textId="2CB90B00" w:rsidR="004D6FBC" w:rsidRPr="00D20C32" w:rsidRDefault="003E32E2" w:rsidP="00A445AD">
            <w:pPr>
              <w:spacing w:before="0"/>
              <w:rPr>
                <w:lang w:val="en-GB"/>
              </w:rPr>
            </w:pPr>
            <w:r w:rsidRPr="00D20C32">
              <w:rPr>
                <w:lang w:val="en-GB"/>
              </w:rPr>
              <w:t>Context-specific client preferences to shape demand creation and service provision</w:t>
            </w:r>
          </w:p>
        </w:tc>
      </w:tr>
      <w:tr w:rsidR="004D6FBC" w:rsidRPr="00D20C32" w14:paraId="27DC3CA3" w14:textId="77777777" w:rsidTr="0061511D">
        <w:trPr>
          <w:trHeight w:val="431"/>
        </w:trPr>
        <w:tc>
          <w:tcPr>
            <w:tcW w:w="13230" w:type="dxa"/>
            <w:gridSpan w:val="4"/>
            <w:tcBorders>
              <w:bottom w:val="single" w:sz="4" w:space="0" w:color="auto"/>
            </w:tcBorders>
            <w:shd w:val="clear" w:color="auto" w:fill="F4711F" w:themeFill="accent4"/>
          </w:tcPr>
          <w:p w14:paraId="229E241D" w14:textId="77777777" w:rsidR="003E32E2" w:rsidRPr="008E4FDF" w:rsidRDefault="003E32E2" w:rsidP="003E32E2">
            <w:pPr>
              <w:rPr>
                <w:rFonts w:asciiTheme="minorBidi" w:hAnsiTheme="minorBidi"/>
                <w:b/>
                <w:bCs w:val="0"/>
                <w:color w:val="FFFFFF"/>
                <w:szCs w:val="20"/>
                <w:lang w:val="en-GB"/>
              </w:rPr>
            </w:pPr>
            <w:r w:rsidRPr="008E4FDF">
              <w:rPr>
                <w:rFonts w:asciiTheme="minorBidi" w:hAnsiTheme="minorBidi"/>
                <w:b/>
                <w:bCs w:val="0"/>
                <w:color w:val="FFFFFF"/>
                <w:szCs w:val="20"/>
                <w:lang w:val="en-GB"/>
              </w:rPr>
              <w:t>Suggested Feasibility Measures: Providers</w:t>
            </w:r>
          </w:p>
        </w:tc>
      </w:tr>
      <w:tr w:rsidR="003E32E2" w:rsidRPr="00D20C32" w14:paraId="7949A20A" w14:textId="77777777" w:rsidTr="0061511D">
        <w:tc>
          <w:tcPr>
            <w:tcW w:w="3060" w:type="dxa"/>
            <w:shd w:val="clear" w:color="auto" w:fill="auto"/>
          </w:tcPr>
          <w:p w14:paraId="470EF35C" w14:textId="1E2D0C1C" w:rsidR="003E32E2" w:rsidRPr="00D20C32" w:rsidRDefault="003E32E2" w:rsidP="00A445AD">
            <w:pPr>
              <w:spacing w:before="0"/>
              <w:rPr>
                <w:lang w:val="en-GB"/>
              </w:rPr>
            </w:pPr>
            <w:r w:rsidRPr="00D20C32">
              <w:rPr>
                <w:lang w:val="en-GB"/>
              </w:rPr>
              <w:t>Perceived demand for ring vs. oral PrEP by clients</w:t>
            </w:r>
          </w:p>
        </w:tc>
        <w:tc>
          <w:tcPr>
            <w:tcW w:w="3240" w:type="dxa"/>
            <w:shd w:val="clear" w:color="auto" w:fill="auto"/>
          </w:tcPr>
          <w:p w14:paraId="239AE877" w14:textId="77777777" w:rsidR="003E32E2" w:rsidRPr="00A445AD" w:rsidRDefault="003E32E2" w:rsidP="00A445AD">
            <w:pPr>
              <w:spacing w:before="0"/>
              <w:rPr>
                <w:lang w:val="en-GB"/>
              </w:rPr>
            </w:pPr>
            <w:r w:rsidRPr="00A445AD">
              <w:rPr>
                <w:lang w:val="en-GB"/>
              </w:rPr>
              <w:t>Please see Annex 3 for suggested quantitative and qualitative questions.</w:t>
            </w:r>
          </w:p>
        </w:tc>
        <w:tc>
          <w:tcPr>
            <w:tcW w:w="2970" w:type="dxa"/>
            <w:shd w:val="clear" w:color="auto" w:fill="auto"/>
          </w:tcPr>
          <w:p w14:paraId="08D4E11F" w14:textId="413646E5" w:rsidR="003E32E2" w:rsidRPr="00D20C32" w:rsidRDefault="003E32E2" w:rsidP="008D507A">
            <w:pPr>
              <w:spacing w:before="0" w:line="276" w:lineRule="auto"/>
              <w:rPr>
                <w:lang w:val="en-GB"/>
              </w:rPr>
            </w:pPr>
            <w:r w:rsidRPr="00D20C32">
              <w:rPr>
                <w:lang w:val="en-GB"/>
              </w:rPr>
              <w:t>Qualitative semi-structured in-depth interviews of sub</w:t>
            </w:r>
            <w:r w:rsidRPr="00D20C32">
              <w:rPr>
                <w:lang w:val="en-GB"/>
              </w:rPr>
              <w:softHyphen/>
              <w:t>sample of providers at selected follow-up visit where providers have experience with both PrEP methods</w:t>
            </w:r>
          </w:p>
        </w:tc>
        <w:tc>
          <w:tcPr>
            <w:tcW w:w="3960" w:type="dxa"/>
            <w:shd w:val="clear" w:color="auto" w:fill="auto"/>
          </w:tcPr>
          <w:p w14:paraId="5FDE5A5F" w14:textId="1EFF7541" w:rsidR="006A33CC" w:rsidRDefault="003E32E2" w:rsidP="00A445AD">
            <w:pPr>
              <w:spacing w:before="0"/>
              <w:rPr>
                <w:lang w:val="en-GB"/>
              </w:rPr>
            </w:pPr>
            <w:r w:rsidRPr="00D20C32">
              <w:rPr>
                <w:lang w:val="en-GB"/>
              </w:rPr>
              <w:t>Provider attitude inventory to determine need and content for values clarification as part of training package</w:t>
            </w:r>
          </w:p>
          <w:p w14:paraId="1881FD35" w14:textId="77777777" w:rsidR="006A33CC" w:rsidRDefault="006A33CC" w:rsidP="00A445AD">
            <w:pPr>
              <w:spacing w:before="0"/>
              <w:rPr>
                <w:lang w:val="en-GB"/>
              </w:rPr>
            </w:pPr>
          </w:p>
          <w:p w14:paraId="69CD051A" w14:textId="4621C4A6" w:rsidR="008D507A" w:rsidRPr="00D20C32" w:rsidRDefault="008D507A" w:rsidP="00A445AD">
            <w:pPr>
              <w:spacing w:before="0"/>
              <w:rPr>
                <w:lang w:val="en-GB"/>
              </w:rPr>
            </w:pPr>
          </w:p>
        </w:tc>
      </w:tr>
      <w:tr w:rsidR="0061511D" w:rsidRPr="00D20C32" w14:paraId="106F7B18" w14:textId="77777777" w:rsidTr="00562CEA">
        <w:trPr>
          <w:trHeight w:val="530"/>
        </w:trPr>
        <w:tc>
          <w:tcPr>
            <w:tcW w:w="3060" w:type="dxa"/>
            <w:shd w:val="clear" w:color="auto" w:fill="FCE2D2" w:themeFill="accent4" w:themeFillTint="33"/>
          </w:tcPr>
          <w:p w14:paraId="567BE996" w14:textId="77777777" w:rsidR="0061511D" w:rsidRPr="008E4FDF" w:rsidRDefault="0061511D" w:rsidP="00562CEA">
            <w:pPr>
              <w:pStyle w:val="Tableheader"/>
              <w:ind w:left="180"/>
              <w:rPr>
                <w:rFonts w:cs="Arial"/>
                <w:szCs w:val="20"/>
                <w:lang w:val="en-GB"/>
              </w:rPr>
            </w:pPr>
            <w:r w:rsidRPr="00D20C32">
              <w:rPr>
                <w:rFonts w:cs="Arial"/>
                <w:szCs w:val="20"/>
                <w:lang w:val="en-GB"/>
              </w:rPr>
              <w:lastRenderedPageBreak/>
              <w:t>Outcome measures</w:t>
            </w:r>
          </w:p>
        </w:tc>
        <w:tc>
          <w:tcPr>
            <w:tcW w:w="3240" w:type="dxa"/>
            <w:shd w:val="clear" w:color="auto" w:fill="FCE2D2" w:themeFill="accent4" w:themeFillTint="33"/>
          </w:tcPr>
          <w:p w14:paraId="6ABCF0B6" w14:textId="77777777" w:rsidR="0061511D" w:rsidRPr="008E4FDF" w:rsidRDefault="0061511D" w:rsidP="00562CEA">
            <w:pPr>
              <w:pStyle w:val="Tableheader"/>
              <w:ind w:left="180"/>
              <w:rPr>
                <w:rFonts w:cs="Arial"/>
                <w:szCs w:val="20"/>
                <w:lang w:val="en-GB"/>
              </w:rPr>
            </w:pPr>
            <w:r w:rsidRPr="008E4FDF">
              <w:rPr>
                <w:rFonts w:cs="Arial"/>
                <w:szCs w:val="20"/>
                <w:lang w:val="en-GB"/>
              </w:rPr>
              <w:t>How measured?</w:t>
            </w:r>
          </w:p>
        </w:tc>
        <w:tc>
          <w:tcPr>
            <w:tcW w:w="2970" w:type="dxa"/>
            <w:shd w:val="clear" w:color="auto" w:fill="FCE2D2" w:themeFill="accent4" w:themeFillTint="33"/>
          </w:tcPr>
          <w:p w14:paraId="6D6B726C" w14:textId="77777777" w:rsidR="0061511D" w:rsidRPr="008E4FDF" w:rsidRDefault="0061511D" w:rsidP="00562CEA">
            <w:pPr>
              <w:pStyle w:val="Tableheader"/>
              <w:ind w:left="180"/>
              <w:rPr>
                <w:rFonts w:cs="Arial"/>
                <w:szCs w:val="20"/>
                <w:lang w:val="en-GB"/>
              </w:rPr>
            </w:pPr>
            <w:r w:rsidRPr="008E4FDF">
              <w:rPr>
                <w:rFonts w:cs="Arial"/>
                <w:szCs w:val="20"/>
                <w:lang w:val="en-GB"/>
              </w:rPr>
              <w:t>When measured?</w:t>
            </w:r>
          </w:p>
        </w:tc>
        <w:tc>
          <w:tcPr>
            <w:tcW w:w="3960" w:type="dxa"/>
            <w:shd w:val="clear" w:color="auto" w:fill="FCE2D2" w:themeFill="accent4" w:themeFillTint="33"/>
          </w:tcPr>
          <w:p w14:paraId="4E11802F" w14:textId="77777777" w:rsidR="0061511D" w:rsidRPr="008E4FDF" w:rsidRDefault="0061511D" w:rsidP="00562CEA">
            <w:pPr>
              <w:pStyle w:val="Tableheader"/>
              <w:ind w:left="180"/>
              <w:rPr>
                <w:rFonts w:cs="Arial"/>
                <w:szCs w:val="20"/>
                <w:lang w:val="en-GB"/>
              </w:rPr>
            </w:pPr>
            <w:r w:rsidRPr="008E4FDF">
              <w:rPr>
                <w:rFonts w:cs="Arial"/>
                <w:szCs w:val="20"/>
                <w:lang w:val="en-GB"/>
              </w:rPr>
              <w:t>Role in analysis?</w:t>
            </w:r>
          </w:p>
        </w:tc>
      </w:tr>
      <w:tr w:rsidR="004D6FBC" w:rsidRPr="00D20C32" w14:paraId="0AC3C35B" w14:textId="77777777" w:rsidTr="000B6DFF">
        <w:tc>
          <w:tcPr>
            <w:tcW w:w="13230" w:type="dxa"/>
            <w:gridSpan w:val="4"/>
            <w:shd w:val="clear" w:color="auto" w:fill="F4711F" w:themeFill="accent4"/>
          </w:tcPr>
          <w:p w14:paraId="18DA538B" w14:textId="4080379F" w:rsidR="003E32E2" w:rsidRPr="008E4FDF" w:rsidRDefault="003E32E2" w:rsidP="003E32E2">
            <w:pPr>
              <w:rPr>
                <w:b/>
                <w:bCs w:val="0"/>
                <w:color w:val="FFFFFF"/>
                <w:lang w:val="en-GB"/>
              </w:rPr>
            </w:pPr>
            <w:r w:rsidRPr="008E4FDF">
              <w:rPr>
                <w:b/>
                <w:bCs w:val="0"/>
                <w:color w:val="FFFFFF"/>
                <w:lang w:val="en-GB"/>
              </w:rPr>
              <w:t>Suggested Acceptability Measures: End-Users</w:t>
            </w:r>
          </w:p>
        </w:tc>
      </w:tr>
      <w:tr w:rsidR="003E32E2" w:rsidRPr="00D20C32" w14:paraId="1BE8E414" w14:textId="77777777" w:rsidTr="0061511D">
        <w:tc>
          <w:tcPr>
            <w:tcW w:w="3060" w:type="dxa"/>
            <w:tcBorders>
              <w:bottom w:val="single" w:sz="4" w:space="0" w:color="auto"/>
            </w:tcBorders>
            <w:shd w:val="clear" w:color="auto" w:fill="auto"/>
          </w:tcPr>
          <w:p w14:paraId="132A34F5" w14:textId="5A4A85EC" w:rsidR="003E32E2" w:rsidRPr="00D20C32" w:rsidRDefault="003E32E2" w:rsidP="00A445AD">
            <w:pPr>
              <w:spacing w:before="0"/>
              <w:rPr>
                <w:lang w:val="en-GB"/>
              </w:rPr>
            </w:pPr>
            <w:r w:rsidRPr="00A445AD">
              <w:rPr>
                <w:lang w:val="en-GB"/>
              </w:rPr>
              <w:t>Participants reporting ring self-insertion after initiation [ring users only]</w:t>
            </w:r>
          </w:p>
        </w:tc>
        <w:tc>
          <w:tcPr>
            <w:tcW w:w="3240" w:type="dxa"/>
            <w:tcBorders>
              <w:bottom w:val="single" w:sz="4" w:space="0" w:color="auto"/>
            </w:tcBorders>
            <w:shd w:val="clear" w:color="auto" w:fill="auto"/>
          </w:tcPr>
          <w:p w14:paraId="553E45A3" w14:textId="77777777" w:rsidR="003E32E2" w:rsidRPr="00D20C32" w:rsidRDefault="003E32E2" w:rsidP="00A445AD">
            <w:pPr>
              <w:spacing w:before="0"/>
              <w:rPr>
                <w:lang w:val="en-GB"/>
              </w:rPr>
            </w:pPr>
            <w:r w:rsidRPr="00A445AD">
              <w:rPr>
                <w:lang w:val="en-GB"/>
              </w:rPr>
              <w:t>Please see Annex 3 for suggested quantitative questions.</w:t>
            </w:r>
          </w:p>
        </w:tc>
        <w:tc>
          <w:tcPr>
            <w:tcW w:w="2970" w:type="dxa"/>
            <w:tcBorders>
              <w:bottom w:val="single" w:sz="4" w:space="0" w:color="auto"/>
            </w:tcBorders>
            <w:shd w:val="clear" w:color="auto" w:fill="auto"/>
          </w:tcPr>
          <w:p w14:paraId="5102659D" w14:textId="4A362209" w:rsidR="003E32E2" w:rsidRPr="00D20C32" w:rsidRDefault="003E32E2" w:rsidP="00A445AD">
            <w:pPr>
              <w:spacing w:before="0"/>
              <w:rPr>
                <w:lang w:val="en-GB"/>
              </w:rPr>
            </w:pPr>
            <w:r w:rsidRPr="00A445AD">
              <w:rPr>
                <w:lang w:val="en-GB"/>
              </w:rPr>
              <w:t>First follow-up visit where self-insertion is reported</w:t>
            </w:r>
          </w:p>
        </w:tc>
        <w:tc>
          <w:tcPr>
            <w:tcW w:w="3960" w:type="dxa"/>
            <w:tcBorders>
              <w:bottom w:val="single" w:sz="4" w:space="0" w:color="auto"/>
            </w:tcBorders>
            <w:shd w:val="clear" w:color="auto" w:fill="auto"/>
          </w:tcPr>
          <w:p w14:paraId="64012B59" w14:textId="408B50F4" w:rsidR="003E32E2" w:rsidRPr="00D20C32" w:rsidRDefault="003E32E2" w:rsidP="00A445AD">
            <w:pPr>
              <w:spacing w:before="0"/>
              <w:rPr>
                <w:lang w:val="en-GB"/>
              </w:rPr>
            </w:pPr>
            <w:r w:rsidRPr="00A445AD">
              <w:rPr>
                <w:lang w:val="en-GB"/>
              </w:rPr>
              <w:t xml:space="preserve">Proportions: disaggregate by age and target group, prior oral PrEP use, and </w:t>
            </w:r>
            <w:r w:rsidR="00955B3C" w:rsidRPr="00A445AD">
              <w:rPr>
                <w:lang w:val="en-GB"/>
              </w:rPr>
              <w:t>subnational level</w:t>
            </w:r>
          </w:p>
        </w:tc>
      </w:tr>
      <w:tr w:rsidR="003E32E2" w:rsidRPr="00D20C32" w14:paraId="0F62FBA4" w14:textId="77777777" w:rsidTr="0061511D">
        <w:tc>
          <w:tcPr>
            <w:tcW w:w="3060" w:type="dxa"/>
            <w:shd w:val="clear" w:color="auto" w:fill="auto"/>
          </w:tcPr>
          <w:p w14:paraId="50829893" w14:textId="77777777" w:rsidR="003E32E2" w:rsidRPr="00D20C32" w:rsidRDefault="003E32E2" w:rsidP="00A445AD">
            <w:pPr>
              <w:spacing w:before="0"/>
              <w:rPr>
                <w:lang w:val="en-GB"/>
              </w:rPr>
            </w:pPr>
            <w:r w:rsidRPr="00A445AD">
              <w:rPr>
                <w:lang w:val="en-GB"/>
              </w:rPr>
              <w:t>Participants disclosing PrEP use to at least one person</w:t>
            </w:r>
          </w:p>
        </w:tc>
        <w:tc>
          <w:tcPr>
            <w:tcW w:w="3240" w:type="dxa"/>
            <w:shd w:val="clear" w:color="auto" w:fill="auto"/>
          </w:tcPr>
          <w:p w14:paraId="3D2419EB" w14:textId="77777777" w:rsidR="003E32E2" w:rsidRPr="00D20C32" w:rsidRDefault="003E32E2" w:rsidP="00A445AD">
            <w:pPr>
              <w:spacing w:before="0"/>
              <w:rPr>
                <w:lang w:val="en-GB"/>
              </w:rPr>
            </w:pPr>
            <w:r w:rsidRPr="00A445AD">
              <w:rPr>
                <w:lang w:val="en-GB"/>
              </w:rPr>
              <w:t>Please see Annex 3 for suggested quantitative questions.</w:t>
            </w:r>
          </w:p>
        </w:tc>
        <w:tc>
          <w:tcPr>
            <w:tcW w:w="2970" w:type="dxa"/>
            <w:shd w:val="clear" w:color="auto" w:fill="auto"/>
          </w:tcPr>
          <w:p w14:paraId="2D031008" w14:textId="4150F380" w:rsidR="003E32E2" w:rsidRPr="00D20C32" w:rsidRDefault="00D20C32" w:rsidP="00A445AD">
            <w:pPr>
              <w:spacing w:before="0"/>
              <w:rPr>
                <w:lang w:val="en-GB"/>
              </w:rPr>
            </w:pPr>
            <w:r w:rsidRPr="00D20C32">
              <w:rPr>
                <w:lang w:val="en-GB"/>
              </w:rPr>
              <w:t>Enrolment</w:t>
            </w:r>
            <w:r w:rsidR="003E32E2" w:rsidRPr="00D20C32">
              <w:rPr>
                <w:lang w:val="en-GB"/>
              </w:rPr>
              <w:t xml:space="preserve"> visit [See partner disclosure questions in </w:t>
            </w:r>
            <w:r w:rsidR="00FD2EE5">
              <w:rPr>
                <w:lang w:val="en-GB"/>
              </w:rPr>
              <w:t>r</w:t>
            </w:r>
            <w:r w:rsidR="003E32E2" w:rsidRPr="00D20C32">
              <w:rPr>
                <w:lang w:val="en-GB"/>
              </w:rPr>
              <w:t>equired questions for follow-up visits]</w:t>
            </w:r>
          </w:p>
        </w:tc>
        <w:tc>
          <w:tcPr>
            <w:tcW w:w="3960" w:type="dxa"/>
            <w:shd w:val="clear" w:color="auto" w:fill="auto"/>
          </w:tcPr>
          <w:p w14:paraId="71D337F7" w14:textId="084F1D39" w:rsidR="003E32E2" w:rsidRPr="00A445AD" w:rsidRDefault="003E32E2" w:rsidP="00A445AD">
            <w:pPr>
              <w:spacing w:before="0"/>
              <w:rPr>
                <w:lang w:val="en-GB"/>
              </w:rPr>
            </w:pPr>
            <w:r w:rsidRPr="00A445AD">
              <w:rPr>
                <w:lang w:val="en-GB"/>
              </w:rPr>
              <w:t xml:space="preserve">Proportions: disaggregate by type of person (e.g., male partner, family member), participant age, PrEP method and target group, prior oral PrEP use, and </w:t>
            </w:r>
            <w:r w:rsidR="00955B3C" w:rsidRPr="00A445AD">
              <w:rPr>
                <w:lang w:val="en-GB"/>
              </w:rPr>
              <w:t>subnational level</w:t>
            </w:r>
          </w:p>
          <w:p w14:paraId="698ADD91" w14:textId="4F16F0B2" w:rsidR="004D6FBC" w:rsidRPr="00D20C32" w:rsidRDefault="004D6FBC" w:rsidP="00A445AD">
            <w:pPr>
              <w:spacing w:before="0"/>
              <w:rPr>
                <w:lang w:val="en-GB"/>
              </w:rPr>
            </w:pPr>
          </w:p>
        </w:tc>
      </w:tr>
      <w:tr w:rsidR="004D6FBC" w:rsidRPr="00D20C32" w14:paraId="6C0D358F" w14:textId="77777777" w:rsidTr="000B6DFF">
        <w:tc>
          <w:tcPr>
            <w:tcW w:w="13230" w:type="dxa"/>
            <w:gridSpan w:val="4"/>
            <w:tcBorders>
              <w:bottom w:val="single" w:sz="4" w:space="0" w:color="auto"/>
            </w:tcBorders>
            <w:shd w:val="clear" w:color="auto" w:fill="F4711F" w:themeFill="accent4"/>
          </w:tcPr>
          <w:p w14:paraId="635C6EA2" w14:textId="2A9766F9" w:rsidR="004D6FBC" w:rsidRPr="008E4FDF" w:rsidRDefault="003E32E2" w:rsidP="003E32E2">
            <w:pPr>
              <w:rPr>
                <w:b/>
                <w:bCs w:val="0"/>
                <w:color w:val="FFFFFF"/>
                <w:lang w:val="en-GB"/>
              </w:rPr>
            </w:pPr>
            <w:r w:rsidRPr="008E4FDF">
              <w:rPr>
                <w:b/>
                <w:bCs w:val="0"/>
                <w:color w:val="FFFFFF"/>
                <w:lang w:val="en-GB"/>
              </w:rPr>
              <w:t xml:space="preserve">Suggested </w:t>
            </w:r>
            <w:r w:rsidR="00C96C00">
              <w:rPr>
                <w:b/>
                <w:bCs w:val="0"/>
                <w:color w:val="FFFFFF"/>
                <w:lang w:val="en-GB"/>
              </w:rPr>
              <w:t>A</w:t>
            </w:r>
            <w:r w:rsidRPr="008E4FDF">
              <w:rPr>
                <w:b/>
                <w:bCs w:val="0"/>
                <w:color w:val="FFFFFF"/>
                <w:lang w:val="en-GB"/>
              </w:rPr>
              <w:t xml:space="preserve">cceptability </w:t>
            </w:r>
            <w:r w:rsidR="00C96C00">
              <w:rPr>
                <w:b/>
                <w:bCs w:val="0"/>
                <w:color w:val="FFFFFF"/>
                <w:lang w:val="en-GB"/>
              </w:rPr>
              <w:t>M</w:t>
            </w:r>
            <w:r w:rsidRPr="008E4FDF">
              <w:rPr>
                <w:b/>
                <w:bCs w:val="0"/>
                <w:color w:val="FFFFFF"/>
                <w:lang w:val="en-GB"/>
              </w:rPr>
              <w:t>easures: Providers</w:t>
            </w:r>
          </w:p>
        </w:tc>
      </w:tr>
      <w:tr w:rsidR="003E32E2" w:rsidRPr="00D20C32" w14:paraId="5428DDC6" w14:textId="77777777" w:rsidTr="0061511D">
        <w:tc>
          <w:tcPr>
            <w:tcW w:w="3060" w:type="dxa"/>
            <w:shd w:val="clear" w:color="auto" w:fill="auto"/>
          </w:tcPr>
          <w:p w14:paraId="51CCA0B1" w14:textId="06EDB00E" w:rsidR="003E32E2" w:rsidRPr="00D20C32" w:rsidRDefault="003E32E2" w:rsidP="00A445AD">
            <w:pPr>
              <w:spacing w:before="0"/>
              <w:rPr>
                <w:lang w:val="en-GB"/>
              </w:rPr>
            </w:pPr>
            <w:r w:rsidRPr="00A445AD">
              <w:rPr>
                <w:lang w:val="en-GB"/>
              </w:rPr>
              <w:t>What is/is not working for providers and how can the tools/job aids/training provided to them be improved upon to better support their role?</w:t>
            </w:r>
          </w:p>
        </w:tc>
        <w:tc>
          <w:tcPr>
            <w:tcW w:w="3240" w:type="dxa"/>
            <w:shd w:val="clear" w:color="auto" w:fill="auto"/>
          </w:tcPr>
          <w:p w14:paraId="7AE2C856" w14:textId="77777777" w:rsidR="003E32E2" w:rsidRPr="00D20C32" w:rsidRDefault="003E32E2" w:rsidP="00A445AD">
            <w:pPr>
              <w:spacing w:before="0"/>
              <w:rPr>
                <w:lang w:val="en-GB"/>
              </w:rPr>
            </w:pPr>
            <w:r w:rsidRPr="00A445AD">
              <w:rPr>
                <w:lang w:val="en-GB"/>
              </w:rPr>
              <w:t>Please see Annex 3 for suggested quantitative and qualitative questions.</w:t>
            </w:r>
          </w:p>
        </w:tc>
        <w:tc>
          <w:tcPr>
            <w:tcW w:w="2970" w:type="dxa"/>
            <w:shd w:val="clear" w:color="auto" w:fill="auto"/>
          </w:tcPr>
          <w:p w14:paraId="692C7C02" w14:textId="15BBAD7E" w:rsidR="003E32E2" w:rsidRPr="00D20C32" w:rsidRDefault="003E32E2" w:rsidP="00A445AD">
            <w:pPr>
              <w:spacing w:before="0"/>
              <w:rPr>
                <w:lang w:val="en-GB"/>
              </w:rPr>
            </w:pPr>
            <w:r w:rsidRPr="00A445AD">
              <w:rPr>
                <w:lang w:val="en-GB"/>
              </w:rPr>
              <w:t xml:space="preserve">One month and </w:t>
            </w:r>
            <w:r w:rsidR="00D20C32" w:rsidRPr="00A445AD">
              <w:rPr>
                <w:lang w:val="en-GB"/>
              </w:rPr>
              <w:t>end line</w:t>
            </w:r>
          </w:p>
        </w:tc>
        <w:tc>
          <w:tcPr>
            <w:tcW w:w="3960" w:type="dxa"/>
            <w:shd w:val="clear" w:color="auto" w:fill="auto"/>
          </w:tcPr>
          <w:p w14:paraId="6A9E40CD" w14:textId="3BF4B8BC" w:rsidR="003E32E2" w:rsidRPr="00A445AD" w:rsidRDefault="003E32E2" w:rsidP="00A445AD">
            <w:pPr>
              <w:spacing w:before="0"/>
              <w:rPr>
                <w:lang w:val="en-GB"/>
              </w:rPr>
            </w:pPr>
            <w:r w:rsidRPr="00A445AD">
              <w:rPr>
                <w:lang w:val="en-GB"/>
              </w:rPr>
              <w:t xml:space="preserve">Overall proportions: disaggregate by cadre and </w:t>
            </w:r>
            <w:r w:rsidR="00955B3C" w:rsidRPr="00A445AD">
              <w:rPr>
                <w:lang w:val="en-GB"/>
              </w:rPr>
              <w:t>subnational level</w:t>
            </w:r>
          </w:p>
        </w:tc>
      </w:tr>
    </w:tbl>
    <w:p w14:paraId="556BC984" w14:textId="365FE149" w:rsidR="00B945B1" w:rsidRPr="00D20C32" w:rsidRDefault="00B945B1" w:rsidP="00140E4C">
      <w:pPr>
        <w:pStyle w:val="Tabletitle"/>
        <w:ind w:left="-900"/>
        <w:rPr>
          <w:sz w:val="26"/>
          <w:szCs w:val="26"/>
          <w:lang w:val="en-GB"/>
        </w:rPr>
      </w:pPr>
      <w:r w:rsidRPr="00D20C32">
        <w:rPr>
          <w:sz w:val="26"/>
          <w:szCs w:val="26"/>
          <w:lang w:val="en-GB"/>
        </w:rPr>
        <w:t>Costing analyses content</w:t>
      </w:r>
    </w:p>
    <w:p w14:paraId="231EA479" w14:textId="471A5A68" w:rsidR="00B945B1" w:rsidRPr="00D20C32" w:rsidRDefault="00B945B1" w:rsidP="00140E4C">
      <w:pPr>
        <w:pStyle w:val="Tabletitle"/>
        <w:ind w:left="-900"/>
        <w:rPr>
          <w:rFonts w:cs="Arial"/>
          <w:b w:val="0"/>
          <w:color w:val="auto"/>
          <w:szCs w:val="20"/>
          <w:lang w:val="en-GB"/>
        </w:rPr>
      </w:pPr>
      <w:r w:rsidRPr="00D20C32">
        <w:rPr>
          <w:rFonts w:cs="Arial"/>
          <w:b w:val="0"/>
          <w:color w:val="auto"/>
          <w:szCs w:val="20"/>
          <w:lang w:val="en-GB"/>
        </w:rPr>
        <w:t>The [</w:t>
      </w:r>
      <w:r w:rsidRPr="00D20C32">
        <w:rPr>
          <w:rFonts w:cs="Arial"/>
          <w:b w:val="0"/>
          <w:color w:val="auto"/>
          <w:szCs w:val="20"/>
          <w:highlight w:val="yellow"/>
          <w:lang w:val="en-GB"/>
        </w:rPr>
        <w:t>MOH or national authority</w:t>
      </w:r>
      <w:r w:rsidRPr="00D20C32">
        <w:rPr>
          <w:rFonts w:cs="Arial"/>
          <w:b w:val="0"/>
          <w:color w:val="auto"/>
          <w:szCs w:val="20"/>
          <w:lang w:val="en-GB"/>
        </w:rPr>
        <w:t xml:space="preserve">] also requests that the following required and suggested measures be added to permit costing analysis across studies, which will </w:t>
      </w:r>
      <w:r w:rsidR="005F6BEC" w:rsidRPr="00D20C32">
        <w:rPr>
          <w:rFonts w:cs="Arial"/>
          <w:b w:val="0"/>
          <w:color w:val="auto"/>
          <w:szCs w:val="20"/>
          <w:lang w:val="en-GB"/>
        </w:rPr>
        <w:t>provid</w:t>
      </w:r>
      <w:r w:rsidRPr="00D20C32">
        <w:rPr>
          <w:rFonts w:cs="Arial"/>
          <w:b w:val="0"/>
          <w:color w:val="auto"/>
          <w:szCs w:val="20"/>
          <w:lang w:val="en-GB"/>
        </w:rPr>
        <w:t xml:space="preserve">e essential information to guide ring introduction decisions. Table </w:t>
      </w:r>
      <w:r w:rsidR="00D62B77" w:rsidRPr="00D20C32">
        <w:rPr>
          <w:rFonts w:cs="Arial"/>
          <w:b w:val="0"/>
          <w:color w:val="auto"/>
          <w:szCs w:val="20"/>
          <w:lang w:val="en-GB"/>
        </w:rPr>
        <w:t>5</w:t>
      </w:r>
      <w:r w:rsidRPr="00D20C32">
        <w:rPr>
          <w:rFonts w:cs="Arial"/>
          <w:b w:val="0"/>
          <w:color w:val="auto"/>
          <w:szCs w:val="20"/>
          <w:lang w:val="en-GB"/>
        </w:rPr>
        <w:t xml:space="preserve"> provides these measures</w:t>
      </w:r>
      <w:r w:rsidR="005F6BEC" w:rsidRPr="00D20C32">
        <w:rPr>
          <w:rFonts w:cs="Arial"/>
          <w:b w:val="0"/>
          <w:color w:val="auto"/>
          <w:szCs w:val="20"/>
          <w:lang w:val="en-GB"/>
        </w:rPr>
        <w:t>,</w:t>
      </w:r>
      <w:r w:rsidRPr="00D20C32">
        <w:rPr>
          <w:rFonts w:cs="Arial"/>
          <w:b w:val="0"/>
          <w:color w:val="auto"/>
          <w:szCs w:val="20"/>
          <w:lang w:val="en-GB"/>
        </w:rPr>
        <w:t xml:space="preserve"> which will be combined with health system costs in analysis. Should interest and funding be available, willingness</w:t>
      </w:r>
      <w:r w:rsidR="002924CF" w:rsidRPr="00D20C32">
        <w:rPr>
          <w:rFonts w:cs="Arial"/>
          <w:b w:val="0"/>
          <w:color w:val="auto"/>
          <w:szCs w:val="20"/>
          <w:lang w:val="en-GB"/>
        </w:rPr>
        <w:t>-</w:t>
      </w:r>
      <w:r w:rsidRPr="00D20C32">
        <w:rPr>
          <w:rFonts w:cs="Arial"/>
          <w:b w:val="0"/>
          <w:color w:val="auto"/>
          <w:szCs w:val="20"/>
          <w:lang w:val="en-GB"/>
        </w:rPr>
        <w:t>to</w:t>
      </w:r>
      <w:r w:rsidR="002924CF" w:rsidRPr="00D20C32">
        <w:rPr>
          <w:rFonts w:cs="Arial"/>
          <w:b w:val="0"/>
          <w:color w:val="auto"/>
          <w:szCs w:val="20"/>
          <w:lang w:val="en-GB"/>
        </w:rPr>
        <w:t>-</w:t>
      </w:r>
      <w:r w:rsidRPr="00D20C32">
        <w:rPr>
          <w:rFonts w:cs="Arial"/>
          <w:b w:val="0"/>
          <w:color w:val="auto"/>
          <w:szCs w:val="20"/>
          <w:lang w:val="en-GB"/>
        </w:rPr>
        <w:t xml:space="preserve">pay </w:t>
      </w:r>
      <w:proofErr w:type="spellStart"/>
      <w:r w:rsidR="00D20C32" w:rsidRPr="00D20C32">
        <w:rPr>
          <w:rFonts w:cs="Arial"/>
          <w:b w:val="0"/>
          <w:color w:val="auto"/>
          <w:szCs w:val="20"/>
          <w:lang w:val="en-GB"/>
        </w:rPr>
        <w:t>substudies</w:t>
      </w:r>
      <w:proofErr w:type="spellEnd"/>
      <w:r w:rsidRPr="00D20C32">
        <w:rPr>
          <w:rFonts w:cs="Arial"/>
          <w:b w:val="0"/>
          <w:color w:val="auto"/>
          <w:szCs w:val="20"/>
          <w:lang w:val="en-GB"/>
        </w:rPr>
        <w:t xml:space="preserve"> could be considered in contexts where user fees are part of PrEP service costs. </w:t>
      </w:r>
    </w:p>
    <w:p w14:paraId="1D650F74" w14:textId="77777777" w:rsidR="00296221" w:rsidRDefault="00296221" w:rsidP="00140E4C">
      <w:pPr>
        <w:ind w:left="-900"/>
        <w:rPr>
          <w:b/>
          <w:bCs w:val="0"/>
          <w:lang w:val="en-GB"/>
        </w:rPr>
      </w:pPr>
    </w:p>
    <w:p w14:paraId="5244D166" w14:textId="77777777" w:rsidR="00296221" w:rsidRDefault="00296221" w:rsidP="00140E4C">
      <w:pPr>
        <w:ind w:left="-900"/>
        <w:rPr>
          <w:b/>
          <w:bCs w:val="0"/>
          <w:lang w:val="en-GB"/>
        </w:rPr>
      </w:pPr>
    </w:p>
    <w:p w14:paraId="79215AD5" w14:textId="4C019A39" w:rsidR="00296221" w:rsidRDefault="00296221" w:rsidP="00140E4C">
      <w:pPr>
        <w:ind w:left="-900"/>
        <w:rPr>
          <w:b/>
          <w:bCs w:val="0"/>
          <w:lang w:val="en-GB"/>
        </w:rPr>
      </w:pPr>
    </w:p>
    <w:p w14:paraId="69986F6D" w14:textId="35221F8E" w:rsidR="00B945B1" w:rsidRPr="00D20C32" w:rsidRDefault="00B945B1" w:rsidP="00140E4C">
      <w:pPr>
        <w:ind w:left="-900"/>
        <w:rPr>
          <w:b/>
          <w:bCs w:val="0"/>
          <w:lang w:val="en-GB"/>
        </w:rPr>
      </w:pPr>
      <w:r w:rsidRPr="00D20C32">
        <w:rPr>
          <w:b/>
          <w:bCs w:val="0"/>
          <w:lang w:val="en-GB"/>
        </w:rPr>
        <w:t xml:space="preserve">Table </w:t>
      </w:r>
      <w:r w:rsidR="00D62B77" w:rsidRPr="00D20C32">
        <w:rPr>
          <w:b/>
          <w:bCs w:val="0"/>
          <w:lang w:val="en-GB"/>
        </w:rPr>
        <w:t>5</w:t>
      </w:r>
      <w:r w:rsidRPr="00D20C32">
        <w:rPr>
          <w:b/>
          <w:bCs w:val="0"/>
          <w:lang w:val="en-GB"/>
        </w:rPr>
        <w:t xml:space="preserve">. Required and suggested costing measures </w:t>
      </w:r>
    </w:p>
    <w:tbl>
      <w:tblPr>
        <w:tblStyle w:val="TableGrid"/>
        <w:tblW w:w="13050" w:type="dxa"/>
        <w:tblInd w:w="-905" w:type="dxa"/>
        <w:tblLook w:val="04A0" w:firstRow="1" w:lastRow="0" w:firstColumn="1" w:lastColumn="0" w:noHBand="0" w:noVBand="1"/>
      </w:tblPr>
      <w:tblGrid>
        <w:gridCol w:w="3060"/>
        <w:gridCol w:w="3960"/>
        <w:gridCol w:w="2070"/>
        <w:gridCol w:w="3960"/>
      </w:tblGrid>
      <w:tr w:rsidR="004D6FBC" w:rsidRPr="00D20C32" w14:paraId="7B9C005E" w14:textId="77777777" w:rsidTr="000B6DFF">
        <w:tc>
          <w:tcPr>
            <w:tcW w:w="3060" w:type="dxa"/>
            <w:shd w:val="clear" w:color="auto" w:fill="FCE2D2" w:themeFill="accent4" w:themeFillTint="33"/>
          </w:tcPr>
          <w:p w14:paraId="35A1EF49" w14:textId="77777777" w:rsidR="00EA292B" w:rsidRPr="008E4FDF" w:rsidRDefault="00EA292B" w:rsidP="00837B5A">
            <w:pPr>
              <w:rPr>
                <w:rFonts w:cs="Arial"/>
                <w:color w:val="F4711F" w:themeColor="accent4"/>
                <w:lang w:val="en-GB"/>
              </w:rPr>
            </w:pPr>
            <w:r w:rsidRPr="008E4FDF">
              <w:rPr>
                <w:b/>
                <w:color w:val="F4711F" w:themeColor="accent4"/>
                <w:lang w:val="en-GB"/>
              </w:rPr>
              <w:t>Outcome measure</w:t>
            </w:r>
            <w:r w:rsidRPr="008E4FDF">
              <w:rPr>
                <w:b/>
                <w:bCs w:val="0"/>
                <w:color w:val="F4711F" w:themeColor="accent4"/>
                <w:lang w:val="en-GB"/>
              </w:rPr>
              <w:t>s</w:t>
            </w:r>
          </w:p>
        </w:tc>
        <w:tc>
          <w:tcPr>
            <w:tcW w:w="3960" w:type="dxa"/>
            <w:shd w:val="clear" w:color="auto" w:fill="FCE2D2" w:themeFill="accent4" w:themeFillTint="33"/>
          </w:tcPr>
          <w:p w14:paraId="20659E09" w14:textId="77777777" w:rsidR="00EA292B" w:rsidRPr="008E4FDF" w:rsidRDefault="00EA292B" w:rsidP="00837B5A">
            <w:pPr>
              <w:rPr>
                <w:rFonts w:cs="Arial"/>
                <w:color w:val="F4711F" w:themeColor="accent4"/>
                <w:lang w:val="en-GB"/>
              </w:rPr>
            </w:pPr>
            <w:r w:rsidRPr="008E4FDF">
              <w:rPr>
                <w:b/>
                <w:color w:val="F4711F" w:themeColor="accent4"/>
                <w:lang w:val="en-GB"/>
              </w:rPr>
              <w:t>How measured?</w:t>
            </w:r>
          </w:p>
        </w:tc>
        <w:tc>
          <w:tcPr>
            <w:tcW w:w="2070" w:type="dxa"/>
            <w:shd w:val="clear" w:color="auto" w:fill="FCE2D2" w:themeFill="accent4" w:themeFillTint="33"/>
          </w:tcPr>
          <w:p w14:paraId="756C82ED" w14:textId="77777777" w:rsidR="00EA292B" w:rsidRPr="008E4FDF" w:rsidRDefault="00EA292B" w:rsidP="00837B5A">
            <w:pPr>
              <w:rPr>
                <w:rFonts w:cs="Arial"/>
                <w:b/>
                <w:color w:val="F4711F" w:themeColor="accent4"/>
                <w:szCs w:val="20"/>
                <w:lang w:val="en-GB"/>
              </w:rPr>
            </w:pPr>
            <w:r w:rsidRPr="008E4FDF">
              <w:rPr>
                <w:b/>
                <w:color w:val="F4711F" w:themeColor="accent4"/>
                <w:lang w:val="en-GB"/>
              </w:rPr>
              <w:t>When measured?</w:t>
            </w:r>
          </w:p>
        </w:tc>
        <w:tc>
          <w:tcPr>
            <w:tcW w:w="3960" w:type="dxa"/>
            <w:shd w:val="clear" w:color="auto" w:fill="FCE2D2" w:themeFill="accent4" w:themeFillTint="33"/>
          </w:tcPr>
          <w:p w14:paraId="5EE7BF1F" w14:textId="77777777" w:rsidR="00EA292B" w:rsidRPr="008E4FDF" w:rsidRDefault="00EA292B" w:rsidP="00837B5A">
            <w:pPr>
              <w:rPr>
                <w:rFonts w:cs="Arial"/>
                <w:b/>
                <w:color w:val="F4711F" w:themeColor="accent4"/>
                <w:szCs w:val="20"/>
                <w:lang w:val="en-GB"/>
              </w:rPr>
            </w:pPr>
            <w:r w:rsidRPr="008E4FDF">
              <w:rPr>
                <w:b/>
                <w:color w:val="F4711F" w:themeColor="accent4"/>
                <w:lang w:val="en-GB"/>
              </w:rPr>
              <w:t>Role in analysis?</w:t>
            </w:r>
          </w:p>
        </w:tc>
      </w:tr>
      <w:tr w:rsidR="004D6FBC" w:rsidRPr="00D20C32" w14:paraId="33AB6144" w14:textId="77777777" w:rsidTr="000B6DFF">
        <w:trPr>
          <w:trHeight w:val="674"/>
        </w:trPr>
        <w:tc>
          <w:tcPr>
            <w:tcW w:w="13050" w:type="dxa"/>
            <w:gridSpan w:val="4"/>
            <w:tcBorders>
              <w:bottom w:val="single" w:sz="4" w:space="0" w:color="auto"/>
            </w:tcBorders>
            <w:shd w:val="clear" w:color="auto" w:fill="F4711F" w:themeFill="accent4"/>
          </w:tcPr>
          <w:p w14:paraId="2AC71CDF" w14:textId="10F612CE" w:rsidR="00EA292B" w:rsidRPr="008E4FDF" w:rsidRDefault="00EA292B" w:rsidP="00837B5A">
            <w:pPr>
              <w:rPr>
                <w:b/>
                <w:color w:val="FFFFFF"/>
                <w:lang w:val="en-GB"/>
              </w:rPr>
            </w:pPr>
            <w:r w:rsidRPr="008E4FDF">
              <w:rPr>
                <w:b/>
                <w:color w:val="FFFFFF"/>
                <w:lang w:val="en-GB"/>
              </w:rPr>
              <w:t xml:space="preserve">Required </w:t>
            </w:r>
            <w:r w:rsidR="00EB4F69">
              <w:rPr>
                <w:b/>
                <w:color w:val="FFFFFF"/>
                <w:lang w:val="en-GB"/>
              </w:rPr>
              <w:t>C</w:t>
            </w:r>
            <w:r w:rsidRPr="008E4FDF">
              <w:rPr>
                <w:b/>
                <w:color w:val="FFFFFF"/>
                <w:lang w:val="en-GB"/>
              </w:rPr>
              <w:t xml:space="preserve">osting </w:t>
            </w:r>
            <w:r w:rsidR="00EB4F69">
              <w:rPr>
                <w:b/>
                <w:color w:val="FFFFFF"/>
                <w:lang w:val="en-GB"/>
              </w:rPr>
              <w:t>M</w:t>
            </w:r>
            <w:r w:rsidRPr="008E4FDF">
              <w:rPr>
                <w:b/>
                <w:color w:val="FFFFFF"/>
                <w:lang w:val="en-GB"/>
              </w:rPr>
              <w:t>easures</w:t>
            </w:r>
          </w:p>
        </w:tc>
      </w:tr>
      <w:tr w:rsidR="00EA292B" w:rsidRPr="00D20C32" w14:paraId="55092A49" w14:textId="77777777" w:rsidTr="000B6DFF">
        <w:tc>
          <w:tcPr>
            <w:tcW w:w="3060" w:type="dxa"/>
            <w:shd w:val="clear" w:color="auto" w:fill="auto"/>
          </w:tcPr>
          <w:p w14:paraId="50BF47C4" w14:textId="77777777" w:rsidR="00EA292B" w:rsidRPr="00A445AD" w:rsidRDefault="00EA292B" w:rsidP="00A445AD">
            <w:pPr>
              <w:spacing w:before="0"/>
              <w:rPr>
                <w:lang w:val="en-GB"/>
              </w:rPr>
            </w:pPr>
            <w:r w:rsidRPr="00A445AD">
              <w:rPr>
                <w:lang w:val="en-GB"/>
              </w:rPr>
              <w:t>Patterns of PrEP visits (continuation, cycling)</w:t>
            </w:r>
          </w:p>
        </w:tc>
        <w:tc>
          <w:tcPr>
            <w:tcW w:w="3960" w:type="dxa"/>
            <w:shd w:val="clear" w:color="auto" w:fill="auto"/>
          </w:tcPr>
          <w:p w14:paraId="553110C7" w14:textId="2A66501B" w:rsidR="00EA292B" w:rsidRPr="00A445AD" w:rsidRDefault="00EA292B" w:rsidP="00A445AD">
            <w:pPr>
              <w:spacing w:before="0"/>
              <w:rPr>
                <w:lang w:val="en-GB"/>
              </w:rPr>
            </w:pPr>
            <w:r w:rsidRPr="00A445AD">
              <w:rPr>
                <w:lang w:val="en-GB"/>
              </w:rPr>
              <w:t xml:space="preserve">For each client </w:t>
            </w:r>
            <w:r w:rsidR="002924CF" w:rsidRPr="00A445AD">
              <w:rPr>
                <w:lang w:val="en-GB"/>
              </w:rPr>
              <w:t>who</w:t>
            </w:r>
            <w:r w:rsidRPr="00A445AD">
              <w:rPr>
                <w:lang w:val="en-GB"/>
              </w:rPr>
              <w:t xml:space="preserve"> initiates PrEP, collect data on dates and</w:t>
            </w:r>
            <w:r w:rsidR="003E32E2" w:rsidRPr="00A445AD">
              <w:rPr>
                <w:lang w:val="en-GB"/>
              </w:rPr>
              <w:t xml:space="preserve"> PrEP</w:t>
            </w:r>
            <w:r w:rsidRPr="00A445AD">
              <w:rPr>
                <w:lang w:val="en-GB"/>
              </w:rPr>
              <w:t xml:space="preserve"> method </w:t>
            </w:r>
            <w:r w:rsidR="003E32E2" w:rsidRPr="00A445AD">
              <w:rPr>
                <w:lang w:val="en-GB"/>
              </w:rPr>
              <w:t xml:space="preserve">use </w:t>
            </w:r>
            <w:r w:rsidRPr="00A445AD">
              <w:rPr>
                <w:lang w:val="en-GB"/>
              </w:rPr>
              <w:t>(continuation, re</w:t>
            </w:r>
            <w:r w:rsidR="00D20C32" w:rsidRPr="00A445AD">
              <w:rPr>
                <w:lang w:val="en-GB"/>
              </w:rPr>
              <w:t>-</w:t>
            </w:r>
            <w:r w:rsidRPr="00A445AD">
              <w:rPr>
                <w:lang w:val="en-GB"/>
              </w:rPr>
              <w:t xml:space="preserve">initiation, discontinuation, method switching, non-refill visits for other reasons) </w:t>
            </w:r>
            <w:r w:rsidR="003E32E2" w:rsidRPr="00A445AD">
              <w:rPr>
                <w:lang w:val="en-GB"/>
              </w:rPr>
              <w:t>at</w:t>
            </w:r>
            <w:r w:rsidRPr="00A445AD">
              <w:rPr>
                <w:lang w:val="en-GB"/>
              </w:rPr>
              <w:t xml:space="preserve"> subsequent visits</w:t>
            </w:r>
          </w:p>
        </w:tc>
        <w:tc>
          <w:tcPr>
            <w:tcW w:w="2070" w:type="dxa"/>
            <w:shd w:val="clear" w:color="auto" w:fill="auto"/>
          </w:tcPr>
          <w:p w14:paraId="565D95AE" w14:textId="6C1D8CED" w:rsidR="00EA292B" w:rsidRPr="00A445AD" w:rsidRDefault="00D20C32" w:rsidP="00A445AD">
            <w:pPr>
              <w:spacing w:before="0"/>
              <w:rPr>
                <w:lang w:val="en-GB"/>
              </w:rPr>
            </w:pPr>
            <w:r w:rsidRPr="00A445AD">
              <w:rPr>
                <w:lang w:val="en-GB"/>
              </w:rPr>
              <w:t>Enrolment</w:t>
            </w:r>
            <w:r w:rsidR="00EA292B" w:rsidRPr="00A445AD">
              <w:rPr>
                <w:lang w:val="en-GB"/>
              </w:rPr>
              <w:t>, scheduled follow-up</w:t>
            </w:r>
            <w:r w:rsidR="002924CF" w:rsidRPr="00A445AD">
              <w:rPr>
                <w:lang w:val="en-GB"/>
              </w:rPr>
              <w:t>,</w:t>
            </w:r>
            <w:r w:rsidR="00EA292B" w:rsidRPr="00A445AD">
              <w:rPr>
                <w:lang w:val="en-GB"/>
              </w:rPr>
              <w:t xml:space="preserve"> and ad hoc visits</w:t>
            </w:r>
          </w:p>
        </w:tc>
        <w:tc>
          <w:tcPr>
            <w:tcW w:w="3960" w:type="dxa"/>
            <w:shd w:val="clear" w:color="auto" w:fill="auto"/>
          </w:tcPr>
          <w:p w14:paraId="5F4429EC" w14:textId="1EDFED7C" w:rsidR="00EA292B" w:rsidRPr="00A445AD" w:rsidRDefault="00EA292B" w:rsidP="00A445AD">
            <w:pPr>
              <w:spacing w:before="0"/>
              <w:rPr>
                <w:lang w:val="en-GB"/>
              </w:rPr>
            </w:pPr>
            <w:r w:rsidRPr="00A445AD">
              <w:rPr>
                <w:lang w:val="en-GB"/>
              </w:rPr>
              <w:t xml:space="preserve">Captured above in required acceptability measures, but repeated here </w:t>
            </w:r>
            <w:r w:rsidR="002924CF" w:rsidRPr="00A445AD">
              <w:rPr>
                <w:lang w:val="en-GB"/>
              </w:rPr>
              <w:t>bec</w:t>
            </w:r>
            <w:r w:rsidRPr="00A445AD">
              <w:rPr>
                <w:lang w:val="en-GB"/>
              </w:rPr>
              <w:t>a</w:t>
            </w:r>
            <w:r w:rsidR="002924CF" w:rsidRPr="00A445AD">
              <w:rPr>
                <w:lang w:val="en-GB"/>
              </w:rPr>
              <w:t>u</w:t>
            </w:r>
            <w:r w:rsidRPr="00A445AD">
              <w:rPr>
                <w:lang w:val="en-GB"/>
              </w:rPr>
              <w:t>s</w:t>
            </w:r>
            <w:r w:rsidR="002924CF" w:rsidRPr="00A445AD">
              <w:rPr>
                <w:lang w:val="en-GB"/>
              </w:rPr>
              <w:t>e it</w:t>
            </w:r>
            <w:r w:rsidRPr="00A445AD">
              <w:rPr>
                <w:lang w:val="en-GB"/>
              </w:rPr>
              <w:t xml:space="preserve"> has implications for costing</w:t>
            </w:r>
          </w:p>
        </w:tc>
      </w:tr>
      <w:tr w:rsidR="00EA292B" w:rsidRPr="00D20C32" w14:paraId="47CB30F9" w14:textId="77777777" w:rsidTr="00A445AD">
        <w:trPr>
          <w:trHeight w:val="1538"/>
        </w:trPr>
        <w:tc>
          <w:tcPr>
            <w:tcW w:w="3060" w:type="dxa"/>
            <w:tcBorders>
              <w:bottom w:val="single" w:sz="4" w:space="0" w:color="auto"/>
            </w:tcBorders>
            <w:shd w:val="clear" w:color="auto" w:fill="auto"/>
          </w:tcPr>
          <w:p w14:paraId="5BA80D68" w14:textId="77777777" w:rsidR="00EA292B" w:rsidRPr="00A445AD" w:rsidRDefault="00EA292B" w:rsidP="00A445AD">
            <w:pPr>
              <w:spacing w:before="0"/>
              <w:rPr>
                <w:lang w:val="en-GB"/>
              </w:rPr>
            </w:pPr>
            <w:r w:rsidRPr="00A445AD">
              <w:rPr>
                <w:lang w:val="en-GB"/>
              </w:rPr>
              <w:t>Incremental PrEP service delivery costs</w:t>
            </w:r>
          </w:p>
        </w:tc>
        <w:tc>
          <w:tcPr>
            <w:tcW w:w="3960" w:type="dxa"/>
            <w:tcBorders>
              <w:bottom w:val="single" w:sz="4" w:space="0" w:color="auto"/>
            </w:tcBorders>
            <w:shd w:val="clear" w:color="auto" w:fill="auto"/>
          </w:tcPr>
          <w:p w14:paraId="59173548" w14:textId="77777777" w:rsidR="00EA292B" w:rsidRPr="00A445AD" w:rsidRDefault="00EA292B" w:rsidP="00A445AD">
            <w:pPr>
              <w:pStyle w:val="Tablebullets"/>
              <w:numPr>
                <w:ilvl w:val="0"/>
                <w:numId w:val="0"/>
              </w:numPr>
              <w:spacing w:before="0"/>
              <w:rPr>
                <w:rFonts w:eastAsiaTheme="minorEastAsia" w:cstheme="minorBidi"/>
                <w:lang w:val="en-GB" w:eastAsia="zh-CN"/>
              </w:rPr>
            </w:pPr>
            <w:r w:rsidRPr="00A445AD">
              <w:rPr>
                <w:rFonts w:eastAsiaTheme="minorEastAsia" w:cstheme="minorBidi"/>
                <w:lang w:val="en-GB" w:eastAsia="zh-CN"/>
              </w:rPr>
              <w:t>Please see Annex 3 for costing data inputs needed.</w:t>
            </w:r>
          </w:p>
        </w:tc>
        <w:tc>
          <w:tcPr>
            <w:tcW w:w="2070" w:type="dxa"/>
            <w:tcBorders>
              <w:bottom w:val="single" w:sz="4" w:space="0" w:color="auto"/>
            </w:tcBorders>
            <w:shd w:val="clear" w:color="auto" w:fill="auto"/>
          </w:tcPr>
          <w:p w14:paraId="6A63F793" w14:textId="77777777" w:rsidR="00EA292B" w:rsidRPr="00A445AD" w:rsidRDefault="00EA292B" w:rsidP="00A445AD">
            <w:pPr>
              <w:spacing w:before="0"/>
              <w:rPr>
                <w:lang w:val="en-GB"/>
              </w:rPr>
            </w:pPr>
          </w:p>
        </w:tc>
        <w:tc>
          <w:tcPr>
            <w:tcW w:w="3960" w:type="dxa"/>
            <w:tcBorders>
              <w:bottom w:val="single" w:sz="4" w:space="0" w:color="auto"/>
            </w:tcBorders>
            <w:shd w:val="clear" w:color="auto" w:fill="auto"/>
          </w:tcPr>
          <w:p w14:paraId="181DBC3D" w14:textId="4278FCD2" w:rsidR="00EA292B" w:rsidRPr="00A445AD" w:rsidRDefault="00EA292B" w:rsidP="00A445AD">
            <w:pPr>
              <w:spacing w:before="0"/>
              <w:rPr>
                <w:lang w:val="en-GB"/>
              </w:rPr>
            </w:pPr>
            <w:r w:rsidRPr="00A445AD">
              <w:rPr>
                <w:lang w:val="en-GB"/>
              </w:rPr>
              <w:t xml:space="preserve">Incremental cost of adding ring service delivery to existing services per visit, per client initiated, per person-year, disaggregated by type of site </w:t>
            </w:r>
            <w:r w:rsidR="003E32E2" w:rsidRPr="00A445AD">
              <w:rPr>
                <w:lang w:val="en-GB"/>
              </w:rPr>
              <w:t xml:space="preserve">and </w:t>
            </w:r>
            <w:r w:rsidRPr="00A445AD">
              <w:rPr>
                <w:lang w:val="en-GB"/>
              </w:rPr>
              <w:t>type of client</w:t>
            </w:r>
          </w:p>
        </w:tc>
      </w:tr>
      <w:tr w:rsidR="004D6FBC" w:rsidRPr="00D20C32" w14:paraId="20357F65" w14:textId="77777777" w:rsidTr="000B6DFF">
        <w:trPr>
          <w:trHeight w:val="611"/>
        </w:trPr>
        <w:tc>
          <w:tcPr>
            <w:tcW w:w="13050" w:type="dxa"/>
            <w:gridSpan w:val="4"/>
            <w:shd w:val="clear" w:color="auto" w:fill="F4711F" w:themeFill="accent4"/>
          </w:tcPr>
          <w:p w14:paraId="59229EDE" w14:textId="5ACF497A" w:rsidR="00EA292B" w:rsidRPr="008E4FDF" w:rsidRDefault="00EA292B" w:rsidP="00837B5A">
            <w:pPr>
              <w:rPr>
                <w:rFonts w:cs="Arial"/>
                <w:b/>
                <w:color w:val="FFFFFF"/>
                <w:szCs w:val="20"/>
                <w:lang w:val="en-GB"/>
              </w:rPr>
            </w:pPr>
            <w:r w:rsidRPr="008E4FDF">
              <w:rPr>
                <w:rFonts w:cs="Arial"/>
                <w:b/>
                <w:color w:val="FFFFFF"/>
                <w:szCs w:val="20"/>
                <w:lang w:val="en-GB"/>
              </w:rPr>
              <w:t xml:space="preserve">Suggested </w:t>
            </w:r>
            <w:r w:rsidR="00EB4F69">
              <w:rPr>
                <w:rFonts w:cs="Arial"/>
                <w:b/>
                <w:color w:val="FFFFFF"/>
                <w:szCs w:val="20"/>
                <w:lang w:val="en-GB"/>
              </w:rPr>
              <w:t>C</w:t>
            </w:r>
            <w:r w:rsidRPr="008E4FDF">
              <w:rPr>
                <w:rFonts w:cs="Arial"/>
                <w:b/>
                <w:color w:val="FFFFFF"/>
                <w:szCs w:val="20"/>
                <w:lang w:val="en-GB"/>
              </w:rPr>
              <w:t xml:space="preserve">osting </w:t>
            </w:r>
            <w:r w:rsidR="00EB4F69">
              <w:rPr>
                <w:rFonts w:cs="Arial"/>
                <w:b/>
                <w:color w:val="FFFFFF"/>
                <w:szCs w:val="20"/>
                <w:lang w:val="en-GB"/>
              </w:rPr>
              <w:t>M</w:t>
            </w:r>
            <w:r w:rsidRPr="008E4FDF">
              <w:rPr>
                <w:rFonts w:cs="Arial"/>
                <w:b/>
                <w:color w:val="FFFFFF"/>
                <w:szCs w:val="20"/>
                <w:lang w:val="en-GB"/>
              </w:rPr>
              <w:t>easures</w:t>
            </w:r>
          </w:p>
        </w:tc>
      </w:tr>
      <w:tr w:rsidR="00EA292B" w:rsidRPr="00D20C32" w14:paraId="0AFFA32B" w14:textId="77777777" w:rsidTr="000B6DFF">
        <w:tc>
          <w:tcPr>
            <w:tcW w:w="3060" w:type="dxa"/>
            <w:tcBorders>
              <w:bottom w:val="single" w:sz="4" w:space="0" w:color="auto"/>
            </w:tcBorders>
            <w:shd w:val="clear" w:color="auto" w:fill="auto"/>
          </w:tcPr>
          <w:p w14:paraId="3F6509E0" w14:textId="7FD220EC" w:rsidR="00EA292B" w:rsidRPr="00A445AD" w:rsidRDefault="00EA292B" w:rsidP="00A445AD">
            <w:pPr>
              <w:spacing w:before="0"/>
              <w:rPr>
                <w:lang w:val="en-GB"/>
              </w:rPr>
            </w:pPr>
            <w:r w:rsidRPr="00A445AD">
              <w:rPr>
                <w:lang w:val="en-GB"/>
              </w:rPr>
              <w:t>Cost to clients for those seeking ring services</w:t>
            </w:r>
          </w:p>
        </w:tc>
        <w:tc>
          <w:tcPr>
            <w:tcW w:w="3960" w:type="dxa"/>
            <w:tcBorders>
              <w:bottom w:val="single" w:sz="4" w:space="0" w:color="auto"/>
            </w:tcBorders>
            <w:shd w:val="clear" w:color="auto" w:fill="auto"/>
          </w:tcPr>
          <w:p w14:paraId="2238BB75" w14:textId="77777777" w:rsidR="00EA292B" w:rsidRPr="00A445AD" w:rsidRDefault="00EA292B" w:rsidP="00A445AD">
            <w:pPr>
              <w:spacing w:before="0"/>
              <w:rPr>
                <w:lang w:val="en-GB"/>
              </w:rPr>
            </w:pPr>
            <w:r w:rsidRPr="00A445AD">
              <w:rPr>
                <w:lang w:val="en-GB"/>
              </w:rPr>
              <w:t xml:space="preserve">Include wealth quintile measures in demographic data and ask about estimated costs borne by clients to access PrEP services. Please see Annex 3.  </w:t>
            </w:r>
          </w:p>
        </w:tc>
        <w:tc>
          <w:tcPr>
            <w:tcW w:w="2070" w:type="dxa"/>
            <w:tcBorders>
              <w:bottom w:val="single" w:sz="4" w:space="0" w:color="auto"/>
            </w:tcBorders>
            <w:shd w:val="clear" w:color="auto" w:fill="auto"/>
          </w:tcPr>
          <w:p w14:paraId="757C2C40" w14:textId="77777777" w:rsidR="00EA292B" w:rsidRPr="00A445AD" w:rsidRDefault="00EA292B" w:rsidP="00A445AD">
            <w:pPr>
              <w:spacing w:before="0"/>
              <w:rPr>
                <w:lang w:val="en-GB"/>
              </w:rPr>
            </w:pPr>
            <w:r w:rsidRPr="00A445AD">
              <w:rPr>
                <w:lang w:val="en-GB"/>
              </w:rPr>
              <w:t>Conducted at the pilot testing phase or during early stages of scale-up</w:t>
            </w:r>
          </w:p>
        </w:tc>
        <w:tc>
          <w:tcPr>
            <w:tcW w:w="3960" w:type="dxa"/>
            <w:tcBorders>
              <w:bottom w:val="single" w:sz="4" w:space="0" w:color="auto"/>
            </w:tcBorders>
            <w:shd w:val="clear" w:color="auto" w:fill="auto"/>
          </w:tcPr>
          <w:p w14:paraId="37BA8EA8" w14:textId="073171AE" w:rsidR="00EA292B" w:rsidRPr="00A445AD" w:rsidRDefault="00EA292B" w:rsidP="00A445AD">
            <w:pPr>
              <w:spacing w:before="0"/>
              <w:rPr>
                <w:lang w:val="en-GB"/>
              </w:rPr>
            </w:pPr>
            <w:r w:rsidRPr="00A445AD">
              <w:rPr>
                <w:lang w:val="en-GB"/>
              </w:rPr>
              <w:t>Clarifies the cost to clients of seeking ring services and assesses the extent to which these costs represent barriers</w:t>
            </w:r>
          </w:p>
        </w:tc>
      </w:tr>
      <w:tr w:rsidR="00EA292B" w:rsidRPr="00D20C32" w14:paraId="4353E798" w14:textId="77777777" w:rsidTr="000B6DFF">
        <w:tc>
          <w:tcPr>
            <w:tcW w:w="3060" w:type="dxa"/>
            <w:shd w:val="clear" w:color="auto" w:fill="auto"/>
          </w:tcPr>
          <w:p w14:paraId="0C235DD3" w14:textId="77777777" w:rsidR="00EA292B" w:rsidRPr="00A445AD" w:rsidRDefault="00EA292B" w:rsidP="00A445AD">
            <w:pPr>
              <w:spacing w:before="0"/>
              <w:rPr>
                <w:lang w:val="en-GB"/>
              </w:rPr>
            </w:pPr>
            <w:r w:rsidRPr="00A445AD">
              <w:rPr>
                <w:lang w:val="en-GB"/>
              </w:rPr>
              <w:t>Ratio of numbers of rings dispensed to used</w:t>
            </w:r>
          </w:p>
        </w:tc>
        <w:tc>
          <w:tcPr>
            <w:tcW w:w="3960" w:type="dxa"/>
            <w:shd w:val="clear" w:color="auto" w:fill="auto"/>
          </w:tcPr>
          <w:p w14:paraId="43D319C8" w14:textId="77777777" w:rsidR="00EA292B" w:rsidRPr="00A445AD" w:rsidRDefault="00EA292B" w:rsidP="00A445AD">
            <w:pPr>
              <w:spacing w:before="0"/>
              <w:rPr>
                <w:lang w:val="en-GB"/>
              </w:rPr>
            </w:pPr>
            <w:r w:rsidRPr="00A445AD">
              <w:rPr>
                <w:lang w:val="en-GB"/>
              </w:rPr>
              <w:t>Data relating numbers of rings dispensed to patterns of use (please see Annex 3).</w:t>
            </w:r>
          </w:p>
        </w:tc>
        <w:tc>
          <w:tcPr>
            <w:tcW w:w="2070" w:type="dxa"/>
            <w:shd w:val="clear" w:color="auto" w:fill="auto"/>
          </w:tcPr>
          <w:p w14:paraId="1490D4FE" w14:textId="77777777" w:rsidR="00EA292B" w:rsidRPr="00A445AD" w:rsidRDefault="00EA292B" w:rsidP="00A445AD">
            <w:pPr>
              <w:spacing w:before="0"/>
              <w:rPr>
                <w:lang w:val="en-GB"/>
              </w:rPr>
            </w:pPr>
            <w:r w:rsidRPr="00A445AD">
              <w:rPr>
                <w:lang w:val="en-GB"/>
              </w:rPr>
              <w:t>Track ring insertion and removal via reported use across follow-up visits</w:t>
            </w:r>
          </w:p>
        </w:tc>
        <w:tc>
          <w:tcPr>
            <w:tcW w:w="3960" w:type="dxa"/>
            <w:shd w:val="clear" w:color="auto" w:fill="auto"/>
          </w:tcPr>
          <w:p w14:paraId="1347C4C1" w14:textId="77777777" w:rsidR="00EA292B" w:rsidRPr="00A445AD" w:rsidRDefault="00EA292B" w:rsidP="00A445AD">
            <w:pPr>
              <w:spacing w:before="0"/>
              <w:rPr>
                <w:lang w:val="en-GB"/>
              </w:rPr>
            </w:pPr>
            <w:r w:rsidRPr="00A445AD">
              <w:rPr>
                <w:lang w:val="en-GB"/>
              </w:rPr>
              <w:t>Estimating costs of service delivery per person-year of protection</w:t>
            </w:r>
          </w:p>
        </w:tc>
      </w:tr>
    </w:tbl>
    <w:p w14:paraId="0C5D2674" w14:textId="77777777" w:rsidR="00B945B1" w:rsidRPr="00D20C32" w:rsidRDefault="00B945B1" w:rsidP="00B945B1">
      <w:pPr>
        <w:rPr>
          <w:rFonts w:cs="Arial"/>
          <w:b/>
          <w:szCs w:val="20"/>
          <w:lang w:val="en-GB"/>
        </w:rPr>
        <w:sectPr w:rsidR="00B945B1" w:rsidRPr="00D20C32" w:rsidSect="00B945B1">
          <w:pgSz w:w="15840" w:h="12240" w:orient="landscape" w:code="1"/>
          <w:pgMar w:top="1440" w:right="2880" w:bottom="1440" w:left="2246" w:header="720" w:footer="720" w:gutter="0"/>
          <w:cols w:space="720"/>
          <w:titlePg/>
          <w:docGrid w:linePitch="360"/>
        </w:sectPr>
      </w:pPr>
    </w:p>
    <w:p w14:paraId="283A09E5" w14:textId="0EE2D1F7" w:rsidR="00C529CE" w:rsidRPr="00D20C32" w:rsidRDefault="00C529CE" w:rsidP="00C529CE">
      <w:pPr>
        <w:pStyle w:val="Tabletitle"/>
        <w:rPr>
          <w:sz w:val="26"/>
          <w:szCs w:val="26"/>
          <w:lang w:val="en-GB"/>
        </w:rPr>
      </w:pPr>
      <w:r w:rsidRPr="00D20C32">
        <w:rPr>
          <w:sz w:val="26"/>
          <w:szCs w:val="26"/>
          <w:lang w:val="en-GB"/>
        </w:rPr>
        <w:lastRenderedPageBreak/>
        <w:t>Study efficiency review</w:t>
      </w:r>
    </w:p>
    <w:p w14:paraId="559A4C10" w14:textId="5D42B026" w:rsidR="00C529CE" w:rsidRPr="00D20C32" w:rsidRDefault="00C529CE" w:rsidP="00955B3C">
      <w:pPr>
        <w:rPr>
          <w:rFonts w:cs="Arial"/>
          <w:szCs w:val="20"/>
          <w:lang w:val="en-GB"/>
        </w:rPr>
      </w:pPr>
      <w:r w:rsidRPr="00D20C32">
        <w:rPr>
          <w:rFonts w:cs="Arial"/>
          <w:szCs w:val="20"/>
          <w:lang w:val="en-GB"/>
        </w:rPr>
        <w:t>The MOH</w:t>
      </w:r>
      <w:r w:rsidR="004B6972" w:rsidRPr="00D20C32">
        <w:rPr>
          <w:rFonts w:cs="Arial"/>
          <w:szCs w:val="20"/>
          <w:lang w:val="en-GB"/>
        </w:rPr>
        <w:t xml:space="preserve"> [</w:t>
      </w:r>
      <w:r w:rsidR="004B6972" w:rsidRPr="00D20C32">
        <w:rPr>
          <w:rFonts w:cs="Arial"/>
          <w:szCs w:val="20"/>
          <w:highlight w:val="yellow"/>
          <w:lang w:val="en-GB"/>
        </w:rPr>
        <w:t>or health authority</w:t>
      </w:r>
      <w:r w:rsidR="004B6972" w:rsidRPr="00D20C32">
        <w:rPr>
          <w:rFonts w:cs="Arial"/>
          <w:szCs w:val="20"/>
          <w:lang w:val="en-GB"/>
        </w:rPr>
        <w:t>]</w:t>
      </w:r>
      <w:r w:rsidRPr="00D20C32">
        <w:rPr>
          <w:rFonts w:cs="Arial"/>
          <w:szCs w:val="20"/>
          <w:lang w:val="en-GB"/>
        </w:rPr>
        <w:t xml:space="preserve"> requests that each investigator group list specific </w:t>
      </w:r>
      <w:r w:rsidR="00955B3C" w:rsidRPr="00D20C32">
        <w:rPr>
          <w:rFonts w:cs="Arial"/>
          <w:szCs w:val="20"/>
          <w:lang w:val="en-GB"/>
        </w:rPr>
        <w:t>subnational site</w:t>
      </w:r>
      <w:r w:rsidRPr="00D20C32">
        <w:rPr>
          <w:rFonts w:cs="Arial"/>
          <w:szCs w:val="20"/>
          <w:lang w:val="en-GB"/>
        </w:rPr>
        <w:t>s, type</w:t>
      </w:r>
      <w:r w:rsidR="003E32E2" w:rsidRPr="00D20C32">
        <w:rPr>
          <w:rFonts w:cs="Arial"/>
          <w:szCs w:val="20"/>
          <w:lang w:val="en-GB"/>
        </w:rPr>
        <w:t>(s)</w:t>
      </w:r>
      <w:r w:rsidRPr="00D20C32">
        <w:rPr>
          <w:rFonts w:cs="Arial"/>
          <w:szCs w:val="20"/>
          <w:lang w:val="en-GB"/>
        </w:rPr>
        <w:t xml:space="preserve"> of service sites, and end-user groups planned </w:t>
      </w:r>
      <w:r w:rsidR="002924CF" w:rsidRPr="00D20C32">
        <w:rPr>
          <w:rFonts w:cs="Arial"/>
          <w:szCs w:val="20"/>
          <w:lang w:val="en-GB"/>
        </w:rPr>
        <w:t>for</w:t>
      </w:r>
      <w:r w:rsidRPr="00D20C32">
        <w:rPr>
          <w:rFonts w:cs="Arial"/>
          <w:szCs w:val="20"/>
          <w:lang w:val="en-GB"/>
        </w:rPr>
        <w:t xml:space="preserve"> each study prior to submission to the</w:t>
      </w:r>
      <w:r w:rsidR="00DE5CA0" w:rsidRPr="00D20C32">
        <w:rPr>
          <w:rFonts w:cs="Arial"/>
          <w:szCs w:val="20"/>
          <w:lang w:val="en-GB"/>
        </w:rPr>
        <w:t xml:space="preserve"> in</w:t>
      </w:r>
      <w:r w:rsidR="00AB3A55" w:rsidRPr="00D20C32">
        <w:rPr>
          <w:rFonts w:cs="Arial"/>
          <w:szCs w:val="20"/>
          <w:lang w:val="en-GB"/>
        </w:rPr>
        <w:t>stitu</w:t>
      </w:r>
      <w:r w:rsidR="00DE5CA0" w:rsidRPr="00D20C32">
        <w:rPr>
          <w:rFonts w:cs="Arial"/>
          <w:szCs w:val="20"/>
          <w:lang w:val="en-GB"/>
        </w:rPr>
        <w:t>tional review boards</w:t>
      </w:r>
      <w:r w:rsidR="00AB3A55" w:rsidRPr="00D20C32">
        <w:rPr>
          <w:rFonts w:cs="Arial"/>
          <w:szCs w:val="20"/>
          <w:lang w:val="en-GB"/>
        </w:rPr>
        <w:t xml:space="preserve"> (IRBs)</w:t>
      </w:r>
      <w:r w:rsidRPr="00D20C32">
        <w:rPr>
          <w:rFonts w:cs="Arial"/>
          <w:szCs w:val="20"/>
          <w:lang w:val="en-GB"/>
        </w:rPr>
        <w:t xml:space="preserve">. These selections will be reviewed to ensure </w:t>
      </w:r>
      <w:r w:rsidR="008428A0" w:rsidRPr="00D20C32">
        <w:rPr>
          <w:rFonts w:cs="Arial"/>
          <w:szCs w:val="20"/>
          <w:lang w:val="en-GB"/>
        </w:rPr>
        <w:t>coordination across</w:t>
      </w:r>
      <w:r w:rsidRPr="00D20C32">
        <w:rPr>
          <w:rFonts w:cs="Arial"/>
          <w:szCs w:val="20"/>
          <w:lang w:val="en-GB"/>
        </w:rPr>
        <w:t xml:space="preserve"> investigator groups and to suggest alterations or expansion in target groups or service sites to ensure multiple data sources for key measures.</w:t>
      </w:r>
      <w:r w:rsidR="00B27AA4" w:rsidRPr="00D20C32">
        <w:rPr>
          <w:rFonts w:cs="Arial"/>
          <w:szCs w:val="20"/>
          <w:lang w:val="en-GB"/>
        </w:rPr>
        <w:t xml:space="preserve"> A matrix will be provided to facilitate this process</w:t>
      </w:r>
      <w:r w:rsidR="00955B3C" w:rsidRPr="00D20C32">
        <w:rPr>
          <w:rFonts w:cs="Arial"/>
          <w:szCs w:val="20"/>
          <w:lang w:val="en-GB"/>
        </w:rPr>
        <w:t xml:space="preserve"> (Annex 1)</w:t>
      </w:r>
      <w:r w:rsidR="00B27AA4" w:rsidRPr="00D20C32">
        <w:rPr>
          <w:rFonts w:cs="Arial"/>
          <w:szCs w:val="20"/>
          <w:lang w:val="en-GB"/>
        </w:rPr>
        <w:t>.</w:t>
      </w:r>
      <w:r w:rsidR="00827603" w:rsidRPr="00D20C32">
        <w:rPr>
          <w:rFonts w:cs="Arial"/>
          <w:szCs w:val="20"/>
          <w:lang w:val="en-GB"/>
        </w:rPr>
        <w:t xml:space="preserve"> Each investigator team should </w:t>
      </w:r>
      <w:r w:rsidR="002D7325" w:rsidRPr="00D20C32">
        <w:rPr>
          <w:rFonts w:cs="Arial"/>
          <w:szCs w:val="20"/>
          <w:lang w:val="en-GB"/>
        </w:rPr>
        <w:t>include</w:t>
      </w:r>
      <w:r w:rsidR="00827603" w:rsidRPr="00D20C32">
        <w:rPr>
          <w:rFonts w:cs="Arial"/>
          <w:szCs w:val="20"/>
          <w:lang w:val="en-GB"/>
        </w:rPr>
        <w:t xml:space="preserve"> a plan for sustained ring provision for women who participate and wish to continue ring use after the study period. </w:t>
      </w:r>
    </w:p>
    <w:p w14:paraId="1B64F2A8" w14:textId="5EC2A1D0" w:rsidR="00C529CE" w:rsidRPr="00D20C32" w:rsidRDefault="00C529CE" w:rsidP="00C529CE">
      <w:pPr>
        <w:pStyle w:val="Tabletitle"/>
        <w:rPr>
          <w:sz w:val="26"/>
          <w:szCs w:val="26"/>
          <w:lang w:val="en-GB"/>
        </w:rPr>
      </w:pPr>
      <w:r w:rsidRPr="00D20C32">
        <w:rPr>
          <w:sz w:val="26"/>
          <w:szCs w:val="26"/>
          <w:lang w:val="en-GB"/>
        </w:rPr>
        <w:t xml:space="preserve">Ring implementation pilot </w:t>
      </w:r>
      <w:r w:rsidR="000128C6" w:rsidRPr="00D20C32">
        <w:rPr>
          <w:sz w:val="26"/>
          <w:szCs w:val="26"/>
          <w:lang w:val="en-GB"/>
        </w:rPr>
        <w:t>A</w:t>
      </w:r>
      <w:r w:rsidRPr="00D20C32">
        <w:rPr>
          <w:sz w:val="26"/>
          <w:szCs w:val="26"/>
          <w:lang w:val="en-GB"/>
        </w:rPr>
        <w:t xml:space="preserve">dvisory </w:t>
      </w:r>
      <w:r w:rsidR="000128C6" w:rsidRPr="00D20C32">
        <w:rPr>
          <w:sz w:val="26"/>
          <w:szCs w:val="26"/>
          <w:lang w:val="en-GB"/>
        </w:rPr>
        <w:t>C</w:t>
      </w:r>
      <w:r w:rsidRPr="00D20C32">
        <w:rPr>
          <w:sz w:val="26"/>
          <w:szCs w:val="26"/>
          <w:lang w:val="en-GB"/>
        </w:rPr>
        <w:t xml:space="preserve">ommittee </w:t>
      </w:r>
    </w:p>
    <w:p w14:paraId="6B88A9DC" w14:textId="77777777" w:rsidR="009F601D" w:rsidRDefault="239C0CD1" w:rsidP="42A9FCB0">
      <w:pPr>
        <w:rPr>
          <w:rFonts w:cs="Arial"/>
          <w:lang w:val="en-GB"/>
        </w:rPr>
      </w:pPr>
      <w:r w:rsidRPr="2104C340">
        <w:rPr>
          <w:rFonts w:cs="Arial"/>
          <w:lang w:val="en-GB"/>
        </w:rPr>
        <w:t>The MOH</w:t>
      </w:r>
      <w:r w:rsidR="386F3539" w:rsidRPr="2104C340">
        <w:rPr>
          <w:rFonts w:cs="Arial"/>
          <w:lang w:val="en-GB"/>
        </w:rPr>
        <w:t xml:space="preserve"> [</w:t>
      </w:r>
      <w:r w:rsidR="386F3539" w:rsidRPr="2104C340">
        <w:rPr>
          <w:rFonts w:cs="Arial"/>
          <w:highlight w:val="yellow"/>
          <w:lang w:val="en-GB"/>
        </w:rPr>
        <w:t>or health authority</w:t>
      </w:r>
      <w:r w:rsidR="386F3539" w:rsidRPr="2104C340">
        <w:rPr>
          <w:rFonts w:cs="Arial"/>
          <w:lang w:val="en-GB"/>
        </w:rPr>
        <w:t>]</w:t>
      </w:r>
      <w:r w:rsidRPr="2104C340">
        <w:rPr>
          <w:rFonts w:cs="Arial"/>
          <w:lang w:val="en-GB"/>
        </w:rPr>
        <w:t xml:space="preserve"> will convene an </w:t>
      </w:r>
      <w:r w:rsidR="25B198AF" w:rsidRPr="2104C340">
        <w:rPr>
          <w:rFonts w:cs="Arial"/>
          <w:lang w:val="en-GB"/>
        </w:rPr>
        <w:t>a</w:t>
      </w:r>
      <w:r w:rsidRPr="2104C340">
        <w:rPr>
          <w:rFonts w:cs="Arial"/>
          <w:lang w:val="en-GB"/>
        </w:rPr>
        <w:t xml:space="preserve">dvisory </w:t>
      </w:r>
      <w:r w:rsidR="25B198AF" w:rsidRPr="2104C340">
        <w:rPr>
          <w:rFonts w:cs="Arial"/>
          <w:lang w:val="en-GB"/>
        </w:rPr>
        <w:t>c</w:t>
      </w:r>
      <w:r w:rsidRPr="2104C340">
        <w:rPr>
          <w:rFonts w:cs="Arial"/>
          <w:lang w:val="en-GB"/>
        </w:rPr>
        <w:t>ommittee to provide ongoing guidance and input during protocol development</w:t>
      </w:r>
      <w:r w:rsidR="193855B3" w:rsidRPr="2104C340">
        <w:rPr>
          <w:rFonts w:cs="Arial"/>
          <w:lang w:val="en-GB"/>
        </w:rPr>
        <w:t xml:space="preserve"> (upon request of </w:t>
      </w:r>
      <w:r w:rsidR="7EBB9299" w:rsidRPr="2104C340">
        <w:rPr>
          <w:rFonts w:cs="Arial"/>
          <w:lang w:val="en-GB"/>
        </w:rPr>
        <w:t xml:space="preserve">the </w:t>
      </w:r>
      <w:r w:rsidR="193855B3" w:rsidRPr="2104C340">
        <w:rPr>
          <w:rFonts w:cs="Arial"/>
          <w:lang w:val="en-GB"/>
        </w:rPr>
        <w:t>MOH or the investigator team)</w:t>
      </w:r>
      <w:r w:rsidRPr="2104C340">
        <w:rPr>
          <w:rFonts w:cs="Arial"/>
          <w:lang w:val="en-GB"/>
        </w:rPr>
        <w:t xml:space="preserve">, </w:t>
      </w:r>
      <w:r w:rsidR="08CAEE3B" w:rsidRPr="2104C340">
        <w:rPr>
          <w:rFonts w:cs="Arial"/>
          <w:lang w:val="en-GB"/>
        </w:rPr>
        <w:t xml:space="preserve">implementation, </w:t>
      </w:r>
      <w:r w:rsidRPr="2104C340">
        <w:rPr>
          <w:rFonts w:cs="Arial"/>
          <w:lang w:val="en-GB"/>
        </w:rPr>
        <w:t>initial results presentation (</w:t>
      </w:r>
      <w:r w:rsidR="193855B3" w:rsidRPr="2104C340">
        <w:rPr>
          <w:rFonts w:cs="Arial"/>
          <w:lang w:val="en-GB"/>
        </w:rPr>
        <w:t xml:space="preserve">feasibility and </w:t>
      </w:r>
      <w:r w:rsidRPr="2104C340">
        <w:rPr>
          <w:rFonts w:cs="Arial"/>
          <w:lang w:val="en-GB"/>
        </w:rPr>
        <w:t xml:space="preserve">uptake data), and </w:t>
      </w:r>
      <w:proofErr w:type="gramStart"/>
      <w:r w:rsidRPr="2104C340">
        <w:rPr>
          <w:rFonts w:cs="Arial"/>
          <w:lang w:val="en-GB"/>
        </w:rPr>
        <w:t>final results</w:t>
      </w:r>
      <w:proofErr w:type="gramEnd"/>
      <w:r w:rsidRPr="2104C340">
        <w:rPr>
          <w:rFonts w:cs="Arial"/>
          <w:lang w:val="en-GB"/>
        </w:rPr>
        <w:t xml:space="preserve"> presentation. </w:t>
      </w:r>
      <w:r w:rsidR="193855B3" w:rsidRPr="2104C340">
        <w:rPr>
          <w:rFonts w:cs="Arial"/>
          <w:lang w:val="en-GB"/>
        </w:rPr>
        <w:t xml:space="preserve">We recommend that investigator teams avail themselves of the expertise within the Advisory Committee for </w:t>
      </w:r>
      <w:r w:rsidR="7EBB9299" w:rsidRPr="2104C340">
        <w:rPr>
          <w:rFonts w:cs="Arial"/>
          <w:lang w:val="en-GB"/>
        </w:rPr>
        <w:t xml:space="preserve">the </w:t>
      </w:r>
      <w:r w:rsidR="193855B3" w:rsidRPr="2104C340">
        <w:rPr>
          <w:rFonts w:cs="Arial"/>
          <w:lang w:val="en-GB"/>
        </w:rPr>
        <w:t>wording of the consents and questionnaires as well as selection of study facilities and engagement with local community-based organi</w:t>
      </w:r>
      <w:r w:rsidR="6F3DC5BC" w:rsidRPr="2104C340">
        <w:rPr>
          <w:rFonts w:cs="Arial"/>
          <w:lang w:val="en-GB"/>
        </w:rPr>
        <w:t>s</w:t>
      </w:r>
      <w:r w:rsidR="193855B3" w:rsidRPr="2104C340">
        <w:rPr>
          <w:rFonts w:cs="Arial"/>
          <w:lang w:val="en-GB"/>
        </w:rPr>
        <w:t xml:space="preserve">ations. </w:t>
      </w:r>
    </w:p>
    <w:p w14:paraId="341CEF09" w14:textId="7F49D7C6" w:rsidR="009F601D" w:rsidRDefault="239C0CD1" w:rsidP="42A9FCB0">
      <w:pPr>
        <w:rPr>
          <w:rFonts w:cs="Arial"/>
          <w:lang w:val="en-GB"/>
        </w:rPr>
      </w:pPr>
      <w:r w:rsidRPr="2104C340">
        <w:rPr>
          <w:rFonts w:cs="Arial"/>
          <w:lang w:val="en-GB"/>
        </w:rPr>
        <w:t>The committee will comprise</w:t>
      </w:r>
      <w:r w:rsidR="44C17847" w:rsidRPr="2104C340">
        <w:rPr>
          <w:rFonts w:cs="Arial"/>
          <w:lang w:val="en-GB"/>
        </w:rPr>
        <w:t xml:space="preserve"> </w:t>
      </w:r>
      <w:r w:rsidRPr="2104C340">
        <w:rPr>
          <w:rFonts w:cs="Arial"/>
          <w:lang w:val="en-GB"/>
        </w:rPr>
        <w:t>MOH</w:t>
      </w:r>
      <w:r w:rsidR="386F3539" w:rsidRPr="2104C340">
        <w:rPr>
          <w:rFonts w:cs="Arial"/>
          <w:lang w:val="en-GB"/>
        </w:rPr>
        <w:t xml:space="preserve"> [</w:t>
      </w:r>
      <w:r w:rsidR="386F3539" w:rsidRPr="2104C340">
        <w:rPr>
          <w:rFonts w:cs="Arial"/>
          <w:highlight w:val="yellow"/>
          <w:lang w:val="en-GB"/>
        </w:rPr>
        <w:t>or health authority</w:t>
      </w:r>
      <w:r w:rsidR="386F3539" w:rsidRPr="2104C340">
        <w:rPr>
          <w:rFonts w:cs="Arial"/>
          <w:lang w:val="en-GB"/>
        </w:rPr>
        <w:t>]</w:t>
      </w:r>
      <w:r w:rsidRPr="2104C340">
        <w:rPr>
          <w:rFonts w:cs="Arial"/>
          <w:lang w:val="en-GB"/>
        </w:rPr>
        <w:t xml:space="preserve"> and stakeholder representatives, including representatives f</w:t>
      </w:r>
      <w:r w:rsidR="25D5FE02" w:rsidRPr="2104C340">
        <w:rPr>
          <w:rFonts w:cs="Arial"/>
          <w:lang w:val="en-GB"/>
        </w:rPr>
        <w:t>ro</w:t>
      </w:r>
      <w:r w:rsidRPr="2104C340">
        <w:rPr>
          <w:rFonts w:cs="Arial"/>
          <w:lang w:val="en-GB"/>
        </w:rPr>
        <w:t>m end-user groups, who are not investigators on the pilot implementation studies</w:t>
      </w:r>
      <w:r w:rsidR="4D5E7504" w:rsidRPr="2104C340">
        <w:rPr>
          <w:rFonts w:cs="Arial"/>
          <w:lang w:val="en-GB"/>
        </w:rPr>
        <w:t xml:space="preserve"> (</w:t>
      </w:r>
      <w:r w:rsidR="4D5E7504" w:rsidRPr="2104C340">
        <w:rPr>
          <w:rFonts w:cs="Arial"/>
          <w:highlight w:val="yellow"/>
          <w:lang w:val="en-GB"/>
        </w:rPr>
        <w:t>number to be determined by health authority</w:t>
      </w:r>
      <w:r w:rsidR="4D5E7504" w:rsidRPr="2104C340">
        <w:rPr>
          <w:rFonts w:cs="Arial"/>
          <w:lang w:val="en-GB"/>
        </w:rPr>
        <w:t>)</w:t>
      </w:r>
      <w:r w:rsidRPr="2104C340">
        <w:rPr>
          <w:rFonts w:cs="Arial"/>
          <w:lang w:val="en-GB"/>
        </w:rPr>
        <w:t xml:space="preserve">. </w:t>
      </w:r>
      <w:r w:rsidR="7EBB9299" w:rsidRPr="2104C340">
        <w:rPr>
          <w:rFonts w:cs="Arial"/>
          <w:lang w:val="en-GB"/>
        </w:rPr>
        <w:t>T</w:t>
      </w:r>
      <w:r w:rsidRPr="2104C340">
        <w:rPr>
          <w:rFonts w:cs="Arial"/>
          <w:lang w:val="en-GB"/>
        </w:rPr>
        <w:t>he committee will</w:t>
      </w:r>
      <w:r w:rsidR="7EBB9299" w:rsidRPr="2104C340">
        <w:rPr>
          <w:rFonts w:cs="Arial"/>
          <w:lang w:val="en-GB"/>
        </w:rPr>
        <w:t xml:space="preserve"> also</w:t>
      </w:r>
      <w:r w:rsidRPr="2104C340">
        <w:rPr>
          <w:rFonts w:cs="Arial"/>
          <w:lang w:val="en-GB"/>
        </w:rPr>
        <w:t xml:space="preserve"> include representation from advocacy groups for sexual and reproductive health and HIV prevention in </w:t>
      </w:r>
      <w:r w:rsidR="386F3539" w:rsidRPr="2104C340">
        <w:rPr>
          <w:rFonts w:cs="Arial"/>
          <w:lang w:val="en-GB"/>
        </w:rPr>
        <w:t>[</w:t>
      </w:r>
      <w:r w:rsidR="386F3539" w:rsidRPr="2104C340">
        <w:rPr>
          <w:rFonts w:cs="Arial"/>
          <w:highlight w:val="yellow"/>
          <w:lang w:val="en-GB"/>
        </w:rPr>
        <w:t>country name</w:t>
      </w:r>
      <w:r w:rsidR="386F3539" w:rsidRPr="2104C340">
        <w:rPr>
          <w:rFonts w:cs="Arial"/>
          <w:lang w:val="en-GB"/>
        </w:rPr>
        <w:t>]</w:t>
      </w:r>
      <w:r w:rsidRPr="2104C340">
        <w:rPr>
          <w:rFonts w:cs="Arial"/>
          <w:lang w:val="en-GB"/>
        </w:rPr>
        <w:t xml:space="preserve"> and civil society organi</w:t>
      </w:r>
      <w:r w:rsidR="43C563C4" w:rsidRPr="2104C340">
        <w:rPr>
          <w:rFonts w:cs="Arial"/>
          <w:lang w:val="en-GB"/>
        </w:rPr>
        <w:t>s</w:t>
      </w:r>
      <w:r w:rsidRPr="2104C340">
        <w:rPr>
          <w:rFonts w:cs="Arial"/>
          <w:lang w:val="en-GB"/>
        </w:rPr>
        <w:t xml:space="preserve">ations comprised of specific ring end-user groups. </w:t>
      </w:r>
      <w:r w:rsidR="3C759D8F" w:rsidRPr="2104C340">
        <w:rPr>
          <w:rFonts w:cs="Arial"/>
          <w:lang w:val="en-GB"/>
        </w:rPr>
        <w:t xml:space="preserve">Advisory Committee members will be nominated by </w:t>
      </w:r>
      <w:r w:rsidR="7EBB9299" w:rsidRPr="2104C340">
        <w:rPr>
          <w:rFonts w:cs="Arial"/>
          <w:lang w:val="en-GB"/>
        </w:rPr>
        <w:t xml:space="preserve">the </w:t>
      </w:r>
      <w:r w:rsidR="3C759D8F" w:rsidRPr="2104C340">
        <w:rPr>
          <w:rFonts w:cs="Arial"/>
          <w:lang w:val="en-GB"/>
        </w:rPr>
        <w:t>MOH, NAC,</w:t>
      </w:r>
      <w:r w:rsidR="386F3539" w:rsidRPr="2104C340">
        <w:rPr>
          <w:rFonts w:cs="Arial"/>
          <w:lang w:val="en-GB"/>
        </w:rPr>
        <w:t xml:space="preserve"> [</w:t>
      </w:r>
      <w:r w:rsidR="386F3539" w:rsidRPr="2104C340">
        <w:rPr>
          <w:rFonts w:cs="Arial"/>
          <w:highlight w:val="yellow"/>
          <w:lang w:val="en-GB"/>
        </w:rPr>
        <w:t>or health authorities</w:t>
      </w:r>
      <w:r w:rsidR="386F3539" w:rsidRPr="2104C340">
        <w:rPr>
          <w:rFonts w:cs="Arial"/>
          <w:lang w:val="en-GB"/>
        </w:rPr>
        <w:t>]</w:t>
      </w:r>
      <w:r w:rsidR="3C759D8F" w:rsidRPr="2104C340">
        <w:rPr>
          <w:rFonts w:cs="Arial"/>
          <w:lang w:val="en-GB"/>
        </w:rPr>
        <w:t xml:space="preserve"> and select</w:t>
      </w:r>
      <w:r w:rsidR="7EBB9299" w:rsidRPr="2104C340">
        <w:rPr>
          <w:rFonts w:cs="Arial"/>
          <w:lang w:val="en-GB"/>
        </w:rPr>
        <w:t>ed</w:t>
      </w:r>
      <w:r w:rsidR="3C759D8F" w:rsidRPr="2104C340">
        <w:rPr>
          <w:rFonts w:cs="Arial"/>
          <w:lang w:val="en-GB"/>
        </w:rPr>
        <w:t xml:space="preserve"> members of the</w:t>
      </w:r>
      <w:r w:rsidR="4CF93B82" w:rsidRPr="2104C340">
        <w:rPr>
          <w:rFonts w:cs="Arial"/>
          <w:lang w:val="en-GB"/>
        </w:rPr>
        <w:t xml:space="preserve"> PrEP task force</w:t>
      </w:r>
      <w:r w:rsidR="386F3539" w:rsidRPr="2104C340">
        <w:rPr>
          <w:rFonts w:cs="Arial"/>
          <w:lang w:val="en-GB"/>
        </w:rPr>
        <w:t xml:space="preserve"> [</w:t>
      </w:r>
      <w:r w:rsidR="386F3539" w:rsidRPr="2104C340">
        <w:rPr>
          <w:rFonts w:cs="Arial"/>
          <w:highlight w:val="yellow"/>
          <w:lang w:val="en-GB"/>
        </w:rPr>
        <w:t>or relevant technical working group</w:t>
      </w:r>
      <w:r w:rsidR="386F3539" w:rsidRPr="2104C340">
        <w:rPr>
          <w:rFonts w:cs="Arial"/>
          <w:lang w:val="en-GB"/>
        </w:rPr>
        <w:t>]</w:t>
      </w:r>
      <w:r w:rsidR="3C759D8F" w:rsidRPr="2104C340">
        <w:rPr>
          <w:rFonts w:cs="Arial"/>
          <w:lang w:val="en-GB"/>
        </w:rPr>
        <w:t xml:space="preserve"> not affiliated with pilot implementation studies. At least one </w:t>
      </w:r>
      <w:r w:rsidR="7EBB9299" w:rsidRPr="2104C340">
        <w:rPr>
          <w:rFonts w:cs="Arial"/>
          <w:lang w:val="en-GB"/>
        </w:rPr>
        <w:t>A</w:t>
      </w:r>
      <w:r w:rsidR="3C759D8F" w:rsidRPr="2104C340">
        <w:rPr>
          <w:rFonts w:cs="Arial"/>
          <w:lang w:val="en-GB"/>
        </w:rPr>
        <w:t xml:space="preserve">dvisory </w:t>
      </w:r>
      <w:r w:rsidR="7EBB9299" w:rsidRPr="2104C340">
        <w:rPr>
          <w:rFonts w:cs="Arial"/>
          <w:lang w:val="en-GB"/>
        </w:rPr>
        <w:t>C</w:t>
      </w:r>
      <w:r w:rsidR="3C759D8F" w:rsidRPr="2104C340">
        <w:rPr>
          <w:rFonts w:cs="Arial"/>
          <w:lang w:val="en-GB"/>
        </w:rPr>
        <w:t xml:space="preserve">ommittee member will be selected from </w:t>
      </w:r>
      <w:r w:rsidR="4CF93B82" w:rsidRPr="2104C340">
        <w:rPr>
          <w:rFonts w:cs="Arial"/>
          <w:lang w:val="en-GB"/>
        </w:rPr>
        <w:t xml:space="preserve">the provincial </w:t>
      </w:r>
      <w:r w:rsidR="7EBB9299" w:rsidRPr="2104C340">
        <w:rPr>
          <w:rFonts w:cs="Arial"/>
          <w:lang w:val="en-GB"/>
        </w:rPr>
        <w:t xml:space="preserve">health team </w:t>
      </w:r>
      <w:r w:rsidR="4CF93B82" w:rsidRPr="2104C340">
        <w:rPr>
          <w:rFonts w:cs="Arial"/>
          <w:lang w:val="en-GB"/>
        </w:rPr>
        <w:t>and one from the health team</w:t>
      </w:r>
      <w:r w:rsidR="04A59308" w:rsidRPr="2104C340">
        <w:rPr>
          <w:rFonts w:cs="Arial"/>
          <w:lang w:val="en-GB"/>
        </w:rPr>
        <w:t>s</w:t>
      </w:r>
      <w:r w:rsidR="4CF93B82" w:rsidRPr="2104C340">
        <w:rPr>
          <w:rFonts w:cs="Arial"/>
          <w:lang w:val="en-GB"/>
        </w:rPr>
        <w:t xml:space="preserve"> </w:t>
      </w:r>
      <w:r w:rsidR="7EBB9299" w:rsidRPr="2104C340">
        <w:rPr>
          <w:rFonts w:cs="Arial"/>
          <w:lang w:val="en-GB"/>
        </w:rPr>
        <w:t xml:space="preserve">of </w:t>
      </w:r>
      <w:r w:rsidR="00A173B1">
        <w:rPr>
          <w:rFonts w:cs="Arial"/>
          <w:lang w:val="en-GB"/>
        </w:rPr>
        <w:t>each</w:t>
      </w:r>
      <w:r w:rsidR="7EBB9299" w:rsidRPr="2104C340">
        <w:rPr>
          <w:rFonts w:cs="Arial"/>
          <w:lang w:val="en-GB"/>
        </w:rPr>
        <w:t xml:space="preserve"> district </w:t>
      </w:r>
      <w:r w:rsidR="3C759D8F" w:rsidRPr="2104C340">
        <w:rPr>
          <w:rFonts w:cs="Arial"/>
          <w:lang w:val="en-GB"/>
        </w:rPr>
        <w:t xml:space="preserve">where the pilot studies will be conducted. </w:t>
      </w:r>
    </w:p>
    <w:p w14:paraId="6A51506F" w14:textId="74E94585" w:rsidR="00B27AA4" w:rsidRPr="00D20C32" w:rsidRDefault="239C0CD1" w:rsidP="42A9FCB0">
      <w:pPr>
        <w:rPr>
          <w:rFonts w:cs="Arial"/>
          <w:lang w:val="en-GB"/>
        </w:rPr>
      </w:pPr>
      <w:r w:rsidRPr="2104C340">
        <w:rPr>
          <w:rFonts w:cs="Arial"/>
          <w:lang w:val="en-GB"/>
        </w:rPr>
        <w:t xml:space="preserve">The Advisory Committee will be </w:t>
      </w:r>
      <w:r w:rsidR="4CF93B82" w:rsidRPr="2104C340">
        <w:rPr>
          <w:rFonts w:cs="Arial"/>
          <w:lang w:val="en-GB"/>
        </w:rPr>
        <w:t>available</w:t>
      </w:r>
      <w:r w:rsidRPr="2104C340">
        <w:rPr>
          <w:rFonts w:cs="Arial"/>
          <w:lang w:val="en-GB"/>
        </w:rPr>
        <w:t xml:space="preserve"> to review study instruments and protocols to </w:t>
      </w:r>
      <w:r w:rsidR="4CF93B82" w:rsidRPr="2104C340">
        <w:rPr>
          <w:rFonts w:cs="Arial"/>
          <w:lang w:val="en-GB"/>
        </w:rPr>
        <w:t>provide contextual insights as well as suggest improvements in phrasing or supplemental questions to better achieve the study outcomes.</w:t>
      </w:r>
      <w:r w:rsidR="7EB0814A" w:rsidRPr="2104C340">
        <w:rPr>
          <w:rFonts w:cs="Arial"/>
          <w:lang w:val="en-GB"/>
        </w:rPr>
        <w:t xml:space="preserve"> Committee </w:t>
      </w:r>
      <w:r w:rsidR="7EBB9299" w:rsidRPr="2104C340">
        <w:rPr>
          <w:rFonts w:cs="Arial"/>
          <w:lang w:val="en-GB"/>
        </w:rPr>
        <w:t xml:space="preserve">members </w:t>
      </w:r>
      <w:r w:rsidR="7EB0814A" w:rsidRPr="2104C340">
        <w:rPr>
          <w:rFonts w:cs="Arial"/>
          <w:lang w:val="en-GB"/>
        </w:rPr>
        <w:t xml:space="preserve">will also assist investigator teams and the MOH </w:t>
      </w:r>
      <w:r w:rsidR="7EBB9299" w:rsidRPr="2104C340">
        <w:rPr>
          <w:rFonts w:cs="Arial"/>
          <w:lang w:val="en-GB"/>
        </w:rPr>
        <w:t>in</w:t>
      </w:r>
      <w:r w:rsidR="7EB0814A" w:rsidRPr="2104C340">
        <w:rPr>
          <w:rFonts w:cs="Arial"/>
          <w:lang w:val="en-GB"/>
        </w:rPr>
        <w:t xml:space="preserve"> designing dissemination plans and </w:t>
      </w:r>
      <w:r w:rsidR="7EBB9299" w:rsidRPr="2104C340">
        <w:rPr>
          <w:rFonts w:cs="Arial"/>
          <w:lang w:val="en-GB"/>
        </w:rPr>
        <w:t xml:space="preserve">will </w:t>
      </w:r>
      <w:r w:rsidR="7EB0814A" w:rsidRPr="2104C340">
        <w:rPr>
          <w:rFonts w:cs="Arial"/>
          <w:lang w:val="en-GB"/>
        </w:rPr>
        <w:t>provide direct support, as possible, for community updates on study progress and findings, aligned with study and national community sensiti</w:t>
      </w:r>
      <w:r w:rsidR="2959F786" w:rsidRPr="2104C340">
        <w:rPr>
          <w:rFonts w:cs="Arial"/>
          <w:lang w:val="en-GB"/>
        </w:rPr>
        <w:t>s</w:t>
      </w:r>
      <w:r w:rsidR="7EB0814A" w:rsidRPr="2104C340">
        <w:rPr>
          <w:rFonts w:cs="Arial"/>
          <w:lang w:val="en-GB"/>
        </w:rPr>
        <w:t>ation efforts.</w:t>
      </w:r>
      <w:r w:rsidR="4CF93B82" w:rsidRPr="2104C340">
        <w:rPr>
          <w:rFonts w:cs="Arial"/>
          <w:lang w:val="en-GB"/>
        </w:rPr>
        <w:t xml:space="preserve">  </w:t>
      </w:r>
    </w:p>
    <w:p w14:paraId="0ABDDFA4" w14:textId="65BFC3A5" w:rsidR="00C529CE" w:rsidRPr="00D20C32" w:rsidRDefault="00B27AA4" w:rsidP="42A9FCB0">
      <w:pPr>
        <w:rPr>
          <w:rFonts w:cs="Arial"/>
          <w:lang w:val="en-GB"/>
        </w:rPr>
      </w:pPr>
      <w:r w:rsidRPr="00D20C32">
        <w:rPr>
          <w:rFonts w:cs="Arial"/>
          <w:lang w:val="en-GB"/>
        </w:rPr>
        <w:t xml:space="preserve">To </w:t>
      </w:r>
      <w:r w:rsidR="5A7F142E" w:rsidRPr="00D20C32">
        <w:rPr>
          <w:rFonts w:cs="Arial"/>
          <w:lang w:val="en-GB"/>
        </w:rPr>
        <w:t>ensure alignment with MOH</w:t>
      </w:r>
      <w:r w:rsidR="004B6972" w:rsidRPr="00D20C32">
        <w:rPr>
          <w:rFonts w:cs="Arial"/>
          <w:lang w:val="en-GB"/>
        </w:rPr>
        <w:t xml:space="preserve"> [</w:t>
      </w:r>
      <w:r w:rsidR="004B6972" w:rsidRPr="00D20C32">
        <w:rPr>
          <w:rFonts w:cs="Arial"/>
          <w:highlight w:val="yellow"/>
          <w:lang w:val="en-GB"/>
        </w:rPr>
        <w:t>or health authority</w:t>
      </w:r>
      <w:r w:rsidR="004B6972" w:rsidRPr="00D20C32">
        <w:rPr>
          <w:rFonts w:cs="Arial"/>
          <w:lang w:val="en-GB"/>
        </w:rPr>
        <w:t>]</w:t>
      </w:r>
      <w:r w:rsidR="5A7F142E" w:rsidRPr="00D20C32">
        <w:rPr>
          <w:rFonts w:cs="Arial"/>
          <w:lang w:val="en-GB"/>
        </w:rPr>
        <w:t xml:space="preserve"> guidance</w:t>
      </w:r>
      <w:r w:rsidRPr="00D20C32">
        <w:rPr>
          <w:rFonts w:cs="Arial"/>
          <w:lang w:val="en-GB"/>
        </w:rPr>
        <w:t>, investigator teams should submit the protocols, instruments, and consent documents for MOH</w:t>
      </w:r>
      <w:r w:rsidR="004B6972" w:rsidRPr="00D20C32">
        <w:rPr>
          <w:rFonts w:cs="Arial"/>
          <w:lang w:val="en-GB"/>
        </w:rPr>
        <w:t xml:space="preserve"> [</w:t>
      </w:r>
      <w:r w:rsidR="004B6972" w:rsidRPr="00D20C32">
        <w:rPr>
          <w:rFonts w:cs="Arial"/>
          <w:highlight w:val="yellow"/>
          <w:lang w:val="en-GB"/>
        </w:rPr>
        <w:t>or health authority</w:t>
      </w:r>
      <w:r w:rsidR="004B6972" w:rsidRPr="00D20C32">
        <w:rPr>
          <w:rFonts w:cs="Arial"/>
          <w:lang w:val="en-GB"/>
        </w:rPr>
        <w:t>]</w:t>
      </w:r>
      <w:r w:rsidRPr="00D20C32">
        <w:rPr>
          <w:rFonts w:cs="Arial"/>
          <w:lang w:val="en-GB"/>
        </w:rPr>
        <w:t xml:space="preserve"> review and concurrence prior to </w:t>
      </w:r>
      <w:r w:rsidR="00365328" w:rsidRPr="00D20C32">
        <w:rPr>
          <w:rFonts w:cs="Arial"/>
          <w:lang w:val="en-GB"/>
        </w:rPr>
        <w:t xml:space="preserve">IRB </w:t>
      </w:r>
      <w:r w:rsidRPr="00D20C32">
        <w:rPr>
          <w:rFonts w:cs="Arial"/>
          <w:lang w:val="en-GB"/>
        </w:rPr>
        <w:t>submission. The MOH</w:t>
      </w:r>
      <w:r w:rsidR="004B6972" w:rsidRPr="00D20C32">
        <w:rPr>
          <w:rFonts w:cs="Arial"/>
          <w:lang w:val="en-GB"/>
        </w:rPr>
        <w:t xml:space="preserve"> [</w:t>
      </w:r>
      <w:r w:rsidR="004B6972" w:rsidRPr="00D20C32">
        <w:rPr>
          <w:rFonts w:cs="Arial"/>
          <w:highlight w:val="yellow"/>
          <w:lang w:val="en-GB"/>
        </w:rPr>
        <w:t>or health authority</w:t>
      </w:r>
      <w:r w:rsidR="004B6972" w:rsidRPr="00D20C32">
        <w:rPr>
          <w:rFonts w:cs="Arial"/>
          <w:lang w:val="en-GB"/>
        </w:rPr>
        <w:t>]</w:t>
      </w:r>
      <w:r w:rsidRPr="00D20C32">
        <w:rPr>
          <w:rFonts w:cs="Arial"/>
          <w:lang w:val="en-GB"/>
        </w:rPr>
        <w:t xml:space="preserve"> will consult the </w:t>
      </w:r>
      <w:r w:rsidR="00365328" w:rsidRPr="00D20C32">
        <w:rPr>
          <w:rFonts w:cs="Arial"/>
          <w:lang w:val="en-GB"/>
        </w:rPr>
        <w:t>c</w:t>
      </w:r>
      <w:r w:rsidRPr="00D20C32">
        <w:rPr>
          <w:rFonts w:cs="Arial"/>
          <w:lang w:val="en-GB"/>
        </w:rPr>
        <w:t>ommittee as needed to confirm guideline adherence</w:t>
      </w:r>
      <w:r w:rsidR="150BBC26" w:rsidRPr="00D20C32">
        <w:rPr>
          <w:rFonts w:cs="Arial"/>
          <w:lang w:val="en-GB"/>
        </w:rPr>
        <w:t xml:space="preserve">. The </w:t>
      </w:r>
      <w:r w:rsidR="00365328" w:rsidRPr="00D20C32">
        <w:rPr>
          <w:rFonts w:cs="Arial"/>
          <w:lang w:val="en-GB"/>
        </w:rPr>
        <w:t>c</w:t>
      </w:r>
      <w:r w:rsidR="150BBC26" w:rsidRPr="00D20C32">
        <w:rPr>
          <w:rFonts w:cs="Arial"/>
          <w:lang w:val="en-GB"/>
        </w:rPr>
        <w:t xml:space="preserve">ommittee will also ensure </w:t>
      </w:r>
      <w:r w:rsidR="00365328" w:rsidRPr="00D20C32">
        <w:rPr>
          <w:rFonts w:cs="Arial"/>
          <w:lang w:val="en-GB"/>
        </w:rPr>
        <w:t xml:space="preserve">that </w:t>
      </w:r>
      <w:r w:rsidR="150BBC26" w:rsidRPr="00D20C32">
        <w:rPr>
          <w:rFonts w:cs="Arial"/>
          <w:lang w:val="en-GB"/>
        </w:rPr>
        <w:t>study efficiency review</w:t>
      </w:r>
      <w:r w:rsidR="57045101" w:rsidRPr="00D20C32">
        <w:rPr>
          <w:rFonts w:cs="Arial"/>
          <w:lang w:val="en-GB"/>
        </w:rPr>
        <w:t xml:space="preserve"> (e.g., geographic and end-user representation)</w:t>
      </w:r>
      <w:r w:rsidR="150BBC26" w:rsidRPr="00D20C32">
        <w:rPr>
          <w:rFonts w:cs="Arial"/>
          <w:lang w:val="en-GB"/>
        </w:rPr>
        <w:t xml:space="preserve"> has been completed prior to implementation.          </w:t>
      </w:r>
    </w:p>
    <w:p w14:paraId="20D61A32" w14:textId="0AD1E813" w:rsidR="00C62193" w:rsidRDefault="150BBC26" w:rsidP="00C62193">
      <w:pPr>
        <w:pStyle w:val="Tabletitle"/>
        <w:rPr>
          <w:sz w:val="26"/>
          <w:szCs w:val="26"/>
          <w:lang w:val="en-GB"/>
        </w:rPr>
      </w:pPr>
      <w:r w:rsidRPr="00DA2B08">
        <w:rPr>
          <w:rFonts w:cs="Arial"/>
          <w:bCs w:val="0"/>
          <w:lang w:val="en-GB"/>
        </w:rPr>
        <w:t xml:space="preserve">The </w:t>
      </w:r>
      <w:r w:rsidR="00365328" w:rsidRPr="00DA2B08">
        <w:rPr>
          <w:rFonts w:cs="Arial"/>
          <w:bCs w:val="0"/>
          <w:lang w:val="en-GB"/>
        </w:rPr>
        <w:t xml:space="preserve">Advisory </w:t>
      </w:r>
      <w:r w:rsidRPr="00DA2B08">
        <w:rPr>
          <w:rFonts w:cs="Arial"/>
          <w:bCs w:val="0"/>
          <w:lang w:val="en-GB"/>
        </w:rPr>
        <w:t xml:space="preserve">Committee will meet quarterly to monitor study progress and input from sites and communities in the study areas. The </w:t>
      </w:r>
      <w:r w:rsidR="00365328" w:rsidRPr="00DA2B08">
        <w:rPr>
          <w:rFonts w:cs="Arial"/>
          <w:bCs w:val="0"/>
          <w:lang w:val="en-GB"/>
        </w:rPr>
        <w:t>c</w:t>
      </w:r>
      <w:r w:rsidRPr="00DA2B08">
        <w:rPr>
          <w:rFonts w:cs="Arial"/>
          <w:bCs w:val="0"/>
          <w:lang w:val="en-GB"/>
        </w:rPr>
        <w:t xml:space="preserve">ommittee may convene ad hoc meetings in </w:t>
      </w:r>
      <w:r w:rsidR="328565FE" w:rsidRPr="00DA2B08">
        <w:rPr>
          <w:rFonts w:cs="Arial"/>
          <w:bCs w:val="0"/>
          <w:lang w:val="en-GB"/>
        </w:rPr>
        <w:t xml:space="preserve">the </w:t>
      </w:r>
      <w:r w:rsidRPr="00DA2B08">
        <w:rPr>
          <w:rFonts w:cs="Arial"/>
          <w:bCs w:val="0"/>
          <w:lang w:val="en-GB"/>
        </w:rPr>
        <w:t xml:space="preserve">event of reported safety or social harms and ensure mitigation measures proposed by the investigators are sufficient to address the issue, potentially in collaboration with the local IRB. At study end, the investigator team will present </w:t>
      </w:r>
      <w:r w:rsidR="00365328" w:rsidRPr="00DA2B08">
        <w:rPr>
          <w:rFonts w:cs="Arial"/>
          <w:bCs w:val="0"/>
          <w:lang w:val="en-GB"/>
        </w:rPr>
        <w:t xml:space="preserve">the </w:t>
      </w:r>
      <w:r w:rsidRPr="00DA2B08">
        <w:rPr>
          <w:rFonts w:cs="Arial"/>
          <w:bCs w:val="0"/>
          <w:lang w:val="en-GB"/>
        </w:rPr>
        <w:t xml:space="preserve">main results to the </w:t>
      </w:r>
      <w:r w:rsidR="00365328" w:rsidRPr="00DA2B08">
        <w:rPr>
          <w:rFonts w:cs="Arial"/>
          <w:bCs w:val="0"/>
          <w:lang w:val="en-GB"/>
        </w:rPr>
        <w:t>c</w:t>
      </w:r>
      <w:r w:rsidRPr="00DA2B08">
        <w:rPr>
          <w:rFonts w:cs="Arial"/>
          <w:bCs w:val="0"/>
          <w:lang w:val="en-GB"/>
        </w:rPr>
        <w:t>ommittee for input on synthesis and interpretation</w:t>
      </w:r>
      <w:r w:rsidR="00365328" w:rsidRPr="00DA2B08">
        <w:rPr>
          <w:rFonts w:cs="Arial"/>
          <w:bCs w:val="0"/>
          <w:lang w:val="en-GB"/>
        </w:rPr>
        <w:t>,</w:t>
      </w:r>
      <w:r w:rsidRPr="00DA2B08">
        <w:rPr>
          <w:rFonts w:cs="Arial"/>
          <w:bCs w:val="0"/>
          <w:lang w:val="en-GB"/>
        </w:rPr>
        <w:t xml:space="preserve"> and the </w:t>
      </w:r>
      <w:r w:rsidR="00365328" w:rsidRPr="00DA2B08">
        <w:rPr>
          <w:rFonts w:cs="Arial"/>
          <w:bCs w:val="0"/>
          <w:lang w:val="en-GB"/>
        </w:rPr>
        <w:t>c</w:t>
      </w:r>
      <w:r w:rsidRPr="00DA2B08">
        <w:rPr>
          <w:rFonts w:cs="Arial"/>
          <w:bCs w:val="0"/>
          <w:lang w:val="en-GB"/>
        </w:rPr>
        <w:t xml:space="preserve">ommittee will report to </w:t>
      </w:r>
      <w:r w:rsidR="00365328" w:rsidRPr="00DA2B08">
        <w:rPr>
          <w:rFonts w:cs="Arial"/>
          <w:bCs w:val="0"/>
          <w:lang w:val="en-GB"/>
        </w:rPr>
        <w:t xml:space="preserve">the </w:t>
      </w:r>
      <w:r w:rsidRPr="00DA2B08">
        <w:rPr>
          <w:rFonts w:cs="Arial"/>
          <w:bCs w:val="0"/>
          <w:lang w:val="en-GB"/>
        </w:rPr>
        <w:t>MOH</w:t>
      </w:r>
      <w:r w:rsidR="004B6972" w:rsidRPr="00DA2B08">
        <w:rPr>
          <w:rFonts w:cs="Arial"/>
          <w:bCs w:val="0"/>
          <w:lang w:val="en-GB"/>
        </w:rPr>
        <w:t xml:space="preserve"> [</w:t>
      </w:r>
      <w:r w:rsidR="004B6972" w:rsidRPr="00DA2B08">
        <w:rPr>
          <w:rFonts w:cs="Arial"/>
          <w:bCs w:val="0"/>
          <w:highlight w:val="yellow"/>
          <w:lang w:val="en-GB"/>
        </w:rPr>
        <w:t>or health authority</w:t>
      </w:r>
      <w:r w:rsidR="004B6972" w:rsidRPr="00DA2B08">
        <w:rPr>
          <w:rFonts w:cs="Arial"/>
          <w:bCs w:val="0"/>
          <w:lang w:val="en-GB"/>
        </w:rPr>
        <w:t>]</w:t>
      </w:r>
      <w:r w:rsidRPr="00DA2B08">
        <w:rPr>
          <w:rFonts w:cs="Arial"/>
          <w:bCs w:val="0"/>
          <w:lang w:val="en-GB"/>
        </w:rPr>
        <w:t xml:space="preserve"> regarding study </w:t>
      </w:r>
      <w:r w:rsidR="2B517DF7" w:rsidRPr="00DA2B08">
        <w:rPr>
          <w:rFonts w:cs="Arial"/>
          <w:bCs w:val="0"/>
          <w:lang w:val="en-GB"/>
        </w:rPr>
        <w:t>alignment with</w:t>
      </w:r>
      <w:r w:rsidRPr="00DA2B08">
        <w:rPr>
          <w:rFonts w:cs="Arial"/>
          <w:bCs w:val="0"/>
          <w:lang w:val="en-GB"/>
        </w:rPr>
        <w:t xml:space="preserve"> MOH</w:t>
      </w:r>
      <w:r w:rsidR="004B6972" w:rsidRPr="00DA2B08">
        <w:rPr>
          <w:rFonts w:cs="Arial"/>
          <w:bCs w:val="0"/>
          <w:lang w:val="en-GB"/>
        </w:rPr>
        <w:t xml:space="preserve"> [</w:t>
      </w:r>
      <w:r w:rsidR="004B6972" w:rsidRPr="00DA2B08">
        <w:rPr>
          <w:rFonts w:cs="Arial"/>
          <w:bCs w:val="0"/>
          <w:highlight w:val="yellow"/>
          <w:lang w:val="en-GB"/>
        </w:rPr>
        <w:t>or health authority</w:t>
      </w:r>
      <w:r w:rsidR="004B6972" w:rsidRPr="00DA2B08">
        <w:rPr>
          <w:rFonts w:cs="Arial"/>
          <w:bCs w:val="0"/>
          <w:lang w:val="en-GB"/>
        </w:rPr>
        <w:t>]</w:t>
      </w:r>
      <w:r w:rsidRPr="00DA2B08">
        <w:rPr>
          <w:rFonts w:cs="Arial"/>
          <w:bCs w:val="0"/>
          <w:lang w:val="en-GB"/>
        </w:rPr>
        <w:t xml:space="preserve"> </w:t>
      </w:r>
      <w:r w:rsidR="2B517DF7" w:rsidRPr="00DA2B08">
        <w:rPr>
          <w:rFonts w:cs="Arial"/>
          <w:bCs w:val="0"/>
          <w:lang w:val="en-GB"/>
        </w:rPr>
        <w:t>guidance</w:t>
      </w:r>
      <w:r w:rsidRPr="00DA2B08">
        <w:rPr>
          <w:rFonts w:cs="Arial"/>
          <w:bCs w:val="0"/>
          <w:lang w:val="en-GB"/>
        </w:rPr>
        <w:t xml:space="preserve"> and lessons learned to inform product introduction decisions and planning.</w:t>
      </w:r>
      <w:r w:rsidR="003072F2" w:rsidRPr="00DA2B08">
        <w:rPr>
          <w:rFonts w:cs="Arial"/>
          <w:bCs w:val="0"/>
          <w:lang w:val="en-GB"/>
        </w:rPr>
        <w:t xml:space="preserve"> </w:t>
      </w:r>
    </w:p>
    <w:p w14:paraId="293329F9" w14:textId="2F6A3486" w:rsidR="00C62193" w:rsidRPr="00D20C32" w:rsidRDefault="005D2002" w:rsidP="005D2002">
      <w:pPr>
        <w:pStyle w:val="Tabletitle"/>
        <w:spacing w:after="0"/>
        <w:rPr>
          <w:sz w:val="26"/>
          <w:szCs w:val="26"/>
          <w:lang w:val="en-GB"/>
        </w:rPr>
      </w:pPr>
      <w:r>
        <w:rPr>
          <w:sz w:val="26"/>
          <w:szCs w:val="26"/>
          <w:lang w:val="en-GB"/>
        </w:rPr>
        <w:lastRenderedPageBreak/>
        <w:br/>
      </w:r>
      <w:r w:rsidR="00C62193" w:rsidRPr="00D20C32">
        <w:rPr>
          <w:sz w:val="26"/>
          <w:szCs w:val="26"/>
          <w:lang w:val="en-GB"/>
        </w:rPr>
        <w:t>R</w:t>
      </w:r>
      <w:r w:rsidR="00C62193">
        <w:rPr>
          <w:sz w:val="26"/>
          <w:szCs w:val="26"/>
          <w:lang w:val="en-GB"/>
        </w:rPr>
        <w:t>eferences</w:t>
      </w:r>
      <w:r w:rsidR="00C62193" w:rsidRPr="00D20C32">
        <w:rPr>
          <w:sz w:val="26"/>
          <w:szCs w:val="26"/>
          <w:lang w:val="en-GB"/>
        </w:rPr>
        <w:t xml:space="preserve"> </w:t>
      </w:r>
    </w:p>
    <w:sectPr w:rsidR="00C62193" w:rsidRPr="00D20C32" w:rsidSect="006342D2">
      <w:headerReference w:type="even" r:id="rId16"/>
      <w:headerReference w:type="default" r:id="rId17"/>
      <w:headerReference w:type="first" r:id="rId18"/>
      <w:footerReference w:type="first" r:id="rId19"/>
      <w:pgSz w:w="12240" w:h="15840" w:code="1"/>
      <w:pgMar w:top="900" w:right="1080" w:bottom="1440" w:left="108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741B" w14:textId="77777777" w:rsidR="00BD7787" w:rsidRPr="00296221" w:rsidRDefault="00BD7787" w:rsidP="00296221">
      <w:pPr>
        <w:pStyle w:val="Footer"/>
      </w:pPr>
    </w:p>
  </w:endnote>
  <w:endnote w:type="continuationSeparator" w:id="0">
    <w:p w14:paraId="6D50B17C" w14:textId="77777777" w:rsidR="00BD7787" w:rsidRPr="00296221" w:rsidRDefault="00BD7787" w:rsidP="00296221">
      <w:pPr>
        <w:pStyle w:val="Footer"/>
      </w:pPr>
    </w:p>
  </w:endnote>
  <w:endnote w:type="continuationNotice" w:id="1">
    <w:p w14:paraId="1BC3E247" w14:textId="77777777" w:rsidR="00BD7787" w:rsidRDefault="00BD7787">
      <w:pPr>
        <w:spacing w:before="0" w:line="240" w:lineRule="auto"/>
      </w:pPr>
    </w:p>
  </w:endnote>
  <w:endnote w:id="2">
    <w:p w14:paraId="0A875ECE" w14:textId="37F69890" w:rsidR="003A712F" w:rsidRPr="009F49AB" w:rsidRDefault="00DA2B08" w:rsidP="005D2002">
      <w:pPr>
        <w:spacing w:before="0"/>
        <w:rPr>
          <w:rFonts w:cs="Arial"/>
        </w:rPr>
      </w:pPr>
      <w:r>
        <w:rPr>
          <w:rStyle w:val="EndnoteReference"/>
        </w:rPr>
        <w:t>1</w:t>
      </w:r>
      <w:r w:rsidR="003A712F">
        <w:t xml:space="preserve"> </w:t>
      </w:r>
      <w:bookmarkStart w:id="0" w:name="_Hlk78408510"/>
      <w:r w:rsidR="00720D87" w:rsidRPr="00DA2B08">
        <w:rPr>
          <w:rFonts w:cs="Arial"/>
          <w:szCs w:val="20"/>
        </w:rPr>
        <w:t xml:space="preserve">van der Straten A, Agot K, Ahmed K, </w:t>
      </w:r>
      <w:r w:rsidR="00720D87" w:rsidRPr="00DA2B08">
        <w:rPr>
          <w:rFonts w:cs="Arial"/>
        </w:rPr>
        <w:t xml:space="preserve">Weinrib R, Browne EN, Manenzhe K, </w:t>
      </w:r>
      <w:r w:rsidR="00720D87" w:rsidRPr="00DA2B08">
        <w:rPr>
          <w:rFonts w:cs="Arial"/>
          <w:i/>
          <w:iCs/>
          <w:szCs w:val="20"/>
        </w:rPr>
        <w:t>et al.;</w:t>
      </w:r>
      <w:r w:rsidR="00720D87" w:rsidRPr="00DA2B08">
        <w:rPr>
          <w:rFonts w:cs="Arial"/>
          <w:szCs w:val="20"/>
        </w:rPr>
        <w:t xml:space="preserve"> TRIO Study Team.</w:t>
      </w:r>
      <w:r w:rsidR="00720D87" w:rsidRPr="00DA2B08">
        <w:rPr>
          <w:rFonts w:cs="Arial"/>
        </w:rPr>
        <w:t xml:space="preserve"> The Tablets, Ring, Injections as Options (TRIO)</w:t>
      </w:r>
      <w:r w:rsidR="00720D87" w:rsidRPr="00DA2B08">
        <w:rPr>
          <w:rFonts w:cs="Arial"/>
          <w:szCs w:val="20"/>
        </w:rPr>
        <w:t xml:space="preserve"> study: what young African women chose and used for future HIV and pregnancy prevention. </w:t>
      </w:r>
      <w:r w:rsidR="00720D87" w:rsidRPr="00DA2B08">
        <w:rPr>
          <w:rFonts w:cs="Arial"/>
          <w:i/>
          <w:iCs/>
          <w:szCs w:val="20"/>
        </w:rPr>
        <w:t>J Int AIDS Soc.</w:t>
      </w:r>
      <w:r w:rsidR="00720D87" w:rsidRPr="00DA2B08">
        <w:rPr>
          <w:rFonts w:cs="Arial"/>
          <w:szCs w:val="20"/>
        </w:rPr>
        <w:t xml:space="preserve"> 2018;21(3):e25094. doi: 10.1002/jia2.25094.</w:t>
      </w:r>
      <w:bookmarkEnd w:id="0"/>
    </w:p>
  </w:endnote>
  <w:endnote w:id="3">
    <w:p w14:paraId="165A1E8C" w14:textId="7AF18A00" w:rsidR="00720D87" w:rsidRPr="00F912B0" w:rsidRDefault="00DA2B08" w:rsidP="00B41FB9">
      <w:pPr>
        <w:pStyle w:val="CommentText"/>
        <w:spacing w:before="120" w:line="300" w:lineRule="exact"/>
      </w:pPr>
      <w:r>
        <w:rPr>
          <w:rStyle w:val="EndnoteReference"/>
          <w:rFonts w:cs="Arial"/>
        </w:rPr>
        <w:t>2</w:t>
      </w:r>
      <w:r w:rsidR="00720D87" w:rsidRPr="00311724">
        <w:rPr>
          <w:rFonts w:cs="Arial"/>
        </w:rPr>
        <w:t xml:space="preserve"> </w:t>
      </w:r>
      <w:bookmarkStart w:id="1" w:name="_Hlk78408830"/>
      <w:r w:rsidR="00F912B0">
        <w:t>Montgomery ET, Beksinska M, Mgodi N, Schwartz J, Weinrib R, Browne EN</w:t>
      </w:r>
      <w:r w:rsidR="00155E5D">
        <w:t xml:space="preserve">, </w:t>
      </w:r>
      <w:r w:rsidR="00155E5D" w:rsidRPr="00DA2B08">
        <w:rPr>
          <w:i/>
          <w:iCs/>
        </w:rPr>
        <w:t>et al</w:t>
      </w:r>
      <w:r w:rsidR="00F912B0" w:rsidRPr="00DA2B08">
        <w:rPr>
          <w:i/>
          <w:iCs/>
        </w:rPr>
        <w:t>.</w:t>
      </w:r>
      <w:r w:rsidR="00F912B0">
        <w:t xml:space="preserve"> End-user preference for and choice of four vaginally delivered HIV prevention methods among young women in South Africa and Zimbabwe: the Quatro Clinical Crossover Study. </w:t>
      </w:r>
      <w:r w:rsidR="00F912B0" w:rsidRPr="00DA2B08">
        <w:rPr>
          <w:i/>
          <w:iCs/>
        </w:rPr>
        <w:t>J Int AIDS Soc.</w:t>
      </w:r>
      <w:r w:rsidR="00F912B0">
        <w:t xml:space="preserve"> 2019;22(5):e25283. doi: 10.1002/jia2.25283.</w:t>
      </w:r>
      <w:bookmarkEnd w:id="1"/>
    </w:p>
  </w:endnote>
  <w:endnote w:id="4">
    <w:p w14:paraId="72C57D80" w14:textId="5C10CA30" w:rsidR="00BD7C28" w:rsidRPr="00DA2B08" w:rsidRDefault="00BD7C28" w:rsidP="00B41FB9">
      <w:pPr>
        <w:pStyle w:val="EndnoteText"/>
        <w:spacing w:before="120" w:line="300" w:lineRule="exact"/>
        <w:rPr>
          <w:rFonts w:cs="Arial"/>
        </w:rPr>
      </w:pPr>
      <w:r w:rsidRPr="009F49AB">
        <w:rPr>
          <w:rStyle w:val="EndnoteReference"/>
          <w:rFonts w:cs="Arial"/>
        </w:rPr>
        <w:endnoteRef/>
      </w:r>
      <w:r w:rsidRPr="009F49AB">
        <w:rPr>
          <w:rFonts w:cs="Arial"/>
        </w:rPr>
        <w:t xml:space="preserve"> </w:t>
      </w:r>
      <w:r w:rsidRPr="00DA2B08">
        <w:rPr>
          <w:rFonts w:cs="Arial"/>
        </w:rPr>
        <w:t xml:space="preserve">Nel A, </w:t>
      </w:r>
      <w:r w:rsidR="000123BC" w:rsidRPr="00DA2B08">
        <w:rPr>
          <w:rFonts w:cs="Arial"/>
        </w:rPr>
        <w:t xml:space="preserve">van Niekerk N, Kapiga S, Bekker L-G, Gama C, Gill K, </w:t>
      </w:r>
      <w:r w:rsidR="000123BC" w:rsidRPr="00DA2B08">
        <w:rPr>
          <w:rFonts w:cs="Arial"/>
          <w:i/>
          <w:iCs/>
        </w:rPr>
        <w:t>et al.;</w:t>
      </w:r>
      <w:r w:rsidR="000123BC" w:rsidRPr="00DA2B08">
        <w:rPr>
          <w:rFonts w:cs="Arial"/>
        </w:rPr>
        <w:t xml:space="preserve"> Ring Study Team. Safety and efficacy of a dapivirine vaginal ring for HIV prevention in women. </w:t>
      </w:r>
      <w:r w:rsidRPr="00DA2B08">
        <w:rPr>
          <w:rFonts w:cs="Arial"/>
          <w:i/>
          <w:iCs/>
        </w:rPr>
        <w:t>N Engl J Med.</w:t>
      </w:r>
      <w:r w:rsidRPr="00DA2B08">
        <w:rPr>
          <w:rFonts w:cs="Arial"/>
        </w:rPr>
        <w:t xml:space="preserve"> 2016;375(22):2133-2143. doi: 10.1056/NEJMoa1602046.</w:t>
      </w:r>
    </w:p>
  </w:endnote>
  <w:endnote w:id="5">
    <w:p w14:paraId="6422FC13" w14:textId="5AD6198B" w:rsidR="00BD7C28" w:rsidRPr="009F49AB" w:rsidRDefault="00BD7C28" w:rsidP="00B41FB9">
      <w:pPr>
        <w:pStyle w:val="EndnoteText"/>
        <w:spacing w:before="120" w:line="300" w:lineRule="exact"/>
        <w:rPr>
          <w:rFonts w:cs="Arial"/>
        </w:rPr>
      </w:pPr>
      <w:r w:rsidRPr="009F49AB">
        <w:rPr>
          <w:rStyle w:val="EndnoteReference"/>
          <w:rFonts w:cs="Arial"/>
        </w:rPr>
        <w:endnoteRef/>
      </w:r>
      <w:r w:rsidRPr="009F49AB">
        <w:rPr>
          <w:rFonts w:cs="Arial"/>
        </w:rPr>
        <w:t xml:space="preserve"> </w:t>
      </w:r>
      <w:r w:rsidRPr="00DA2B08">
        <w:rPr>
          <w:rFonts w:cs="Arial"/>
        </w:rPr>
        <w:t xml:space="preserve">Baeten J, </w:t>
      </w:r>
      <w:r w:rsidR="000123BC" w:rsidRPr="00DA2B08">
        <w:rPr>
          <w:rFonts w:cs="Arial"/>
        </w:rPr>
        <w:t xml:space="preserve">Palanee-Phillips T, Brown ER, Schwartz K, Soto-Torres LE, Govender V, </w:t>
      </w:r>
      <w:r w:rsidR="000123BC" w:rsidRPr="00DA2B08">
        <w:rPr>
          <w:rFonts w:cs="Arial"/>
          <w:i/>
          <w:iCs/>
        </w:rPr>
        <w:t>et al.;</w:t>
      </w:r>
      <w:r w:rsidR="000123BC" w:rsidRPr="00DA2B08">
        <w:rPr>
          <w:rFonts w:cs="Arial"/>
        </w:rPr>
        <w:t xml:space="preserve"> MTN-020–ASPIRE Study Team. Use of a vaginal ring containing dapivirine for HIV-1 prevention in women. </w:t>
      </w:r>
      <w:r w:rsidRPr="00DA2B08">
        <w:rPr>
          <w:rFonts w:cs="Arial"/>
          <w:i/>
          <w:iCs/>
        </w:rPr>
        <w:t>N Engl J Med</w:t>
      </w:r>
      <w:r w:rsidRPr="00DA2B08">
        <w:rPr>
          <w:rFonts w:cs="Arial"/>
        </w:rPr>
        <w:t>. 2016;375(22):2121-2132. doi: 10.1056/NEJMoa1506110.</w:t>
      </w:r>
    </w:p>
  </w:endnote>
  <w:endnote w:id="6">
    <w:p w14:paraId="798872EF" w14:textId="50A758EF" w:rsidR="00BD7C28" w:rsidRPr="00DA2B08" w:rsidRDefault="00BD7C28" w:rsidP="00B41FB9">
      <w:pPr>
        <w:pStyle w:val="EndnoteText"/>
        <w:spacing w:before="120" w:line="300" w:lineRule="exact"/>
        <w:rPr>
          <w:rFonts w:cs="Arial"/>
        </w:rPr>
      </w:pPr>
      <w:r w:rsidRPr="009F49AB">
        <w:rPr>
          <w:rStyle w:val="EndnoteReference"/>
          <w:rFonts w:cs="Arial"/>
        </w:rPr>
        <w:endnoteRef/>
      </w:r>
      <w:r w:rsidRPr="009F49AB">
        <w:rPr>
          <w:rFonts w:cs="Arial"/>
        </w:rPr>
        <w:t xml:space="preserve"> </w:t>
      </w:r>
      <w:r w:rsidRPr="00DA2B08">
        <w:rPr>
          <w:rFonts w:cs="Arial"/>
        </w:rPr>
        <w:t>Baeten JM,</w:t>
      </w:r>
      <w:r w:rsidR="00303A4F" w:rsidRPr="00DA2B08">
        <w:rPr>
          <w:rFonts w:cs="Arial"/>
        </w:rPr>
        <w:t xml:space="preserve"> Palanee-Phillips T, Mgodi NM, Mayo AJ, Szydlo DW,</w:t>
      </w:r>
      <w:r w:rsidR="00155E5D">
        <w:rPr>
          <w:rFonts w:cs="Arial"/>
        </w:rPr>
        <w:t xml:space="preserve"> </w:t>
      </w:r>
      <w:r w:rsidR="00303A4F" w:rsidRPr="00DA2B08">
        <w:rPr>
          <w:rFonts w:cs="Arial"/>
        </w:rPr>
        <w:t>Ramjee G,</w:t>
      </w:r>
      <w:r w:rsidRPr="00DA2B08">
        <w:rPr>
          <w:rFonts w:cs="Arial"/>
        </w:rPr>
        <w:t xml:space="preserve"> </w:t>
      </w:r>
      <w:r w:rsidRPr="00DA2B08">
        <w:rPr>
          <w:rFonts w:cs="Arial"/>
          <w:i/>
          <w:iCs/>
        </w:rPr>
        <w:t>et al;</w:t>
      </w:r>
      <w:r w:rsidRPr="00DA2B08">
        <w:rPr>
          <w:rFonts w:cs="Arial"/>
        </w:rPr>
        <w:t xml:space="preserve"> MTN-025/HOPE Study Team. Safety, uptake, and use of a dapivirine vaginal ring for HIV-1 prevention in African women (HOPE): an open-label, extension study. </w:t>
      </w:r>
      <w:r w:rsidRPr="00DA2B08">
        <w:rPr>
          <w:rFonts w:cs="Arial"/>
          <w:i/>
          <w:iCs/>
        </w:rPr>
        <w:t>Lancet HIV.</w:t>
      </w:r>
      <w:r w:rsidRPr="00DA2B08">
        <w:rPr>
          <w:rFonts w:cs="Arial"/>
        </w:rPr>
        <w:t xml:space="preserve"> 2021;8(2):e87-e95. doi: 10.1016/S2352-3018(20)30304-0. </w:t>
      </w:r>
    </w:p>
  </w:endnote>
  <w:endnote w:id="7">
    <w:p w14:paraId="151E8FB9" w14:textId="629ED6D1" w:rsidR="00BD7C28" w:rsidRPr="009F49AB" w:rsidRDefault="00BD7C28" w:rsidP="00B41FB9">
      <w:pPr>
        <w:pStyle w:val="EndnoteText"/>
        <w:spacing w:before="120" w:line="300" w:lineRule="exact"/>
        <w:rPr>
          <w:rFonts w:cs="Arial"/>
        </w:rPr>
      </w:pPr>
      <w:r w:rsidRPr="009F49AB">
        <w:rPr>
          <w:rStyle w:val="EndnoteReference"/>
          <w:rFonts w:cs="Arial"/>
        </w:rPr>
        <w:endnoteRef/>
      </w:r>
      <w:r w:rsidRPr="00DA2B08">
        <w:rPr>
          <w:rFonts w:cs="Arial"/>
        </w:rPr>
        <w:t xml:space="preserve">Nel A, </w:t>
      </w:r>
      <w:r w:rsidR="00303A4F" w:rsidRPr="00DA2B08">
        <w:rPr>
          <w:rFonts w:cs="Arial"/>
        </w:rPr>
        <w:t xml:space="preserve">van Niekerk N, van Baelen B, Malherbe M, Mans W, Carter A, </w:t>
      </w:r>
      <w:r w:rsidRPr="00DA2B08">
        <w:rPr>
          <w:rFonts w:cs="Arial"/>
          <w:i/>
          <w:iCs/>
        </w:rPr>
        <w:t>et al</w:t>
      </w:r>
      <w:r w:rsidRPr="00DA2B08">
        <w:rPr>
          <w:rFonts w:cs="Arial"/>
        </w:rPr>
        <w:t>; DREAM Study Team. Safety, adherence, and HIV-1</w:t>
      </w:r>
      <w:r w:rsidRPr="009F49AB">
        <w:rPr>
          <w:rFonts w:cs="Arial"/>
        </w:rPr>
        <w:t xml:space="preserve"> </w:t>
      </w:r>
      <w:r w:rsidRPr="00DA2B08">
        <w:rPr>
          <w:rFonts w:cs="Arial"/>
        </w:rPr>
        <w:t xml:space="preserve">seroconversion among women using the dapivirine vaginal ring (DREAM): an open-label, extension study. </w:t>
      </w:r>
      <w:r w:rsidRPr="00DA2B08">
        <w:rPr>
          <w:rFonts w:cs="Arial"/>
          <w:i/>
          <w:iCs/>
        </w:rPr>
        <w:t>Lancet HIV</w:t>
      </w:r>
      <w:r w:rsidRPr="00DA2B08">
        <w:rPr>
          <w:rFonts w:cs="Arial"/>
        </w:rPr>
        <w:t>. 2021;8(2):e77-e86. doi: 10.1016/S2352-3018(20)30300-3.</w:t>
      </w:r>
    </w:p>
  </w:endnote>
  <w:endnote w:id="8">
    <w:p w14:paraId="5971D991" w14:textId="3171C524" w:rsidR="009F49AB" w:rsidRDefault="009F49AB" w:rsidP="00B41FB9">
      <w:pPr>
        <w:pStyle w:val="FootnoteText"/>
        <w:spacing w:before="120" w:line="300" w:lineRule="exact"/>
      </w:pPr>
      <w:r>
        <w:rPr>
          <w:rStyle w:val="EndnoteReference"/>
        </w:rPr>
        <w:endnoteRef/>
      </w:r>
      <w:r>
        <w:t xml:space="preserve"> </w:t>
      </w:r>
      <w:r w:rsidRPr="00690DD9">
        <w:rPr>
          <w:rFonts w:cs="Arial"/>
        </w:rPr>
        <w:t xml:space="preserve">Brown ER, Hendrix CW, van der Straten A, Kiweewa FM, Mgodi NM, Palanee-Phillips T, </w:t>
      </w:r>
      <w:r w:rsidRPr="00690DD9">
        <w:rPr>
          <w:rFonts w:cs="Arial"/>
          <w:i/>
          <w:iCs/>
        </w:rPr>
        <w:t>et al</w:t>
      </w:r>
      <w:r w:rsidRPr="00690DD9">
        <w:rPr>
          <w:rFonts w:cs="Arial"/>
        </w:rPr>
        <w:t xml:space="preserve">.; MTN-020/ASPIRE Study Team. Greater dapivirine release from the dapivirine vaginal ring is correlated with lower risk of HIV-1 acquisition: a secondary analysis from a randomized, placebo-controlled trial. </w:t>
      </w:r>
      <w:r w:rsidRPr="007278DB">
        <w:rPr>
          <w:rFonts w:cs="Arial"/>
          <w:i/>
          <w:iCs/>
        </w:rPr>
        <w:t>J Int AIDS Soc</w:t>
      </w:r>
      <w:r w:rsidRPr="007278DB">
        <w:rPr>
          <w:rFonts w:cs="Arial"/>
        </w:rPr>
        <w:t>. 2020;23(11):e25634. doi: 10.1002/jia2.25634.</w:t>
      </w:r>
    </w:p>
  </w:endnote>
  <w:endnote w:id="9">
    <w:p w14:paraId="71491E3D" w14:textId="0B0C840A" w:rsidR="00314401" w:rsidRPr="009F49AB" w:rsidRDefault="00314401" w:rsidP="00B41FB9">
      <w:pPr>
        <w:pStyle w:val="FootnoteText"/>
        <w:spacing w:before="120" w:line="300" w:lineRule="exact"/>
        <w:rPr>
          <w:rFonts w:cs="Arial"/>
        </w:rPr>
      </w:pPr>
      <w:r w:rsidRPr="009F49AB">
        <w:rPr>
          <w:rStyle w:val="EndnoteReference"/>
          <w:rFonts w:cs="Arial"/>
        </w:rPr>
        <w:endnoteRef/>
      </w:r>
      <w:r w:rsidRPr="00311724">
        <w:rPr>
          <w:rFonts w:cs="Arial"/>
        </w:rPr>
        <w:t xml:space="preserve"> </w:t>
      </w:r>
      <w:bookmarkStart w:id="2" w:name="_Hlk78409077"/>
      <w:r w:rsidRPr="007278DB">
        <w:rPr>
          <w:rFonts w:cs="Arial"/>
        </w:rPr>
        <w:t>Makanani B,</w:t>
      </w:r>
      <w:r w:rsidR="00D33C9B" w:rsidRPr="007278DB">
        <w:rPr>
          <w:rFonts w:cs="Arial"/>
        </w:rPr>
        <w:t xml:space="preserve"> Balkus JE, Jiao Y, Noguchi LM, Palanee-Phillips T, Mbilizi Y,</w:t>
      </w:r>
      <w:r w:rsidRPr="007278DB">
        <w:rPr>
          <w:rFonts w:cs="Arial"/>
        </w:rPr>
        <w:t xml:space="preserve"> </w:t>
      </w:r>
      <w:r w:rsidRPr="007278DB">
        <w:rPr>
          <w:rFonts w:cs="Arial"/>
          <w:i/>
          <w:iCs/>
        </w:rPr>
        <w:t>et al</w:t>
      </w:r>
      <w:r w:rsidRPr="007278DB">
        <w:rPr>
          <w:rFonts w:cs="Arial"/>
        </w:rPr>
        <w:t xml:space="preserve">. </w:t>
      </w:r>
      <w:r w:rsidRPr="00DA2B08">
        <w:rPr>
          <w:rFonts w:cs="Arial"/>
        </w:rPr>
        <w:t xml:space="preserve">Pregnancy and infant outcomes among women using the dapivirine vaginal ring in early pregnancy. </w:t>
      </w:r>
      <w:r w:rsidRPr="00DA2B08">
        <w:rPr>
          <w:rFonts w:cs="Arial"/>
          <w:i/>
          <w:iCs/>
        </w:rPr>
        <w:t>J Acquir Immune Defic Syndr</w:t>
      </w:r>
      <w:r w:rsidRPr="00DA2B08">
        <w:rPr>
          <w:rFonts w:cs="Arial"/>
        </w:rPr>
        <w:t>. 2018;79(5):566-572. doi: 10.1097/QAI.0000000000001861.</w:t>
      </w:r>
      <w:bookmarkEnd w:id="2"/>
    </w:p>
  </w:endnote>
  <w:endnote w:id="10">
    <w:p w14:paraId="6A64842C" w14:textId="56EE5F12" w:rsidR="000123BC" w:rsidRDefault="00314401" w:rsidP="00B41FB9">
      <w:pPr>
        <w:pStyle w:val="FootnoteText"/>
        <w:spacing w:before="120" w:line="300" w:lineRule="exact"/>
        <w:rPr>
          <w:rFonts w:cs="Arial"/>
        </w:rPr>
      </w:pPr>
      <w:r w:rsidRPr="009F49AB">
        <w:rPr>
          <w:rStyle w:val="EndnoteReference"/>
          <w:rFonts w:cs="Arial"/>
        </w:rPr>
        <w:endnoteRef/>
      </w:r>
      <w:r w:rsidRPr="009F49AB">
        <w:rPr>
          <w:rFonts w:cs="Arial"/>
        </w:rPr>
        <w:t xml:space="preserve"> </w:t>
      </w:r>
      <w:bookmarkStart w:id="3" w:name="_Hlk78409231"/>
      <w:r w:rsidR="000123BC" w:rsidRPr="00DA2B08">
        <w:rPr>
          <w:rFonts w:cs="Arial"/>
        </w:rPr>
        <w:t>Nair G, Ngure K, Szydlo D, Brown ER, Akello CA, Macdonald P, Palanee-Phillips T, Siziba B, Hillier SL, Garcia M, Johnson S, Levy L, McClure T, SotoTorres L, Celum C, on behalf of the REACH Protocol Team. Adherence to the Dapivirine Vaginal Ring and Oral PrEP Among Adolescent Girls and Young Women in Africa: Interim Results from the REACH Study. Abstract OALC01LB01, IAS Conference, July 20, 2021.</w:t>
      </w:r>
    </w:p>
    <w:bookmarkEnd w:id="3"/>
    <w:p w14:paraId="1FC8A6B9" w14:textId="77777777" w:rsidR="00296221" w:rsidRDefault="00296221" w:rsidP="00C62193">
      <w:pPr>
        <w:rPr>
          <w:rFonts w:cs="Arial"/>
          <w:b/>
          <w:bCs w:val="0"/>
          <w:sz w:val="26"/>
          <w:szCs w:val="26"/>
          <w:lang w:val="en-GB"/>
        </w:rPr>
      </w:pPr>
    </w:p>
    <w:p w14:paraId="1C183DC4" w14:textId="5E91E731" w:rsidR="00296221" w:rsidRDefault="00296221" w:rsidP="00C62193">
      <w:pPr>
        <w:rPr>
          <w:rFonts w:cs="Arial"/>
          <w:b/>
          <w:bCs w:val="0"/>
          <w:sz w:val="26"/>
          <w:szCs w:val="26"/>
          <w:lang w:val="en-GB"/>
        </w:rPr>
      </w:pPr>
    </w:p>
    <w:p w14:paraId="1E5F3764" w14:textId="45DCC315" w:rsidR="006342D2" w:rsidRDefault="006342D2" w:rsidP="00C62193">
      <w:pPr>
        <w:rPr>
          <w:rFonts w:cs="Arial"/>
          <w:b/>
          <w:bCs w:val="0"/>
          <w:sz w:val="26"/>
          <w:szCs w:val="26"/>
          <w:lang w:val="en-GB"/>
        </w:rPr>
      </w:pPr>
    </w:p>
    <w:p w14:paraId="4134C89B" w14:textId="2100C331" w:rsidR="006342D2" w:rsidRDefault="006342D2" w:rsidP="00C62193">
      <w:pPr>
        <w:rPr>
          <w:rFonts w:cs="Arial"/>
          <w:b/>
          <w:bCs w:val="0"/>
          <w:sz w:val="26"/>
          <w:szCs w:val="26"/>
          <w:lang w:val="en-GB"/>
        </w:rPr>
      </w:pPr>
    </w:p>
    <w:p w14:paraId="354D0352" w14:textId="77777777" w:rsidR="006342D2" w:rsidRDefault="006342D2" w:rsidP="00C62193">
      <w:pPr>
        <w:rPr>
          <w:rFonts w:cs="Arial"/>
          <w:b/>
          <w:bCs w:val="0"/>
          <w:sz w:val="26"/>
          <w:szCs w:val="26"/>
          <w:lang w:val="en-GB"/>
        </w:rPr>
      </w:pPr>
    </w:p>
    <w:p w14:paraId="4B6B11C4" w14:textId="4E9097B1" w:rsidR="00C62193" w:rsidRPr="00D20C32" w:rsidRDefault="00C62193" w:rsidP="00C62193">
      <w:pPr>
        <w:rPr>
          <w:rFonts w:cs="Arial"/>
          <w:b/>
          <w:bCs w:val="0"/>
          <w:sz w:val="26"/>
          <w:szCs w:val="26"/>
          <w:lang w:val="en-GB"/>
        </w:rPr>
      </w:pPr>
      <w:r w:rsidRPr="00D20C32">
        <w:rPr>
          <w:rFonts w:cs="Arial"/>
          <w:b/>
          <w:bCs w:val="0"/>
          <w:sz w:val="26"/>
          <w:szCs w:val="26"/>
          <w:lang w:val="en-GB"/>
        </w:rPr>
        <w:t>Annex 1. Proposed study subnational site and focus population matrix</w:t>
      </w:r>
    </w:p>
    <w:tbl>
      <w:tblPr>
        <w:tblStyle w:val="TableGrid"/>
        <w:tblW w:w="10093" w:type="dxa"/>
        <w:tblLook w:val="04A0" w:firstRow="1" w:lastRow="0" w:firstColumn="1" w:lastColumn="0" w:noHBand="0" w:noVBand="1"/>
      </w:tblPr>
      <w:tblGrid>
        <w:gridCol w:w="1721"/>
        <w:gridCol w:w="1686"/>
        <w:gridCol w:w="1664"/>
        <w:gridCol w:w="2238"/>
        <w:gridCol w:w="1421"/>
        <w:gridCol w:w="1363"/>
      </w:tblGrid>
      <w:tr w:rsidR="00C62193" w:rsidRPr="00D20C32" w14:paraId="77651195" w14:textId="77777777" w:rsidTr="00296221">
        <w:trPr>
          <w:trHeight w:val="1898"/>
        </w:trPr>
        <w:tc>
          <w:tcPr>
            <w:tcW w:w="1721" w:type="dxa"/>
            <w:shd w:val="clear" w:color="auto" w:fill="FCE2D2" w:themeFill="accent4" w:themeFillTint="33"/>
          </w:tcPr>
          <w:p w14:paraId="65955794" w14:textId="77777777" w:rsidR="00C62193" w:rsidRPr="008E4FDF" w:rsidRDefault="00C62193" w:rsidP="00C62193">
            <w:pPr>
              <w:rPr>
                <w:rFonts w:cs="Arial"/>
                <w:b/>
                <w:bCs w:val="0"/>
                <w:color w:val="F4711F" w:themeColor="accent4"/>
                <w:lang w:val="en-GB"/>
              </w:rPr>
            </w:pPr>
            <w:r w:rsidRPr="008E4FDF">
              <w:rPr>
                <w:rFonts w:cs="Arial"/>
                <w:b/>
                <w:bCs w:val="0"/>
                <w:color w:val="F4711F" w:themeColor="accent4"/>
                <w:lang w:val="en-GB"/>
              </w:rPr>
              <w:t>Investigator Team</w:t>
            </w:r>
          </w:p>
        </w:tc>
        <w:tc>
          <w:tcPr>
            <w:tcW w:w="1686" w:type="dxa"/>
            <w:shd w:val="clear" w:color="auto" w:fill="FCE2D2" w:themeFill="accent4" w:themeFillTint="33"/>
          </w:tcPr>
          <w:p w14:paraId="2D4DBEA1" w14:textId="77777777" w:rsidR="00C62193" w:rsidRPr="008E4FDF" w:rsidRDefault="00C62193" w:rsidP="00C62193">
            <w:pPr>
              <w:rPr>
                <w:rFonts w:cs="Arial"/>
                <w:b/>
                <w:color w:val="F4711F" w:themeColor="accent4"/>
                <w:lang w:val="en-GB"/>
              </w:rPr>
            </w:pPr>
            <w:r w:rsidRPr="2104C340">
              <w:rPr>
                <w:rFonts w:cs="Arial"/>
                <w:b/>
                <w:color w:val="F4711F" w:themeColor="accent4"/>
                <w:highlight w:val="yellow"/>
                <w:lang w:val="en-GB"/>
              </w:rPr>
              <w:t>[</w:t>
            </w:r>
            <w:r w:rsidRPr="000B6DFF">
              <w:rPr>
                <w:rFonts w:cs="Arial"/>
                <w:b/>
                <w:color w:val="F4711F" w:themeColor="accent4"/>
                <w:highlight w:val="yellow"/>
                <w:lang w:val="en-GB"/>
              </w:rPr>
              <w:t>Province</w:t>
            </w:r>
            <w:r w:rsidRPr="2104C340">
              <w:rPr>
                <w:rFonts w:cs="Arial"/>
                <w:b/>
                <w:color w:val="F4711F" w:themeColor="accent4"/>
                <w:highlight w:val="yellow"/>
                <w:lang w:val="en-GB"/>
              </w:rPr>
              <w:t xml:space="preserve"> or other sub-national level</w:t>
            </w:r>
            <w:r w:rsidRPr="2104C340">
              <w:rPr>
                <w:rFonts w:cs="Arial"/>
                <w:b/>
                <w:color w:val="F4711F" w:themeColor="accent4"/>
                <w:lang w:val="en-GB"/>
              </w:rPr>
              <w:t>]</w:t>
            </w:r>
          </w:p>
        </w:tc>
        <w:tc>
          <w:tcPr>
            <w:tcW w:w="1664" w:type="dxa"/>
            <w:shd w:val="clear" w:color="auto" w:fill="FCE2D2" w:themeFill="accent4" w:themeFillTint="33"/>
          </w:tcPr>
          <w:p w14:paraId="1A96F59D" w14:textId="77777777" w:rsidR="00C62193" w:rsidRPr="008E4FDF" w:rsidRDefault="00C62193" w:rsidP="00C62193">
            <w:pPr>
              <w:rPr>
                <w:rFonts w:cs="Arial"/>
                <w:b/>
                <w:color w:val="F4711F" w:themeColor="accent4"/>
                <w:lang w:val="en-GB"/>
              </w:rPr>
            </w:pPr>
            <w:r w:rsidRPr="2104C340">
              <w:rPr>
                <w:rFonts w:cs="Arial"/>
                <w:b/>
                <w:color w:val="F4711F" w:themeColor="accent4"/>
                <w:highlight w:val="yellow"/>
                <w:lang w:val="en-GB"/>
              </w:rPr>
              <w:t>[</w:t>
            </w:r>
            <w:r w:rsidRPr="000B6DFF">
              <w:rPr>
                <w:rFonts w:cs="Arial"/>
                <w:b/>
                <w:color w:val="F4711F" w:themeColor="accent4"/>
                <w:highlight w:val="yellow"/>
                <w:lang w:val="en-GB"/>
              </w:rPr>
              <w:t>District</w:t>
            </w:r>
            <w:r w:rsidRPr="2104C340">
              <w:rPr>
                <w:rFonts w:cs="Arial"/>
                <w:b/>
                <w:color w:val="F4711F" w:themeColor="accent4"/>
                <w:highlight w:val="yellow"/>
                <w:lang w:val="en-GB"/>
              </w:rPr>
              <w:t xml:space="preserve"> or other sub-national level</w:t>
            </w:r>
            <w:r w:rsidRPr="2104C340">
              <w:rPr>
                <w:rFonts w:cs="Arial"/>
                <w:b/>
                <w:color w:val="F4711F" w:themeColor="accent4"/>
                <w:lang w:val="en-GB"/>
              </w:rPr>
              <w:t>]</w:t>
            </w:r>
          </w:p>
        </w:tc>
        <w:tc>
          <w:tcPr>
            <w:tcW w:w="2238" w:type="dxa"/>
            <w:shd w:val="clear" w:color="auto" w:fill="FCE2D2" w:themeFill="accent4" w:themeFillTint="33"/>
          </w:tcPr>
          <w:p w14:paraId="2C595AAF" w14:textId="77777777" w:rsidR="00C62193" w:rsidRPr="008E4FDF" w:rsidRDefault="00C62193" w:rsidP="00C62193">
            <w:pPr>
              <w:rPr>
                <w:rFonts w:cs="Arial"/>
                <w:b/>
                <w:color w:val="F4711F" w:themeColor="accent4"/>
                <w:lang w:val="en-GB"/>
              </w:rPr>
            </w:pPr>
            <w:r w:rsidRPr="2104C340">
              <w:rPr>
                <w:rFonts w:cs="Arial"/>
                <w:b/>
                <w:color w:val="F4711F" w:themeColor="accent4"/>
                <w:lang w:val="en-GB"/>
              </w:rPr>
              <w:t>Site (facility or civil society organisation community or DREAMS centre name)</w:t>
            </w:r>
          </w:p>
        </w:tc>
        <w:tc>
          <w:tcPr>
            <w:tcW w:w="1421" w:type="dxa"/>
            <w:shd w:val="clear" w:color="auto" w:fill="FCE2D2" w:themeFill="accent4" w:themeFillTint="33"/>
          </w:tcPr>
          <w:p w14:paraId="7AF8AC75" w14:textId="77777777" w:rsidR="00C62193" w:rsidRPr="008E4FDF" w:rsidRDefault="00C62193" w:rsidP="00C62193">
            <w:pPr>
              <w:rPr>
                <w:rFonts w:cs="Arial"/>
                <w:b/>
                <w:bCs w:val="0"/>
                <w:color w:val="F4711F" w:themeColor="accent4"/>
                <w:lang w:val="en-GB"/>
              </w:rPr>
            </w:pPr>
            <w:r w:rsidRPr="008E4FDF">
              <w:rPr>
                <w:rFonts w:cs="Arial"/>
                <w:b/>
                <w:bCs w:val="0"/>
                <w:color w:val="F4711F" w:themeColor="accent4"/>
                <w:lang w:val="en-GB"/>
              </w:rPr>
              <w:t>Focus group</w:t>
            </w:r>
          </w:p>
        </w:tc>
        <w:tc>
          <w:tcPr>
            <w:tcW w:w="1363" w:type="dxa"/>
            <w:shd w:val="clear" w:color="auto" w:fill="FCE2D2" w:themeFill="accent4" w:themeFillTint="33"/>
          </w:tcPr>
          <w:p w14:paraId="30FD103F" w14:textId="77777777" w:rsidR="00C62193" w:rsidRPr="008E4FDF" w:rsidRDefault="00C62193" w:rsidP="00C62193">
            <w:pPr>
              <w:rPr>
                <w:rFonts w:cs="Arial"/>
                <w:b/>
                <w:bCs w:val="0"/>
                <w:color w:val="F4711F" w:themeColor="accent4"/>
                <w:lang w:val="en-GB"/>
              </w:rPr>
            </w:pPr>
            <w:r w:rsidRPr="008E4FDF">
              <w:rPr>
                <w:rFonts w:cs="Arial"/>
                <w:b/>
                <w:bCs w:val="0"/>
                <w:color w:val="F4711F" w:themeColor="accent4"/>
                <w:lang w:val="en-GB"/>
              </w:rPr>
              <w:t>Sample size</w:t>
            </w:r>
          </w:p>
        </w:tc>
      </w:tr>
      <w:tr w:rsidR="00C62193" w:rsidRPr="00D20C32" w14:paraId="40A3336A" w14:textId="77777777" w:rsidTr="00296221">
        <w:trPr>
          <w:trHeight w:val="756"/>
        </w:trPr>
        <w:tc>
          <w:tcPr>
            <w:tcW w:w="1721" w:type="dxa"/>
          </w:tcPr>
          <w:p w14:paraId="7B607304" w14:textId="77777777" w:rsidR="00C62193" w:rsidRPr="00D20C32" w:rsidRDefault="00C62193" w:rsidP="00C62193">
            <w:pPr>
              <w:rPr>
                <w:rFonts w:cs="Arial"/>
                <w:lang w:val="en-GB"/>
              </w:rPr>
            </w:pPr>
          </w:p>
        </w:tc>
        <w:tc>
          <w:tcPr>
            <w:tcW w:w="1686" w:type="dxa"/>
          </w:tcPr>
          <w:p w14:paraId="3E296441" w14:textId="77777777" w:rsidR="00C62193" w:rsidRPr="00D20C32" w:rsidRDefault="00C62193" w:rsidP="00C62193">
            <w:pPr>
              <w:rPr>
                <w:rFonts w:cs="Arial"/>
                <w:lang w:val="en-GB"/>
              </w:rPr>
            </w:pPr>
          </w:p>
        </w:tc>
        <w:tc>
          <w:tcPr>
            <w:tcW w:w="1664" w:type="dxa"/>
          </w:tcPr>
          <w:p w14:paraId="54F7D892" w14:textId="77777777" w:rsidR="00C62193" w:rsidRPr="00D20C32" w:rsidRDefault="00C62193" w:rsidP="00C62193">
            <w:pPr>
              <w:rPr>
                <w:rFonts w:cs="Arial"/>
                <w:lang w:val="en-GB"/>
              </w:rPr>
            </w:pPr>
          </w:p>
        </w:tc>
        <w:tc>
          <w:tcPr>
            <w:tcW w:w="2238" w:type="dxa"/>
          </w:tcPr>
          <w:p w14:paraId="433C3367" w14:textId="77777777" w:rsidR="00C62193" w:rsidRPr="00D20C32" w:rsidRDefault="00C62193" w:rsidP="00C62193">
            <w:pPr>
              <w:rPr>
                <w:rFonts w:cs="Arial"/>
                <w:lang w:val="en-GB"/>
              </w:rPr>
            </w:pPr>
          </w:p>
        </w:tc>
        <w:tc>
          <w:tcPr>
            <w:tcW w:w="1421" w:type="dxa"/>
          </w:tcPr>
          <w:p w14:paraId="778CD280" w14:textId="77777777" w:rsidR="00C62193" w:rsidRPr="00D20C32" w:rsidRDefault="00C62193" w:rsidP="00C62193">
            <w:pPr>
              <w:rPr>
                <w:rFonts w:cs="Arial"/>
                <w:lang w:val="en-GB"/>
              </w:rPr>
            </w:pPr>
          </w:p>
        </w:tc>
        <w:tc>
          <w:tcPr>
            <w:tcW w:w="1363" w:type="dxa"/>
          </w:tcPr>
          <w:p w14:paraId="707481C4" w14:textId="77777777" w:rsidR="00C62193" w:rsidRPr="00D20C32" w:rsidRDefault="00C62193" w:rsidP="00C62193">
            <w:pPr>
              <w:rPr>
                <w:rFonts w:cs="Arial"/>
                <w:lang w:val="en-GB"/>
              </w:rPr>
            </w:pPr>
          </w:p>
        </w:tc>
      </w:tr>
      <w:tr w:rsidR="00C62193" w:rsidRPr="00D20C32" w14:paraId="6D2AA77E" w14:textId="77777777" w:rsidTr="00296221">
        <w:trPr>
          <w:trHeight w:val="756"/>
        </w:trPr>
        <w:tc>
          <w:tcPr>
            <w:tcW w:w="1721" w:type="dxa"/>
          </w:tcPr>
          <w:p w14:paraId="4FF8430C" w14:textId="77777777" w:rsidR="00C62193" w:rsidRPr="00D20C32" w:rsidRDefault="00C62193" w:rsidP="00C62193">
            <w:pPr>
              <w:rPr>
                <w:rFonts w:cs="Arial"/>
                <w:lang w:val="en-GB"/>
              </w:rPr>
            </w:pPr>
          </w:p>
        </w:tc>
        <w:tc>
          <w:tcPr>
            <w:tcW w:w="1686" w:type="dxa"/>
          </w:tcPr>
          <w:p w14:paraId="0230FF86" w14:textId="77777777" w:rsidR="00C62193" w:rsidRPr="00D20C32" w:rsidRDefault="00C62193" w:rsidP="00C62193">
            <w:pPr>
              <w:rPr>
                <w:rFonts w:cs="Arial"/>
                <w:lang w:val="en-GB"/>
              </w:rPr>
            </w:pPr>
          </w:p>
        </w:tc>
        <w:tc>
          <w:tcPr>
            <w:tcW w:w="1664" w:type="dxa"/>
          </w:tcPr>
          <w:p w14:paraId="2CC77B31" w14:textId="77777777" w:rsidR="00C62193" w:rsidRPr="00D20C32" w:rsidRDefault="00C62193" w:rsidP="00C62193">
            <w:pPr>
              <w:rPr>
                <w:rFonts w:cs="Arial"/>
                <w:lang w:val="en-GB"/>
              </w:rPr>
            </w:pPr>
          </w:p>
        </w:tc>
        <w:tc>
          <w:tcPr>
            <w:tcW w:w="2238" w:type="dxa"/>
          </w:tcPr>
          <w:p w14:paraId="7BCDD387" w14:textId="77777777" w:rsidR="00C62193" w:rsidRPr="00D20C32" w:rsidRDefault="00C62193" w:rsidP="00C62193">
            <w:pPr>
              <w:rPr>
                <w:rFonts w:cs="Arial"/>
                <w:lang w:val="en-GB"/>
              </w:rPr>
            </w:pPr>
          </w:p>
        </w:tc>
        <w:tc>
          <w:tcPr>
            <w:tcW w:w="1421" w:type="dxa"/>
          </w:tcPr>
          <w:p w14:paraId="2238D2E3" w14:textId="77777777" w:rsidR="00C62193" w:rsidRPr="00D20C32" w:rsidRDefault="00C62193" w:rsidP="00C62193">
            <w:pPr>
              <w:rPr>
                <w:rFonts w:cs="Arial"/>
                <w:lang w:val="en-GB"/>
              </w:rPr>
            </w:pPr>
          </w:p>
        </w:tc>
        <w:tc>
          <w:tcPr>
            <w:tcW w:w="1363" w:type="dxa"/>
          </w:tcPr>
          <w:p w14:paraId="78FF1738" w14:textId="77777777" w:rsidR="00C62193" w:rsidRPr="00D20C32" w:rsidRDefault="00C62193" w:rsidP="00C62193">
            <w:pPr>
              <w:rPr>
                <w:rFonts w:cs="Arial"/>
                <w:lang w:val="en-GB"/>
              </w:rPr>
            </w:pPr>
          </w:p>
        </w:tc>
      </w:tr>
      <w:tr w:rsidR="00C62193" w:rsidRPr="00D20C32" w14:paraId="581466EF" w14:textId="77777777" w:rsidTr="00296221">
        <w:trPr>
          <w:trHeight w:val="756"/>
        </w:trPr>
        <w:tc>
          <w:tcPr>
            <w:tcW w:w="1721" w:type="dxa"/>
          </w:tcPr>
          <w:p w14:paraId="18687933" w14:textId="77777777" w:rsidR="00C62193" w:rsidRPr="00D20C32" w:rsidRDefault="00C62193" w:rsidP="00C62193">
            <w:pPr>
              <w:rPr>
                <w:rFonts w:cs="Arial"/>
                <w:lang w:val="en-GB"/>
              </w:rPr>
            </w:pPr>
          </w:p>
        </w:tc>
        <w:tc>
          <w:tcPr>
            <w:tcW w:w="1686" w:type="dxa"/>
          </w:tcPr>
          <w:p w14:paraId="7AFE46B5" w14:textId="77777777" w:rsidR="00C62193" w:rsidRPr="00D20C32" w:rsidRDefault="00C62193" w:rsidP="00C62193">
            <w:pPr>
              <w:rPr>
                <w:rFonts w:cs="Arial"/>
                <w:lang w:val="en-GB"/>
              </w:rPr>
            </w:pPr>
          </w:p>
        </w:tc>
        <w:tc>
          <w:tcPr>
            <w:tcW w:w="1664" w:type="dxa"/>
          </w:tcPr>
          <w:p w14:paraId="07EB7BE7" w14:textId="77777777" w:rsidR="00C62193" w:rsidRPr="00D20C32" w:rsidRDefault="00C62193" w:rsidP="00C62193">
            <w:pPr>
              <w:rPr>
                <w:rFonts w:cs="Arial"/>
                <w:lang w:val="en-GB"/>
              </w:rPr>
            </w:pPr>
          </w:p>
        </w:tc>
        <w:tc>
          <w:tcPr>
            <w:tcW w:w="2238" w:type="dxa"/>
          </w:tcPr>
          <w:p w14:paraId="6FFD00FE" w14:textId="77777777" w:rsidR="00C62193" w:rsidRPr="00D20C32" w:rsidRDefault="00C62193" w:rsidP="00C62193">
            <w:pPr>
              <w:rPr>
                <w:rFonts w:cs="Arial"/>
                <w:lang w:val="en-GB"/>
              </w:rPr>
            </w:pPr>
          </w:p>
        </w:tc>
        <w:tc>
          <w:tcPr>
            <w:tcW w:w="1421" w:type="dxa"/>
          </w:tcPr>
          <w:p w14:paraId="581BF354" w14:textId="77777777" w:rsidR="00C62193" w:rsidRPr="00D20C32" w:rsidRDefault="00C62193" w:rsidP="00C62193">
            <w:pPr>
              <w:rPr>
                <w:rFonts w:cs="Arial"/>
                <w:lang w:val="en-GB"/>
              </w:rPr>
            </w:pPr>
          </w:p>
        </w:tc>
        <w:tc>
          <w:tcPr>
            <w:tcW w:w="1363" w:type="dxa"/>
          </w:tcPr>
          <w:p w14:paraId="4352BC73" w14:textId="77777777" w:rsidR="00C62193" w:rsidRPr="00D20C32" w:rsidRDefault="00C62193" w:rsidP="00C62193">
            <w:pPr>
              <w:rPr>
                <w:rFonts w:cs="Arial"/>
                <w:lang w:val="en-GB"/>
              </w:rPr>
            </w:pPr>
          </w:p>
        </w:tc>
      </w:tr>
      <w:tr w:rsidR="00C62193" w:rsidRPr="00D20C32" w14:paraId="4C14E6E8" w14:textId="77777777" w:rsidTr="00296221">
        <w:trPr>
          <w:trHeight w:val="739"/>
        </w:trPr>
        <w:tc>
          <w:tcPr>
            <w:tcW w:w="1721" w:type="dxa"/>
          </w:tcPr>
          <w:p w14:paraId="21BDD2E4" w14:textId="77777777" w:rsidR="00C62193" w:rsidRPr="00D20C32" w:rsidRDefault="00C62193" w:rsidP="00C62193">
            <w:pPr>
              <w:rPr>
                <w:rFonts w:cs="Arial"/>
                <w:lang w:val="en-GB"/>
              </w:rPr>
            </w:pPr>
          </w:p>
        </w:tc>
        <w:tc>
          <w:tcPr>
            <w:tcW w:w="1686" w:type="dxa"/>
          </w:tcPr>
          <w:p w14:paraId="0A50362B" w14:textId="77777777" w:rsidR="00C62193" w:rsidRPr="00D20C32" w:rsidRDefault="00C62193" w:rsidP="00C62193">
            <w:pPr>
              <w:rPr>
                <w:rFonts w:cs="Arial"/>
                <w:lang w:val="en-GB"/>
              </w:rPr>
            </w:pPr>
          </w:p>
        </w:tc>
        <w:tc>
          <w:tcPr>
            <w:tcW w:w="1664" w:type="dxa"/>
          </w:tcPr>
          <w:p w14:paraId="423AD215" w14:textId="77777777" w:rsidR="00C62193" w:rsidRPr="00D20C32" w:rsidRDefault="00C62193" w:rsidP="00C62193">
            <w:pPr>
              <w:rPr>
                <w:rFonts w:cs="Arial"/>
                <w:lang w:val="en-GB"/>
              </w:rPr>
            </w:pPr>
          </w:p>
        </w:tc>
        <w:tc>
          <w:tcPr>
            <w:tcW w:w="2238" w:type="dxa"/>
          </w:tcPr>
          <w:p w14:paraId="659A4DE3" w14:textId="77777777" w:rsidR="00C62193" w:rsidRPr="00D20C32" w:rsidRDefault="00C62193" w:rsidP="00C62193">
            <w:pPr>
              <w:rPr>
                <w:rFonts w:cs="Arial"/>
                <w:lang w:val="en-GB"/>
              </w:rPr>
            </w:pPr>
          </w:p>
        </w:tc>
        <w:tc>
          <w:tcPr>
            <w:tcW w:w="1421" w:type="dxa"/>
          </w:tcPr>
          <w:p w14:paraId="6BAAEAA2" w14:textId="77777777" w:rsidR="00C62193" w:rsidRPr="00D20C32" w:rsidRDefault="00C62193" w:rsidP="00C62193">
            <w:pPr>
              <w:rPr>
                <w:rFonts w:cs="Arial"/>
                <w:lang w:val="en-GB"/>
              </w:rPr>
            </w:pPr>
          </w:p>
        </w:tc>
        <w:tc>
          <w:tcPr>
            <w:tcW w:w="1363" w:type="dxa"/>
          </w:tcPr>
          <w:p w14:paraId="16F83BA5" w14:textId="77777777" w:rsidR="00C62193" w:rsidRPr="00D20C32" w:rsidRDefault="00C62193" w:rsidP="00C62193">
            <w:pPr>
              <w:rPr>
                <w:rFonts w:cs="Arial"/>
                <w:lang w:val="en-GB"/>
              </w:rPr>
            </w:pPr>
          </w:p>
        </w:tc>
      </w:tr>
    </w:tbl>
    <w:p w14:paraId="32F57A67" w14:textId="77777777" w:rsidR="00296221" w:rsidRDefault="00296221" w:rsidP="00C62193">
      <w:pPr>
        <w:rPr>
          <w:rFonts w:cs="Arial"/>
          <w:b/>
          <w:bCs w:val="0"/>
          <w:sz w:val="26"/>
          <w:szCs w:val="26"/>
          <w:lang w:val="en-GB"/>
        </w:rPr>
      </w:pPr>
      <w:r>
        <w:rPr>
          <w:rFonts w:cs="Arial"/>
          <w:b/>
          <w:bCs w:val="0"/>
          <w:sz w:val="26"/>
          <w:szCs w:val="26"/>
          <w:lang w:val="en-GB"/>
        </w:rPr>
        <w:br/>
      </w:r>
    </w:p>
    <w:p w14:paraId="52478494" w14:textId="57C8542B" w:rsidR="00C62193" w:rsidRPr="00D20C32" w:rsidRDefault="00C62193" w:rsidP="00C62193">
      <w:pPr>
        <w:rPr>
          <w:rFonts w:cs="Arial"/>
          <w:b/>
          <w:bCs w:val="0"/>
          <w:sz w:val="26"/>
          <w:szCs w:val="26"/>
          <w:lang w:val="en-GB"/>
        </w:rPr>
      </w:pPr>
      <w:r w:rsidRPr="00D20C32">
        <w:rPr>
          <w:rFonts w:cs="Arial"/>
          <w:b/>
          <w:bCs w:val="0"/>
          <w:sz w:val="26"/>
          <w:szCs w:val="26"/>
          <w:lang w:val="en-GB"/>
        </w:rPr>
        <w:t>Annex 2.  Domain considerations for acceptability questions</w:t>
      </w:r>
    </w:p>
    <w:p w14:paraId="1CB5FE14" w14:textId="77777777" w:rsidR="00C62193" w:rsidRPr="00D20C32" w:rsidRDefault="00C62193" w:rsidP="00C62193">
      <w:pPr>
        <w:pStyle w:val="NoSpacing"/>
        <w:rPr>
          <w:rFonts w:asciiTheme="minorBidi" w:hAnsiTheme="minorBidi"/>
          <w:b/>
          <w:bCs/>
          <w:sz w:val="20"/>
          <w:szCs w:val="20"/>
          <w:lang w:val="en-GB"/>
        </w:rPr>
      </w:pPr>
    </w:p>
    <w:p w14:paraId="0CE116B7" w14:textId="77777777" w:rsidR="00C62193" w:rsidRPr="007278DB" w:rsidRDefault="00C62193" w:rsidP="00C62193">
      <w:pPr>
        <w:pStyle w:val="NoSpacing"/>
        <w:rPr>
          <w:rFonts w:asciiTheme="minorBidi" w:hAnsiTheme="minorBidi"/>
          <w:b/>
          <w:bCs/>
          <w:sz w:val="20"/>
          <w:szCs w:val="20"/>
          <w:lang w:val="en-GB"/>
        </w:rPr>
      </w:pPr>
      <w:r w:rsidRPr="007278DB">
        <w:rPr>
          <w:rFonts w:asciiTheme="minorBidi" w:hAnsiTheme="minorBidi"/>
          <w:b/>
          <w:bCs/>
          <w:sz w:val="20"/>
          <w:szCs w:val="20"/>
          <w:lang w:val="en-GB"/>
        </w:rPr>
        <w:t>Streamlined approach to assess end-user ring feasibility measures for implementation studies</w:t>
      </w:r>
    </w:p>
    <w:p w14:paraId="32312EF7" w14:textId="77777777" w:rsidR="00C62193" w:rsidRPr="007278DB" w:rsidRDefault="00C62193" w:rsidP="00C62193">
      <w:pPr>
        <w:pStyle w:val="NoSpacing"/>
        <w:rPr>
          <w:rFonts w:asciiTheme="minorBidi" w:hAnsiTheme="minorBidi"/>
          <w:b/>
          <w:bCs/>
          <w:sz w:val="20"/>
          <w:szCs w:val="20"/>
          <w:lang w:val="en-GB"/>
        </w:rPr>
      </w:pPr>
    </w:p>
    <w:p w14:paraId="23E39452"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 xml:space="preserve">[Assuming questions are asked after initial visit with an HIV prevention counsellor or after a PrEP method has been selected]: </w:t>
      </w:r>
    </w:p>
    <w:p w14:paraId="6CBDD86A" w14:textId="77777777" w:rsidR="00C62193" w:rsidRPr="007278DB" w:rsidRDefault="00C62193" w:rsidP="00C62193">
      <w:pPr>
        <w:pStyle w:val="NoSpacing"/>
        <w:rPr>
          <w:rFonts w:asciiTheme="minorBidi" w:hAnsiTheme="minorBidi"/>
          <w:b/>
          <w:bCs/>
          <w:sz w:val="20"/>
          <w:szCs w:val="20"/>
          <w:lang w:val="en-GB"/>
        </w:rPr>
      </w:pPr>
    </w:p>
    <w:p w14:paraId="4A24576A" w14:textId="77777777" w:rsidR="00C62193" w:rsidRPr="007278DB" w:rsidRDefault="00C62193" w:rsidP="00C62193">
      <w:pPr>
        <w:pStyle w:val="NoSpacing"/>
        <w:rPr>
          <w:rFonts w:asciiTheme="minorBidi" w:hAnsiTheme="minorBidi"/>
          <w:b/>
          <w:bCs/>
          <w:sz w:val="20"/>
          <w:szCs w:val="20"/>
          <w:lang w:val="en-GB"/>
        </w:rPr>
      </w:pPr>
      <w:r w:rsidRPr="007278DB">
        <w:rPr>
          <w:rFonts w:asciiTheme="minorBidi" w:hAnsiTheme="minorBidi"/>
          <w:b/>
          <w:bCs/>
          <w:sz w:val="20"/>
          <w:szCs w:val="20"/>
          <w:lang w:val="en-GB"/>
        </w:rPr>
        <w:t>1. Which method would you prefer to use for HIV prevention?</w:t>
      </w:r>
    </w:p>
    <w:p w14:paraId="6F3A4F8D" w14:textId="77777777" w:rsidR="00C62193" w:rsidRPr="007278DB" w:rsidRDefault="00C62193" w:rsidP="00C62193">
      <w:pPr>
        <w:pStyle w:val="NoSpacing"/>
        <w:numPr>
          <w:ilvl w:val="0"/>
          <w:numId w:val="20"/>
        </w:numPr>
        <w:rPr>
          <w:rFonts w:asciiTheme="minorBidi" w:hAnsiTheme="minorBidi"/>
          <w:sz w:val="20"/>
          <w:szCs w:val="20"/>
          <w:lang w:val="en-GB"/>
        </w:rPr>
      </w:pPr>
      <w:r w:rsidRPr="007278DB">
        <w:rPr>
          <w:rFonts w:asciiTheme="minorBidi" w:hAnsiTheme="minorBidi"/>
          <w:sz w:val="20"/>
          <w:szCs w:val="20"/>
          <w:lang w:val="en-GB"/>
        </w:rPr>
        <w:t xml:space="preserve">Dapivirine ring </w:t>
      </w:r>
    </w:p>
    <w:p w14:paraId="2B0AD075" w14:textId="77777777" w:rsidR="00C62193" w:rsidRPr="007278DB" w:rsidRDefault="00C62193" w:rsidP="00C62193">
      <w:pPr>
        <w:pStyle w:val="NoSpacing"/>
        <w:numPr>
          <w:ilvl w:val="0"/>
          <w:numId w:val="20"/>
        </w:numPr>
        <w:rPr>
          <w:rFonts w:asciiTheme="minorBidi" w:hAnsiTheme="minorBidi"/>
          <w:sz w:val="20"/>
          <w:szCs w:val="20"/>
          <w:lang w:val="en-GB"/>
        </w:rPr>
      </w:pPr>
      <w:r w:rsidRPr="007278DB">
        <w:rPr>
          <w:rFonts w:asciiTheme="minorBidi" w:hAnsiTheme="minorBidi"/>
          <w:sz w:val="20"/>
          <w:szCs w:val="20"/>
          <w:lang w:val="en-GB"/>
        </w:rPr>
        <w:t xml:space="preserve">Oral PrEP </w:t>
      </w:r>
    </w:p>
    <w:p w14:paraId="58EBD246" w14:textId="77777777" w:rsidR="00C62193" w:rsidRPr="007278DB" w:rsidRDefault="00C62193" w:rsidP="00C62193">
      <w:pPr>
        <w:pStyle w:val="NoSpacing"/>
        <w:numPr>
          <w:ilvl w:val="0"/>
          <w:numId w:val="20"/>
        </w:numPr>
        <w:rPr>
          <w:rFonts w:asciiTheme="minorBidi" w:hAnsiTheme="minorBidi"/>
          <w:sz w:val="20"/>
          <w:szCs w:val="20"/>
          <w:lang w:val="en-GB"/>
        </w:rPr>
      </w:pPr>
      <w:r w:rsidRPr="007278DB">
        <w:rPr>
          <w:rFonts w:asciiTheme="minorBidi" w:hAnsiTheme="minorBidi"/>
          <w:sz w:val="20"/>
          <w:szCs w:val="20"/>
          <w:lang w:val="en-GB"/>
        </w:rPr>
        <w:t xml:space="preserve">Male condom </w:t>
      </w:r>
    </w:p>
    <w:p w14:paraId="69EEA2FD" w14:textId="77777777" w:rsidR="00C62193" w:rsidRPr="007278DB" w:rsidRDefault="00C62193" w:rsidP="00C62193">
      <w:pPr>
        <w:pStyle w:val="NoSpacing"/>
        <w:numPr>
          <w:ilvl w:val="0"/>
          <w:numId w:val="20"/>
        </w:numPr>
        <w:rPr>
          <w:rFonts w:asciiTheme="minorBidi" w:hAnsiTheme="minorBidi"/>
          <w:sz w:val="20"/>
          <w:szCs w:val="20"/>
          <w:lang w:val="en-GB"/>
        </w:rPr>
      </w:pPr>
      <w:r w:rsidRPr="007278DB">
        <w:rPr>
          <w:rFonts w:asciiTheme="minorBidi" w:hAnsiTheme="minorBidi"/>
          <w:sz w:val="20"/>
          <w:szCs w:val="20"/>
          <w:lang w:val="en-GB"/>
        </w:rPr>
        <w:t>Other: [describe]</w:t>
      </w:r>
    </w:p>
    <w:p w14:paraId="02EFC2C5" w14:textId="77777777" w:rsidR="00C62193" w:rsidRPr="007278DB" w:rsidRDefault="00C62193" w:rsidP="00C62193">
      <w:pPr>
        <w:pStyle w:val="NoSpacing"/>
        <w:numPr>
          <w:ilvl w:val="0"/>
          <w:numId w:val="20"/>
        </w:numPr>
        <w:rPr>
          <w:rFonts w:asciiTheme="minorBidi" w:hAnsiTheme="minorBidi"/>
          <w:sz w:val="20"/>
          <w:szCs w:val="20"/>
          <w:lang w:val="en-GB"/>
        </w:rPr>
      </w:pPr>
      <w:r w:rsidRPr="007278DB">
        <w:rPr>
          <w:rFonts w:asciiTheme="minorBidi" w:hAnsiTheme="minorBidi"/>
          <w:sz w:val="20"/>
          <w:szCs w:val="20"/>
          <w:lang w:val="en-GB"/>
        </w:rPr>
        <w:t>None of the above</w:t>
      </w:r>
    </w:p>
    <w:p w14:paraId="430FA089" w14:textId="77777777" w:rsidR="00C62193" w:rsidRPr="007278DB" w:rsidRDefault="00C62193" w:rsidP="00C62193">
      <w:pPr>
        <w:rPr>
          <w:rFonts w:asciiTheme="minorBidi" w:hAnsiTheme="minorBidi"/>
          <w:szCs w:val="20"/>
          <w:lang w:val="en-GB"/>
        </w:rPr>
      </w:pPr>
      <w:r w:rsidRPr="007278DB">
        <w:rPr>
          <w:rFonts w:asciiTheme="minorBidi" w:hAnsiTheme="minorBidi"/>
          <w:b/>
          <w:szCs w:val="20"/>
          <w:lang w:val="en-GB"/>
        </w:rPr>
        <w:t xml:space="preserve">2. [If PrEP method selected as preferred method]: </w:t>
      </w:r>
      <w:r w:rsidRPr="007278DB">
        <w:rPr>
          <w:rFonts w:asciiTheme="minorBidi" w:hAnsiTheme="minorBidi"/>
          <w:szCs w:val="20"/>
          <w:lang w:val="en-GB"/>
        </w:rPr>
        <w:t>What influenced your decision about your preferred method for HIV prevention? (</w:t>
      </w:r>
      <w:r w:rsidRPr="007278DB">
        <w:rPr>
          <w:rFonts w:asciiTheme="minorBidi" w:hAnsiTheme="minorBidi"/>
          <w:i/>
          <w:iCs/>
          <w:szCs w:val="20"/>
          <w:lang w:val="en-GB"/>
        </w:rPr>
        <w:t>Select all that apply using statements in Column A.</w:t>
      </w:r>
      <w:r w:rsidRPr="007278DB">
        <w:rPr>
          <w:rFonts w:asciiTheme="minorBidi" w:hAnsiTheme="minorBidi"/>
          <w:szCs w:val="20"/>
          <w:lang w:val="en-GB"/>
        </w:rPr>
        <w:t>)</w:t>
      </w:r>
    </w:p>
    <w:p w14:paraId="498E7E9D" w14:textId="77777777" w:rsidR="00C62193" w:rsidRPr="007278DB" w:rsidRDefault="00C62193" w:rsidP="00C62193">
      <w:pPr>
        <w:spacing w:before="0" w:line="240" w:lineRule="auto"/>
        <w:rPr>
          <w:rFonts w:asciiTheme="minorBidi" w:hAnsiTheme="minorBidi"/>
          <w:b/>
          <w:szCs w:val="20"/>
          <w:lang w:val="en-GB"/>
        </w:rPr>
      </w:pPr>
    </w:p>
    <w:p w14:paraId="543E6907" w14:textId="419FB8E4" w:rsidR="00C62193" w:rsidRPr="007278DB" w:rsidRDefault="00C62193" w:rsidP="00DA2B08">
      <w:pPr>
        <w:spacing w:before="0" w:line="240" w:lineRule="auto"/>
        <w:rPr>
          <w:rFonts w:asciiTheme="minorBidi" w:hAnsiTheme="minorBidi"/>
          <w:lang w:val="en-GB"/>
        </w:rPr>
      </w:pPr>
      <w:r w:rsidRPr="007278DB">
        <w:rPr>
          <w:rFonts w:asciiTheme="minorBidi" w:hAnsiTheme="minorBidi"/>
          <w:b/>
          <w:szCs w:val="20"/>
          <w:lang w:val="en-GB"/>
        </w:rPr>
        <w:t>[If non-PrEP method selected as preferred method, or no method selected at all]:</w:t>
      </w:r>
      <w:r w:rsidRPr="007278DB">
        <w:rPr>
          <w:rFonts w:asciiTheme="minorBidi" w:hAnsiTheme="minorBidi"/>
          <w:szCs w:val="20"/>
          <w:lang w:val="en-GB"/>
        </w:rPr>
        <w:t xml:space="preserve"> What influenced your decision about why you prefer not to use the ring or oral PrEP? </w:t>
      </w:r>
      <w:r w:rsidRPr="007278DB">
        <w:rPr>
          <w:rFonts w:asciiTheme="minorBidi" w:hAnsiTheme="minorBidi"/>
          <w:i/>
          <w:iCs/>
          <w:szCs w:val="20"/>
          <w:lang w:val="en-GB"/>
        </w:rPr>
        <w:t>(Select all that apply using statements in Column B.)</w:t>
      </w:r>
      <w:r w:rsidRPr="007278DB">
        <w:rPr>
          <w:rFonts w:asciiTheme="minorBidi" w:hAnsiTheme="minorBidi"/>
          <w:lang w:val="en-GB"/>
        </w:rPr>
        <w:br w:type="page"/>
      </w:r>
    </w:p>
    <w:p w14:paraId="2784D361" w14:textId="2DADEDD5" w:rsidR="00296221" w:rsidRPr="007278DB" w:rsidRDefault="00296221" w:rsidP="00DA2B08">
      <w:pPr>
        <w:spacing w:before="0" w:line="240" w:lineRule="auto"/>
        <w:rPr>
          <w:rFonts w:asciiTheme="minorBidi" w:hAnsiTheme="minorBidi"/>
          <w:lang w:val="en-GB"/>
        </w:rPr>
      </w:pPr>
    </w:p>
    <w:p w14:paraId="0489C3B3" w14:textId="77777777" w:rsidR="00296221" w:rsidRPr="007278DB" w:rsidRDefault="00296221" w:rsidP="00DA2B08">
      <w:pPr>
        <w:spacing w:before="0" w:line="240" w:lineRule="auto"/>
        <w:rPr>
          <w:rFonts w:asciiTheme="minorBidi" w:hAnsiTheme="minorBidi"/>
          <w:lang w:val="en-GB"/>
        </w:rPr>
      </w:pPr>
    </w:p>
    <w:p w14:paraId="1E0776A1" w14:textId="6685366E" w:rsidR="005D2002" w:rsidRPr="007278DB" w:rsidRDefault="005D2002" w:rsidP="00DA2B08">
      <w:pPr>
        <w:spacing w:before="0" w:line="240" w:lineRule="auto"/>
        <w:rPr>
          <w:rFonts w:asciiTheme="minorBidi" w:hAnsiTheme="minorBidi"/>
          <w:lang w:val="en-GB"/>
        </w:rPr>
      </w:pPr>
    </w:p>
    <w:p w14:paraId="1F860B68" w14:textId="74704867" w:rsidR="006342D2" w:rsidRPr="007278DB" w:rsidRDefault="006342D2" w:rsidP="00DA2B08">
      <w:pPr>
        <w:spacing w:before="0" w:line="240" w:lineRule="auto"/>
        <w:rPr>
          <w:rFonts w:asciiTheme="minorBidi" w:hAnsiTheme="minorBidi"/>
          <w:lang w:val="en-GB"/>
        </w:rPr>
      </w:pPr>
    </w:p>
    <w:p w14:paraId="12969D65" w14:textId="3720D67A" w:rsidR="006342D2" w:rsidRPr="007278DB" w:rsidRDefault="006342D2" w:rsidP="00DA2B08">
      <w:pPr>
        <w:spacing w:before="0" w:line="240" w:lineRule="auto"/>
        <w:rPr>
          <w:rFonts w:asciiTheme="minorBidi" w:hAnsiTheme="minorBidi"/>
          <w:lang w:val="en-GB"/>
        </w:rPr>
      </w:pPr>
    </w:p>
    <w:p w14:paraId="01D0D54D" w14:textId="77777777" w:rsidR="006342D2" w:rsidRPr="007278DB" w:rsidRDefault="006342D2" w:rsidP="00DA2B08">
      <w:pPr>
        <w:spacing w:before="0" w:line="240" w:lineRule="auto"/>
        <w:rPr>
          <w:rFonts w:asciiTheme="minorBidi" w:hAnsiTheme="minorBidi"/>
          <w:lang w:val="en-GB"/>
        </w:rPr>
      </w:pPr>
    </w:p>
    <w:p w14:paraId="130B724C" w14:textId="392C8223" w:rsidR="005D2002" w:rsidRPr="007278DB" w:rsidRDefault="005D2002" w:rsidP="00DA2B08">
      <w:pPr>
        <w:spacing w:before="0" w:line="240" w:lineRule="auto"/>
        <w:rPr>
          <w:rFonts w:asciiTheme="minorBidi" w:hAnsiTheme="minorBidi"/>
          <w:lang w:val="en-GB"/>
        </w:rPr>
      </w:pPr>
    </w:p>
    <w:tbl>
      <w:tblPr>
        <w:tblStyle w:val="TableGrid"/>
        <w:tblW w:w="9355" w:type="dxa"/>
        <w:tblLook w:val="04A0" w:firstRow="1" w:lastRow="0" w:firstColumn="1" w:lastColumn="0" w:noHBand="0" w:noVBand="1"/>
      </w:tblPr>
      <w:tblGrid>
        <w:gridCol w:w="2515"/>
        <w:gridCol w:w="3420"/>
        <w:gridCol w:w="3420"/>
      </w:tblGrid>
      <w:tr w:rsidR="00C62193" w:rsidRPr="007278DB" w14:paraId="61826652" w14:textId="77777777" w:rsidTr="005C27D2">
        <w:tc>
          <w:tcPr>
            <w:tcW w:w="2515" w:type="dxa"/>
            <w:vMerge w:val="restart"/>
            <w:shd w:val="clear" w:color="auto" w:fill="F4711F" w:themeFill="accent4"/>
          </w:tcPr>
          <w:p w14:paraId="795017F7" w14:textId="77777777" w:rsidR="00C62193" w:rsidRPr="007278DB" w:rsidRDefault="00C62193" w:rsidP="00C62193">
            <w:pPr>
              <w:pStyle w:val="NoSpacing"/>
              <w:rPr>
                <w:rFonts w:asciiTheme="minorBidi" w:hAnsiTheme="minorBidi"/>
                <w:b/>
                <w:bCs/>
                <w:color w:val="F4711F" w:themeColor="accent4"/>
                <w:sz w:val="20"/>
                <w:szCs w:val="20"/>
                <w:lang w:val="en-GB"/>
              </w:rPr>
            </w:pPr>
            <w:r w:rsidRPr="007278DB">
              <w:rPr>
                <w:rFonts w:asciiTheme="minorBidi" w:hAnsiTheme="minorBidi"/>
                <w:b/>
                <w:bCs/>
                <w:i/>
                <w:iCs/>
                <w:color w:val="FFFFFF"/>
                <w:sz w:val="20"/>
                <w:szCs w:val="20"/>
                <w:lang w:val="en-GB"/>
              </w:rPr>
              <w:t xml:space="preserve">Relevant domain </w:t>
            </w:r>
          </w:p>
        </w:tc>
        <w:tc>
          <w:tcPr>
            <w:tcW w:w="3420" w:type="dxa"/>
            <w:shd w:val="clear" w:color="auto" w:fill="FCE2D2" w:themeFill="accent4" w:themeFillTint="33"/>
          </w:tcPr>
          <w:p w14:paraId="10B46A8D" w14:textId="77777777" w:rsidR="00C62193" w:rsidRPr="007278DB" w:rsidRDefault="00C62193" w:rsidP="00C62193">
            <w:pPr>
              <w:pStyle w:val="NoSpacing"/>
              <w:rPr>
                <w:rFonts w:asciiTheme="minorBidi" w:hAnsiTheme="minorBidi"/>
                <w:b/>
                <w:bCs/>
                <w:color w:val="F4711F" w:themeColor="accent4"/>
                <w:sz w:val="20"/>
                <w:szCs w:val="20"/>
                <w:lang w:val="en-GB"/>
              </w:rPr>
            </w:pPr>
            <w:r w:rsidRPr="007278DB">
              <w:rPr>
                <w:rFonts w:asciiTheme="minorBidi" w:hAnsiTheme="minorBidi"/>
                <w:b/>
                <w:bCs/>
                <w:color w:val="F4711F" w:themeColor="accent4"/>
                <w:sz w:val="20"/>
                <w:szCs w:val="20"/>
                <w:lang w:val="en-GB"/>
              </w:rPr>
              <w:t>COLUMN A</w:t>
            </w:r>
          </w:p>
        </w:tc>
        <w:tc>
          <w:tcPr>
            <w:tcW w:w="3420" w:type="dxa"/>
            <w:shd w:val="clear" w:color="auto" w:fill="FCE2D2" w:themeFill="accent4" w:themeFillTint="33"/>
          </w:tcPr>
          <w:p w14:paraId="74685499" w14:textId="77777777" w:rsidR="00C62193" w:rsidRPr="007278DB" w:rsidRDefault="00C62193" w:rsidP="00C62193">
            <w:pPr>
              <w:pStyle w:val="NoSpacing"/>
              <w:rPr>
                <w:rFonts w:asciiTheme="minorBidi" w:hAnsiTheme="minorBidi"/>
                <w:b/>
                <w:bCs/>
                <w:color w:val="F4711F" w:themeColor="accent4"/>
                <w:sz w:val="20"/>
                <w:szCs w:val="20"/>
                <w:lang w:val="en-GB"/>
              </w:rPr>
            </w:pPr>
            <w:r w:rsidRPr="007278DB">
              <w:rPr>
                <w:rFonts w:asciiTheme="minorBidi" w:hAnsiTheme="minorBidi"/>
                <w:b/>
                <w:bCs/>
                <w:color w:val="F4711F" w:themeColor="accent4"/>
                <w:sz w:val="20"/>
                <w:szCs w:val="20"/>
                <w:lang w:val="en-GB"/>
              </w:rPr>
              <w:t>COLUMN B</w:t>
            </w:r>
          </w:p>
        </w:tc>
      </w:tr>
      <w:tr w:rsidR="00C62193" w:rsidRPr="007278DB" w14:paraId="16709A24" w14:textId="77777777" w:rsidTr="005C27D2">
        <w:tc>
          <w:tcPr>
            <w:tcW w:w="2515" w:type="dxa"/>
            <w:vMerge/>
            <w:shd w:val="clear" w:color="auto" w:fill="F4711F" w:themeFill="accent4"/>
          </w:tcPr>
          <w:p w14:paraId="629C31A0" w14:textId="77777777" w:rsidR="00C62193" w:rsidRPr="007278DB" w:rsidRDefault="00C62193" w:rsidP="00C62193">
            <w:pPr>
              <w:pStyle w:val="NoSpacing"/>
              <w:rPr>
                <w:rFonts w:asciiTheme="minorBidi" w:hAnsiTheme="minorBidi"/>
                <w:b/>
                <w:bCs/>
                <w:i/>
                <w:iCs/>
                <w:color w:val="FFFFFF"/>
                <w:sz w:val="20"/>
                <w:szCs w:val="20"/>
                <w:lang w:val="en-GB"/>
              </w:rPr>
            </w:pPr>
          </w:p>
        </w:tc>
        <w:tc>
          <w:tcPr>
            <w:tcW w:w="3420" w:type="dxa"/>
            <w:shd w:val="clear" w:color="auto" w:fill="F4711F" w:themeFill="accent4"/>
          </w:tcPr>
          <w:p w14:paraId="1D28BF2A" w14:textId="77777777" w:rsidR="00C62193" w:rsidRPr="007278DB" w:rsidRDefault="00C62193" w:rsidP="00C62193">
            <w:pPr>
              <w:pStyle w:val="NoSpacing"/>
              <w:rPr>
                <w:rFonts w:asciiTheme="minorBidi" w:hAnsiTheme="minorBidi"/>
                <w:b/>
                <w:bCs/>
                <w:color w:val="FFFFFF"/>
                <w:sz w:val="20"/>
                <w:szCs w:val="20"/>
                <w:lang w:val="en-GB"/>
              </w:rPr>
            </w:pPr>
            <w:r w:rsidRPr="007278DB">
              <w:rPr>
                <w:rFonts w:asciiTheme="minorBidi" w:hAnsiTheme="minorBidi"/>
                <w:b/>
                <w:bCs/>
                <w:color w:val="FFFFFF"/>
                <w:sz w:val="20"/>
                <w:szCs w:val="20"/>
                <w:lang w:val="en-GB"/>
              </w:rPr>
              <w:t>Reasons for preferring PrEP method (ring or oral PrEP)</w:t>
            </w:r>
          </w:p>
          <w:p w14:paraId="3F3A6149" w14:textId="77777777" w:rsidR="00C62193" w:rsidRPr="007278DB" w:rsidRDefault="00C62193" w:rsidP="00C62193">
            <w:pPr>
              <w:pStyle w:val="NoSpacing"/>
              <w:rPr>
                <w:rFonts w:asciiTheme="minorBidi" w:hAnsiTheme="minorBidi"/>
                <w:i/>
                <w:iCs/>
                <w:color w:val="FFFFFF"/>
                <w:sz w:val="20"/>
                <w:szCs w:val="20"/>
                <w:lang w:val="en-GB"/>
              </w:rPr>
            </w:pPr>
          </w:p>
        </w:tc>
        <w:tc>
          <w:tcPr>
            <w:tcW w:w="3420" w:type="dxa"/>
            <w:shd w:val="clear" w:color="auto" w:fill="F4711F" w:themeFill="accent4"/>
          </w:tcPr>
          <w:p w14:paraId="3DB2FBBF" w14:textId="77777777" w:rsidR="00C62193" w:rsidRPr="007278DB" w:rsidRDefault="00C62193" w:rsidP="00C62193">
            <w:pPr>
              <w:pStyle w:val="NoSpacing"/>
              <w:rPr>
                <w:rFonts w:asciiTheme="minorBidi" w:hAnsiTheme="minorBidi"/>
                <w:b/>
                <w:bCs/>
                <w:color w:val="FFFFFF"/>
                <w:sz w:val="20"/>
                <w:szCs w:val="20"/>
                <w:lang w:val="en-GB"/>
              </w:rPr>
            </w:pPr>
            <w:r w:rsidRPr="007278DB">
              <w:rPr>
                <w:rFonts w:asciiTheme="minorBidi" w:hAnsiTheme="minorBidi"/>
                <w:b/>
                <w:bCs/>
                <w:color w:val="FFFFFF"/>
                <w:sz w:val="20"/>
                <w:szCs w:val="20"/>
                <w:lang w:val="en-GB"/>
              </w:rPr>
              <w:t xml:space="preserve">Reasons for not selecting either PrEP method for HIV prevention (or selecting no prevention method at all) </w:t>
            </w:r>
          </w:p>
        </w:tc>
      </w:tr>
      <w:tr w:rsidR="00C62193" w:rsidRPr="007278DB" w14:paraId="7C21B28C" w14:textId="77777777" w:rsidTr="005C27D2">
        <w:trPr>
          <w:trHeight w:val="539"/>
        </w:trPr>
        <w:tc>
          <w:tcPr>
            <w:tcW w:w="2515" w:type="dxa"/>
          </w:tcPr>
          <w:p w14:paraId="78D6230D"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Cost</w:t>
            </w:r>
          </w:p>
        </w:tc>
        <w:tc>
          <w:tcPr>
            <w:tcW w:w="3420" w:type="dxa"/>
          </w:tcPr>
          <w:p w14:paraId="4A0BB0F8"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It is affordable (or free).</w:t>
            </w:r>
          </w:p>
        </w:tc>
        <w:tc>
          <w:tcPr>
            <w:tcW w:w="3420" w:type="dxa"/>
          </w:tcPr>
          <w:p w14:paraId="3D90EEB0" w14:textId="0F52F1A8"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The PrEP methods are too expensive.</w:t>
            </w:r>
          </w:p>
        </w:tc>
      </w:tr>
      <w:tr w:rsidR="00C62193" w:rsidRPr="007278DB" w14:paraId="6D736BB4" w14:textId="77777777" w:rsidTr="005C27D2">
        <w:trPr>
          <w:trHeight w:val="611"/>
        </w:trPr>
        <w:tc>
          <w:tcPr>
            <w:tcW w:w="2515" w:type="dxa"/>
          </w:tcPr>
          <w:p w14:paraId="33CB922E"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Access</w:t>
            </w:r>
          </w:p>
        </w:tc>
        <w:tc>
          <w:tcPr>
            <w:tcW w:w="3420" w:type="dxa"/>
          </w:tcPr>
          <w:p w14:paraId="23B3C927"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It is available in my community.</w:t>
            </w:r>
          </w:p>
        </w:tc>
        <w:tc>
          <w:tcPr>
            <w:tcW w:w="3420" w:type="dxa"/>
          </w:tcPr>
          <w:p w14:paraId="433899DC"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The PrEP methods are not currently available in my community.</w:t>
            </w:r>
          </w:p>
        </w:tc>
      </w:tr>
      <w:tr w:rsidR="00C62193" w:rsidRPr="007278DB" w14:paraId="213E0F20" w14:textId="77777777" w:rsidTr="005C27D2">
        <w:trPr>
          <w:trHeight w:val="1070"/>
        </w:trPr>
        <w:tc>
          <w:tcPr>
            <w:tcW w:w="2515" w:type="dxa"/>
          </w:tcPr>
          <w:p w14:paraId="7FF7CFF9"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Ability to access</w:t>
            </w:r>
          </w:p>
        </w:tc>
        <w:tc>
          <w:tcPr>
            <w:tcW w:w="3420" w:type="dxa"/>
          </w:tcPr>
          <w:p w14:paraId="60F27FC3"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It is available and will be easy for me to get (</w:t>
            </w:r>
            <w:r w:rsidRPr="007278DB">
              <w:rPr>
                <w:rFonts w:asciiTheme="minorBidi" w:hAnsiTheme="minorBidi"/>
                <w:i/>
                <w:iCs/>
                <w:sz w:val="20"/>
                <w:szCs w:val="20"/>
                <w:lang w:val="en-GB"/>
              </w:rPr>
              <w:t>e.g., reasonable clinic wait times, no transportation issues</w:t>
            </w:r>
            <w:r w:rsidRPr="007278DB">
              <w:rPr>
                <w:rFonts w:asciiTheme="minorBidi" w:hAnsiTheme="minorBidi"/>
                <w:sz w:val="20"/>
                <w:szCs w:val="20"/>
                <w:lang w:val="en-GB"/>
              </w:rPr>
              <w:t>).</w:t>
            </w:r>
          </w:p>
        </w:tc>
        <w:tc>
          <w:tcPr>
            <w:tcW w:w="3420" w:type="dxa"/>
          </w:tcPr>
          <w:p w14:paraId="521C42DE"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The PrEP methods might be available, but they would not be easy to get (</w:t>
            </w:r>
            <w:r w:rsidRPr="007278DB">
              <w:rPr>
                <w:rFonts w:asciiTheme="minorBidi" w:hAnsiTheme="minorBidi"/>
                <w:i/>
                <w:iCs/>
                <w:sz w:val="20"/>
                <w:szCs w:val="20"/>
                <w:lang w:val="en-GB"/>
              </w:rPr>
              <w:t>e.g., long clinic wait times, transportation issues</w:t>
            </w:r>
            <w:r w:rsidRPr="007278DB">
              <w:rPr>
                <w:rFonts w:asciiTheme="minorBidi" w:hAnsiTheme="minorBidi"/>
                <w:sz w:val="20"/>
                <w:szCs w:val="20"/>
                <w:lang w:val="en-GB"/>
              </w:rPr>
              <w:t>).</w:t>
            </w:r>
          </w:p>
        </w:tc>
      </w:tr>
      <w:tr w:rsidR="00C62193" w:rsidRPr="007278DB" w14:paraId="09776EA1" w14:textId="77777777" w:rsidTr="005C27D2">
        <w:trPr>
          <w:trHeight w:val="620"/>
        </w:trPr>
        <w:tc>
          <w:tcPr>
            <w:tcW w:w="2515" w:type="dxa"/>
          </w:tcPr>
          <w:p w14:paraId="64D6F53F"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Ease of use</w:t>
            </w:r>
          </w:p>
        </w:tc>
        <w:tc>
          <w:tcPr>
            <w:tcW w:w="3420" w:type="dxa"/>
          </w:tcPr>
          <w:p w14:paraId="258B5BB0"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It will be easy for me to use.</w:t>
            </w:r>
          </w:p>
        </w:tc>
        <w:tc>
          <w:tcPr>
            <w:tcW w:w="3420" w:type="dxa"/>
          </w:tcPr>
          <w:p w14:paraId="6E4934B1" w14:textId="27978724" w:rsidR="00C62193" w:rsidRPr="007278DB" w:rsidRDefault="005D5EE7" w:rsidP="005D5EE7">
            <w:pPr>
              <w:pStyle w:val="NoSpacing"/>
              <w:rPr>
                <w:rFonts w:asciiTheme="minorBidi" w:hAnsiTheme="minorBidi"/>
                <w:sz w:val="20"/>
                <w:szCs w:val="20"/>
                <w:lang w:val="en-GB"/>
              </w:rPr>
            </w:pPr>
            <w:r>
              <w:rPr>
                <w:rFonts w:asciiTheme="minorBidi" w:hAnsiTheme="minorBidi"/>
                <w:sz w:val="20"/>
                <w:szCs w:val="20"/>
                <w:lang w:val="en-GB"/>
              </w:rPr>
              <w:t>I do not believe t</w:t>
            </w:r>
            <w:r w:rsidRPr="007278DB">
              <w:rPr>
                <w:rFonts w:asciiTheme="minorBidi" w:hAnsiTheme="minorBidi"/>
                <w:sz w:val="20"/>
                <w:szCs w:val="20"/>
                <w:lang w:val="en-GB"/>
              </w:rPr>
              <w:t xml:space="preserve">he </w:t>
            </w:r>
            <w:r w:rsidR="00C62193" w:rsidRPr="007278DB">
              <w:rPr>
                <w:rFonts w:asciiTheme="minorBidi" w:hAnsiTheme="minorBidi"/>
                <w:sz w:val="20"/>
                <w:szCs w:val="20"/>
                <w:lang w:val="en-GB"/>
              </w:rPr>
              <w:t>PrEP methods will be easy to use.</w:t>
            </w:r>
          </w:p>
        </w:tc>
      </w:tr>
      <w:tr w:rsidR="00C62193" w:rsidRPr="007278DB" w14:paraId="02730EB8" w14:textId="77777777" w:rsidTr="005C27D2">
        <w:trPr>
          <w:trHeight w:val="629"/>
        </w:trPr>
        <w:tc>
          <w:tcPr>
            <w:tcW w:w="2515" w:type="dxa"/>
          </w:tcPr>
          <w:p w14:paraId="45DBC192"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Side effects</w:t>
            </w:r>
          </w:p>
        </w:tc>
        <w:tc>
          <w:tcPr>
            <w:tcW w:w="3420" w:type="dxa"/>
          </w:tcPr>
          <w:p w14:paraId="1A9DE8E4"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 will not worry about the side effects.</w:t>
            </w:r>
          </w:p>
        </w:tc>
        <w:tc>
          <w:tcPr>
            <w:tcW w:w="3420" w:type="dxa"/>
          </w:tcPr>
          <w:p w14:paraId="36FC270E" w14:textId="7B28432C" w:rsidR="00C62193" w:rsidRPr="007278DB" w:rsidRDefault="005D5EE7" w:rsidP="00C62193">
            <w:pPr>
              <w:pStyle w:val="NoSpacing"/>
              <w:rPr>
                <w:rFonts w:asciiTheme="minorBidi" w:hAnsiTheme="minorBidi"/>
                <w:sz w:val="20"/>
                <w:szCs w:val="20"/>
                <w:lang w:val="en-GB"/>
              </w:rPr>
            </w:pPr>
            <w:r>
              <w:rPr>
                <w:rFonts w:asciiTheme="minorBidi" w:hAnsiTheme="minorBidi"/>
                <w:sz w:val="20"/>
                <w:szCs w:val="20"/>
                <w:lang w:val="en-GB"/>
              </w:rPr>
              <w:t>I think t</w:t>
            </w:r>
            <w:r w:rsidRPr="007278DB">
              <w:rPr>
                <w:rFonts w:asciiTheme="minorBidi" w:hAnsiTheme="minorBidi"/>
                <w:sz w:val="20"/>
                <w:szCs w:val="20"/>
                <w:lang w:val="en-GB"/>
              </w:rPr>
              <w:t xml:space="preserve">he </w:t>
            </w:r>
            <w:r w:rsidR="00C62193" w:rsidRPr="007278DB">
              <w:rPr>
                <w:rFonts w:asciiTheme="minorBidi" w:hAnsiTheme="minorBidi"/>
                <w:sz w:val="20"/>
                <w:szCs w:val="20"/>
                <w:lang w:val="en-GB"/>
              </w:rPr>
              <w:t>PrEP methods will cause side effects.</w:t>
            </w:r>
          </w:p>
        </w:tc>
      </w:tr>
      <w:tr w:rsidR="00C62193" w:rsidRPr="007278DB" w14:paraId="1F61C894" w14:textId="77777777" w:rsidTr="005C27D2">
        <w:trPr>
          <w:trHeight w:val="890"/>
        </w:trPr>
        <w:tc>
          <w:tcPr>
            <w:tcW w:w="2515" w:type="dxa"/>
          </w:tcPr>
          <w:p w14:paraId="13085907"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Emotional comfort/discomfort</w:t>
            </w:r>
          </w:p>
        </w:tc>
        <w:tc>
          <w:tcPr>
            <w:tcW w:w="3420" w:type="dxa"/>
          </w:tcPr>
          <w:p w14:paraId="424C0D27"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It will cause me to feel pleasant feelings like happiness or reassurance.</w:t>
            </w:r>
          </w:p>
        </w:tc>
        <w:tc>
          <w:tcPr>
            <w:tcW w:w="3420" w:type="dxa"/>
          </w:tcPr>
          <w:p w14:paraId="7AA17711"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Either PrEP method would cause me to feel unpleasant feelings like sadness or anger.</w:t>
            </w:r>
          </w:p>
        </w:tc>
      </w:tr>
      <w:tr w:rsidR="00C62193" w:rsidRPr="007278DB" w14:paraId="6B3FCBAD" w14:textId="77777777" w:rsidTr="005C27D2">
        <w:trPr>
          <w:trHeight w:val="611"/>
        </w:trPr>
        <w:tc>
          <w:tcPr>
            <w:tcW w:w="2515" w:type="dxa"/>
          </w:tcPr>
          <w:p w14:paraId="0558A3EB"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Physical comfort/</w:t>
            </w:r>
          </w:p>
          <w:p w14:paraId="34953328"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discomfort</w:t>
            </w:r>
          </w:p>
        </w:tc>
        <w:tc>
          <w:tcPr>
            <w:tcW w:w="3420" w:type="dxa"/>
          </w:tcPr>
          <w:p w14:paraId="5AD855A1"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It will not cause my body discomfort to use.</w:t>
            </w:r>
          </w:p>
        </w:tc>
        <w:tc>
          <w:tcPr>
            <w:tcW w:w="3420" w:type="dxa"/>
          </w:tcPr>
          <w:p w14:paraId="3859E1FF"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 xml:space="preserve">Either PrEP method would cause my body discomfort. </w:t>
            </w:r>
          </w:p>
        </w:tc>
      </w:tr>
      <w:tr w:rsidR="00C62193" w:rsidRPr="007278DB" w14:paraId="6246E157" w14:textId="77777777" w:rsidTr="005C27D2">
        <w:trPr>
          <w:trHeight w:val="800"/>
        </w:trPr>
        <w:tc>
          <w:tcPr>
            <w:tcW w:w="2515" w:type="dxa"/>
          </w:tcPr>
          <w:p w14:paraId="0975961A"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Social comfort/</w:t>
            </w:r>
          </w:p>
          <w:p w14:paraId="7F0C066F"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discomfort</w:t>
            </w:r>
          </w:p>
        </w:tc>
        <w:tc>
          <w:tcPr>
            <w:tcW w:w="3420" w:type="dxa"/>
          </w:tcPr>
          <w:p w14:paraId="0B5FC9DD"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It will not cause me worry related to the reactions of people around me.</w:t>
            </w:r>
          </w:p>
        </w:tc>
        <w:tc>
          <w:tcPr>
            <w:tcW w:w="3420" w:type="dxa"/>
          </w:tcPr>
          <w:p w14:paraId="74CFC85F"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Either PrEP method would cause me worry related to the reactions of people around me.</w:t>
            </w:r>
          </w:p>
        </w:tc>
      </w:tr>
      <w:tr w:rsidR="00C62193" w:rsidRPr="007278DB" w14:paraId="58ED6DE6" w14:textId="77777777" w:rsidTr="005C27D2">
        <w:trPr>
          <w:trHeight w:val="611"/>
        </w:trPr>
        <w:tc>
          <w:tcPr>
            <w:tcW w:w="2515" w:type="dxa"/>
          </w:tcPr>
          <w:p w14:paraId="543FB81F"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Effects on health and well-being more generally</w:t>
            </w:r>
          </w:p>
        </w:tc>
        <w:tc>
          <w:tcPr>
            <w:tcW w:w="3420" w:type="dxa"/>
          </w:tcPr>
          <w:p w14:paraId="2B875E38"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It will be good for my well-being.</w:t>
            </w:r>
          </w:p>
        </w:tc>
        <w:tc>
          <w:tcPr>
            <w:tcW w:w="3420" w:type="dxa"/>
          </w:tcPr>
          <w:p w14:paraId="033665D6"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Either PrEP method would not be good for my well-being.</w:t>
            </w:r>
          </w:p>
        </w:tc>
      </w:tr>
      <w:tr w:rsidR="00C62193" w:rsidRPr="007278DB" w14:paraId="4675F4E4" w14:textId="77777777" w:rsidTr="005C27D2">
        <w:tc>
          <w:tcPr>
            <w:tcW w:w="2515" w:type="dxa"/>
          </w:tcPr>
          <w:p w14:paraId="279E0260"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 xml:space="preserve">Perceived effectiveness </w:t>
            </w:r>
          </w:p>
        </w:tc>
        <w:tc>
          <w:tcPr>
            <w:tcW w:w="3420" w:type="dxa"/>
          </w:tcPr>
          <w:p w14:paraId="73CDE3FB"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It will be effective for me in preventing HIV if I use it well.</w:t>
            </w:r>
          </w:p>
        </w:tc>
        <w:tc>
          <w:tcPr>
            <w:tcW w:w="3420" w:type="dxa"/>
          </w:tcPr>
          <w:p w14:paraId="3CAFFC7C"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 xml:space="preserve">Either PrEP method would not be effective for me in preventing HIV. </w:t>
            </w:r>
            <w:r w:rsidRPr="007278DB">
              <w:rPr>
                <w:rFonts w:asciiTheme="minorBidi" w:hAnsiTheme="minorBidi"/>
                <w:sz w:val="20"/>
                <w:szCs w:val="20"/>
                <w:lang w:val="en-GB"/>
              </w:rPr>
              <w:br/>
            </w:r>
          </w:p>
        </w:tc>
      </w:tr>
      <w:tr w:rsidR="00C62193" w:rsidRPr="007278DB" w14:paraId="22342981" w14:textId="77777777" w:rsidTr="005C27D2">
        <w:trPr>
          <w:trHeight w:val="827"/>
        </w:trPr>
        <w:tc>
          <w:tcPr>
            <w:tcW w:w="2515" w:type="dxa"/>
          </w:tcPr>
          <w:p w14:paraId="3640B27C"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Support/disclosure</w:t>
            </w:r>
          </w:p>
        </w:tc>
        <w:tc>
          <w:tcPr>
            <w:tcW w:w="3420" w:type="dxa"/>
          </w:tcPr>
          <w:p w14:paraId="6B0C08D9"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 will have support from someone close to me to use it well.</w:t>
            </w:r>
          </w:p>
        </w:tc>
        <w:tc>
          <w:tcPr>
            <w:tcW w:w="3420" w:type="dxa"/>
          </w:tcPr>
          <w:p w14:paraId="47BC69D0"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 will not have support for using either PrEP method from someone close to me.</w:t>
            </w:r>
          </w:p>
        </w:tc>
      </w:tr>
      <w:tr w:rsidR="00C62193" w:rsidRPr="007278DB" w14:paraId="62D0455C" w14:textId="77777777" w:rsidTr="005C27D2">
        <w:trPr>
          <w:trHeight w:val="881"/>
        </w:trPr>
        <w:tc>
          <w:tcPr>
            <w:tcW w:w="2515" w:type="dxa"/>
          </w:tcPr>
          <w:p w14:paraId="462904A4"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 xml:space="preserve">Self-efficacy </w:t>
            </w:r>
          </w:p>
        </w:tc>
        <w:tc>
          <w:tcPr>
            <w:tcW w:w="3420" w:type="dxa"/>
          </w:tcPr>
          <w:p w14:paraId="2EA3EC0F"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 xml:space="preserve">I can use it correctly and consistently. </w:t>
            </w:r>
          </w:p>
        </w:tc>
        <w:tc>
          <w:tcPr>
            <w:tcW w:w="3420" w:type="dxa"/>
          </w:tcPr>
          <w:p w14:paraId="61A3C52D"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I would not be able to use either PrEP method correctly and/or consistently.</w:t>
            </w:r>
          </w:p>
        </w:tc>
      </w:tr>
      <w:tr w:rsidR="00C62193" w:rsidRPr="007278DB" w14:paraId="07177181" w14:textId="77777777" w:rsidTr="005C27D2">
        <w:tc>
          <w:tcPr>
            <w:tcW w:w="2515" w:type="dxa"/>
          </w:tcPr>
          <w:p w14:paraId="6B01B77B" w14:textId="77777777" w:rsidR="00C62193" w:rsidRPr="007278DB" w:rsidRDefault="00C62193" w:rsidP="00C62193">
            <w:pPr>
              <w:pStyle w:val="NoSpacing"/>
              <w:rPr>
                <w:rFonts w:asciiTheme="minorBidi" w:hAnsiTheme="minorBidi"/>
                <w:i/>
                <w:iCs/>
                <w:sz w:val="20"/>
                <w:szCs w:val="20"/>
                <w:lang w:val="en-GB"/>
              </w:rPr>
            </w:pPr>
            <w:r w:rsidRPr="007278DB">
              <w:rPr>
                <w:rFonts w:asciiTheme="minorBidi" w:hAnsiTheme="minorBidi"/>
                <w:i/>
                <w:iCs/>
                <w:sz w:val="20"/>
                <w:szCs w:val="20"/>
                <w:lang w:val="en-GB"/>
              </w:rPr>
              <w:t xml:space="preserve">Risk perception (only relevant for those who chose no prevention method) </w:t>
            </w:r>
          </w:p>
        </w:tc>
        <w:tc>
          <w:tcPr>
            <w:tcW w:w="3420" w:type="dxa"/>
          </w:tcPr>
          <w:p w14:paraId="3BE8DA74" w14:textId="77777777" w:rsidR="00C62193" w:rsidRPr="007278DB" w:rsidRDefault="00C62193" w:rsidP="00C62193">
            <w:pPr>
              <w:pStyle w:val="NoSpacing"/>
              <w:rPr>
                <w:rFonts w:asciiTheme="minorBidi" w:hAnsiTheme="minorBidi"/>
                <w:sz w:val="20"/>
                <w:szCs w:val="20"/>
                <w:lang w:val="en-GB"/>
              </w:rPr>
            </w:pPr>
          </w:p>
        </w:tc>
        <w:tc>
          <w:tcPr>
            <w:tcW w:w="3420" w:type="dxa"/>
          </w:tcPr>
          <w:p w14:paraId="6F1155DA" w14:textId="77777777" w:rsidR="00C62193" w:rsidRPr="007278DB" w:rsidRDefault="00C62193" w:rsidP="00C62193">
            <w:pPr>
              <w:pStyle w:val="NoSpacing"/>
              <w:rPr>
                <w:rFonts w:asciiTheme="minorBidi" w:hAnsiTheme="minorBidi"/>
                <w:sz w:val="20"/>
                <w:szCs w:val="20"/>
                <w:lang w:val="en-GB"/>
              </w:rPr>
            </w:pPr>
            <w:r w:rsidRPr="007278DB">
              <w:rPr>
                <w:rFonts w:asciiTheme="minorBidi" w:hAnsiTheme="minorBidi"/>
                <w:sz w:val="20"/>
                <w:szCs w:val="20"/>
                <w:lang w:val="en-GB"/>
              </w:rPr>
              <w:t xml:space="preserve">I am not at risk for getting HIV right now. </w:t>
            </w:r>
          </w:p>
        </w:tc>
      </w:tr>
    </w:tbl>
    <w:p w14:paraId="296A0528" w14:textId="24DB5188" w:rsidR="00C62193" w:rsidRPr="007278DB" w:rsidRDefault="00C62193" w:rsidP="00C62193">
      <w:pPr>
        <w:pStyle w:val="NoSpacing"/>
        <w:spacing w:before="120"/>
        <w:rPr>
          <w:rFonts w:asciiTheme="minorBidi" w:hAnsiTheme="minorBidi"/>
          <w:i/>
          <w:iCs/>
          <w:sz w:val="20"/>
          <w:szCs w:val="20"/>
          <w:lang w:val="en-GB"/>
        </w:rPr>
      </w:pPr>
      <w:r w:rsidRPr="007278DB">
        <w:rPr>
          <w:rFonts w:asciiTheme="minorBidi" w:hAnsiTheme="minorBidi"/>
          <w:i/>
          <w:iCs/>
          <w:sz w:val="20"/>
          <w:szCs w:val="20"/>
          <w:lang w:val="en-GB"/>
        </w:rPr>
        <w:t>[For each option selected, one could go on to ask a more specific question about that particular response similar to or the same as items we have already pulled out from the existing surveys.]</w:t>
      </w:r>
    </w:p>
    <w:p w14:paraId="0B2E8AFB" w14:textId="77777777" w:rsidR="00296221" w:rsidRPr="007278DB" w:rsidRDefault="00296221" w:rsidP="00C62193">
      <w:pPr>
        <w:rPr>
          <w:rFonts w:asciiTheme="minorBidi" w:hAnsiTheme="minorBidi"/>
          <w:b/>
          <w:szCs w:val="20"/>
          <w:lang w:val="en-GB"/>
        </w:rPr>
      </w:pPr>
    </w:p>
    <w:p w14:paraId="0E07D7ED" w14:textId="77777777" w:rsidR="006342D2" w:rsidRPr="007278DB" w:rsidRDefault="006342D2" w:rsidP="00C62193">
      <w:pPr>
        <w:rPr>
          <w:rFonts w:asciiTheme="minorBidi" w:hAnsiTheme="minorBidi"/>
          <w:b/>
          <w:szCs w:val="20"/>
          <w:lang w:val="en-GB"/>
        </w:rPr>
      </w:pPr>
    </w:p>
    <w:p w14:paraId="63549836" w14:textId="43938952" w:rsidR="00C62193" w:rsidRPr="007278DB" w:rsidRDefault="00C62193" w:rsidP="00C62193">
      <w:pPr>
        <w:rPr>
          <w:rFonts w:asciiTheme="minorBidi" w:hAnsiTheme="minorBidi"/>
          <w:b/>
          <w:bCs w:val="0"/>
          <w:szCs w:val="20"/>
          <w:lang w:val="en-GB"/>
        </w:rPr>
      </w:pPr>
      <w:r w:rsidRPr="007278DB">
        <w:rPr>
          <w:rFonts w:asciiTheme="minorBidi" w:hAnsiTheme="minorBidi"/>
          <w:b/>
          <w:szCs w:val="20"/>
          <w:lang w:val="en-GB"/>
        </w:rPr>
        <w:t xml:space="preserve">3. What most influenced your decision? </w:t>
      </w:r>
    </w:p>
    <w:p w14:paraId="3F6030CD" w14:textId="77777777" w:rsidR="00C62193" w:rsidRPr="007278DB" w:rsidRDefault="00C62193" w:rsidP="00C62193">
      <w:pPr>
        <w:rPr>
          <w:rFonts w:asciiTheme="minorBidi" w:hAnsiTheme="minorBidi"/>
          <w:szCs w:val="20"/>
          <w:lang w:val="en-GB"/>
        </w:rPr>
      </w:pPr>
      <w:r w:rsidRPr="007278DB">
        <w:rPr>
          <w:rFonts w:asciiTheme="minorBidi" w:hAnsiTheme="minorBidi"/>
          <w:szCs w:val="20"/>
          <w:lang w:val="en-GB"/>
        </w:rPr>
        <w:t>Response option 1: Repeat options from the questions above but have participants rank their top three reasons.</w:t>
      </w:r>
    </w:p>
    <w:p w14:paraId="683CF280" w14:textId="0B384EF1" w:rsidR="00C62193" w:rsidRPr="007278DB" w:rsidRDefault="00C62193" w:rsidP="00C62193">
      <w:pPr>
        <w:rPr>
          <w:rFonts w:asciiTheme="minorBidi" w:hAnsiTheme="minorBidi"/>
          <w:lang w:val="en-GB"/>
        </w:rPr>
      </w:pPr>
      <w:r w:rsidRPr="007278DB">
        <w:rPr>
          <w:rFonts w:asciiTheme="minorBidi" w:hAnsiTheme="minorBidi"/>
          <w:lang w:val="en-GB"/>
        </w:rPr>
        <w:t>Response option 2: Think about what things are most important to you now in choosing a product that would provide HIV prevention. What is the most important to you? What is the second most important? (Have participant free list and record responses verbatim below:)</w:t>
      </w:r>
    </w:p>
    <w:p w14:paraId="05300407" w14:textId="77777777" w:rsidR="00C62193" w:rsidRPr="007278DB" w:rsidRDefault="00C62193" w:rsidP="00C62193">
      <w:pPr>
        <w:rPr>
          <w:rFonts w:asciiTheme="minorBidi" w:hAnsiTheme="minorBidi"/>
          <w:szCs w:val="20"/>
          <w:lang w:val="en-GB"/>
        </w:rPr>
      </w:pPr>
      <w:r w:rsidRPr="007278DB">
        <w:rPr>
          <w:rFonts w:asciiTheme="minorBidi" w:hAnsiTheme="minorBidi"/>
          <w:szCs w:val="20"/>
          <w:lang w:val="en-GB"/>
        </w:rPr>
        <w:t>a. (Most important): ___________________________________________________</w:t>
      </w:r>
    </w:p>
    <w:p w14:paraId="1E1726C2" w14:textId="77777777" w:rsidR="00C62193" w:rsidRPr="007278DB" w:rsidRDefault="00C62193" w:rsidP="00C62193">
      <w:pPr>
        <w:rPr>
          <w:rFonts w:asciiTheme="minorBidi" w:hAnsiTheme="minorBidi"/>
          <w:szCs w:val="20"/>
          <w:lang w:val="en-GB"/>
        </w:rPr>
      </w:pPr>
      <w:r w:rsidRPr="007278DB">
        <w:rPr>
          <w:rFonts w:asciiTheme="minorBidi" w:hAnsiTheme="minorBidi"/>
          <w:szCs w:val="20"/>
          <w:lang w:val="en-GB"/>
        </w:rPr>
        <w:t>b. (Second most important): _____________________________________________</w:t>
      </w:r>
    </w:p>
    <w:p w14:paraId="7936AC60" w14:textId="77777777" w:rsidR="00C62193" w:rsidRPr="007278DB" w:rsidRDefault="00C62193" w:rsidP="00C62193">
      <w:pPr>
        <w:rPr>
          <w:rFonts w:asciiTheme="minorBidi" w:hAnsiTheme="minorBidi"/>
          <w:b/>
          <w:bCs w:val="0"/>
          <w:lang w:val="en-GB"/>
        </w:rPr>
      </w:pPr>
      <w:r w:rsidRPr="007278DB">
        <w:rPr>
          <w:rFonts w:asciiTheme="minorBidi" w:hAnsiTheme="minorBidi"/>
          <w:b/>
          <w:i/>
          <w:iCs/>
          <w:lang w:val="en-GB"/>
        </w:rPr>
        <w:t xml:space="preserve"> </w:t>
      </w:r>
    </w:p>
    <w:p w14:paraId="67460DAD" w14:textId="5F477739" w:rsidR="00314401" w:rsidRPr="007278DB" w:rsidRDefault="00314401" w:rsidP="00DA2B08">
      <w:pPr>
        <w:pStyle w:val="EndnoteText"/>
        <w:spacing w:beforeLines="240" w:before="576" w:line="300" w:lineRule="exact"/>
        <w:rPr>
          <w:rFonts w:asciiTheme="minorBidi" w:hAnsiTheme="minorBid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Futura Bk BT">
    <w:altName w:val="Century Gothic"/>
    <w:charset w:val="00"/>
    <w:family w:val="swiss"/>
    <w:pitch w:val="variable"/>
    <w:sig w:usb0="00000087" w:usb1="00000000" w:usb2="00000000" w:usb3="00000000" w:csb0="0000001B" w:csb1="00000000"/>
  </w:font>
  <w:font w:name="TimesNewRomanPSMT">
    <w:altName w:val="Times New Roman"/>
    <w:charset w:val="00"/>
    <w:family w:val="roman"/>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82741"/>
      <w:docPartObj>
        <w:docPartGallery w:val="Page Numbers (Bottom of Page)"/>
        <w:docPartUnique/>
      </w:docPartObj>
    </w:sdtPr>
    <w:sdtEndPr>
      <w:rPr>
        <w:noProof/>
      </w:rPr>
    </w:sdtEndPr>
    <w:sdtContent>
      <w:sdt>
        <w:sdtPr>
          <w:id w:val="-341709482"/>
          <w:docPartObj>
            <w:docPartGallery w:val="Page Numbers (Bottom of Page)"/>
            <w:docPartUnique/>
          </w:docPartObj>
        </w:sdtPr>
        <w:sdtEndPr>
          <w:rPr>
            <w:noProof/>
          </w:rPr>
        </w:sdtEndPr>
        <w:sdtContent>
          <w:p w14:paraId="2A37FC3C" w14:textId="47F8BDFD" w:rsidR="00FF34CD" w:rsidRPr="00495E6D" w:rsidRDefault="00863844" w:rsidP="0064000D">
            <w:pPr>
              <w:pStyle w:val="Footer"/>
            </w:pPr>
            <w:r>
              <w:t xml:space="preserve">National Guidelines for </w:t>
            </w:r>
            <w:proofErr w:type="spellStart"/>
            <w:r>
              <w:t>Dapivirine</w:t>
            </w:r>
            <w:proofErr w:type="spellEnd"/>
            <w:r>
              <w:t xml:space="preserve"> Ring Pilot Implementation Studies</w:t>
            </w:r>
            <w:r w:rsidR="00140E4C">
              <w:t xml:space="preserve">: </w:t>
            </w:r>
            <w:r w:rsidR="00140E4C" w:rsidRPr="00140E4C">
              <w:t>Template Language</w:t>
            </w:r>
            <w:r w:rsidR="00FF34CD" w:rsidRPr="00FF34CD">
              <w:t xml:space="preserve"> </w:t>
            </w:r>
            <w:r w:rsidR="00487191" w:rsidRPr="00FF34CD">
              <w:t>| Page</w:t>
            </w:r>
            <w:r w:rsidR="00FF34CD" w:rsidRPr="00FF34CD">
              <w:t xml:space="preserve"> </w:t>
            </w:r>
            <w:r w:rsidR="00FF34CD" w:rsidRPr="00FF34CD">
              <w:fldChar w:fldCharType="begin"/>
            </w:r>
            <w:r w:rsidR="00FF34CD" w:rsidRPr="00FF34CD">
              <w:instrText xml:space="preserve"> PAGE   \* MERGEFORMAT </w:instrText>
            </w:r>
            <w:r w:rsidR="00FF34CD" w:rsidRPr="00FF34CD">
              <w:fldChar w:fldCharType="separate"/>
            </w:r>
            <w:r w:rsidR="00CD57D7">
              <w:rPr>
                <w:noProof/>
              </w:rPr>
              <w:t>23</w:t>
            </w:r>
            <w:r w:rsidR="00FF34CD" w:rsidRPr="00FF34CD">
              <w:fldChar w:fldCharType="end"/>
            </w:r>
          </w:p>
        </w:sdtContent>
      </w:sdt>
    </w:sdtContent>
  </w:sdt>
  <w:p w14:paraId="36D6CF72" w14:textId="77777777" w:rsidR="008F631E" w:rsidRPr="00FF34CD" w:rsidRDefault="008F631E" w:rsidP="00640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32BE" w14:textId="7CE5217A" w:rsidR="00661465" w:rsidRPr="00D85975" w:rsidRDefault="00B91EA6" w:rsidP="008E4FDF">
    <w:pPr>
      <w:pStyle w:val="Footer"/>
      <w:jc w:val="center"/>
      <w:rPr>
        <w:rStyle w:val="PageNumber"/>
        <w:color w:val="02BAF6" w:themeColor="text1" w:themeTint="A6"/>
        <w:szCs w:val="20"/>
      </w:rPr>
    </w:pPr>
    <w:r>
      <w:rPr>
        <w:noProof/>
        <w:lang w:eastAsia="en-US"/>
      </w:rPr>
      <w:drawing>
        <wp:inline distT="0" distB="0" distL="0" distR="0" wp14:anchorId="5D179521" wp14:editId="082E8D08">
          <wp:extent cx="1409700" cy="330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r="45588"/>
                  <a:stretch/>
                </pic:blipFill>
                <pic:spPr bwMode="auto">
                  <a:xfrm>
                    <a:off x="0" y="0"/>
                    <a:ext cx="1409773" cy="330217"/>
                  </a:xfrm>
                  <a:prstGeom prst="rect">
                    <a:avLst/>
                  </a:prstGeom>
                  <a:ln>
                    <a:noFill/>
                  </a:ln>
                  <a:extLst>
                    <a:ext uri="{53640926-AAD7-44D8-BBD7-CCE9431645EC}">
                      <a14:shadowObscured xmlns:a14="http://schemas.microsoft.com/office/drawing/2010/main"/>
                    </a:ext>
                  </a:extLst>
                </pic:spPr>
              </pic:pic>
            </a:graphicData>
          </a:graphic>
        </wp:inline>
      </w:drawing>
    </w:r>
    <w:r w:rsidR="0076604E" w:rsidRPr="009225EC">
      <w:rPr>
        <w:noProof/>
        <w:lang w:eastAsia="en-US"/>
      </w:rPr>
      <mc:AlternateContent>
        <mc:Choice Requires="wps">
          <w:drawing>
            <wp:anchor distT="0" distB="0" distL="114300" distR="114300" simplePos="0" relativeHeight="251658240" behindDoc="0" locked="0" layoutInCell="1" allowOverlap="1" wp14:anchorId="43FE1B0D" wp14:editId="030B0C10">
              <wp:simplePos x="0" y="0"/>
              <wp:positionH relativeFrom="page">
                <wp:align>right</wp:align>
              </wp:positionH>
              <wp:positionV relativeFrom="paragraph">
                <wp:posOffset>-215900</wp:posOffset>
              </wp:positionV>
              <wp:extent cx="81089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810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B2205" id="Straight Connector 23" o:spid="_x0000_s1026" style="position:absolute;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87.3pt,-17pt" to="1225.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" strokecolor="#aac1ca [3204]" strokeweight=".5pt">
              <v:stroke joinstyle="miter"/>
              <w10:wrap anchorx="page"/>
            </v:line>
          </w:pict>
        </mc:Fallback>
      </mc:AlternateContent>
    </w:r>
  </w:p>
  <w:p w14:paraId="04F7712C" w14:textId="0069964C" w:rsidR="00661465" w:rsidRDefault="00661465" w:rsidP="00640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A4D0" w14:textId="75EC4395" w:rsidR="002F4B66" w:rsidRPr="00440D6A" w:rsidRDefault="00BD7787" w:rsidP="0064000D">
    <w:pPr>
      <w:pStyle w:val="Footer"/>
      <w:rPr>
        <w:rStyle w:val="PageNumber"/>
      </w:rPr>
    </w:pPr>
    <w:sdt>
      <w:sdtPr>
        <w:id w:val="1135671953"/>
        <w:docPartObj>
          <w:docPartGallery w:val="Page Numbers (Bottom of Page)"/>
          <w:docPartUnique/>
        </w:docPartObj>
      </w:sdtPr>
      <w:sdtEndPr>
        <w:rPr>
          <w:noProof/>
        </w:rPr>
      </w:sdtEndPr>
      <w:sdtContent>
        <w:sdt>
          <w:sdtPr>
            <w:id w:val="-196391902"/>
            <w:docPartObj>
              <w:docPartGallery w:val="Page Numbers (Bottom of Page)"/>
              <w:docPartUnique/>
            </w:docPartObj>
          </w:sdtPr>
          <w:sdtEndPr>
            <w:rPr>
              <w:noProof/>
            </w:rPr>
          </w:sdtEndPr>
          <w:sdtContent>
            <w:r w:rsidR="005D2002">
              <w:t xml:space="preserve">National Guidelines for </w:t>
            </w:r>
            <w:proofErr w:type="spellStart"/>
            <w:r w:rsidR="005D2002">
              <w:t>Dapivirine</w:t>
            </w:r>
            <w:proofErr w:type="spellEnd"/>
            <w:r w:rsidR="005D2002">
              <w:t xml:space="preserve"> Ring Pilot Implementation Studies: </w:t>
            </w:r>
            <w:r w:rsidR="005D2002" w:rsidRPr="00140E4C">
              <w:t>Template Language</w:t>
            </w:r>
            <w:r w:rsidR="005D2002" w:rsidRPr="00FF34CD">
              <w:t xml:space="preserve"> </w:t>
            </w:r>
            <w:r w:rsidR="00487191" w:rsidRPr="00FF34CD">
              <w:t>| Page</w:t>
            </w:r>
            <w:r w:rsidR="00440D6A" w:rsidRPr="00FF34CD">
              <w:t xml:space="preserve"> </w:t>
            </w:r>
            <w:r w:rsidR="00440D6A" w:rsidRPr="00FF34CD">
              <w:fldChar w:fldCharType="begin"/>
            </w:r>
            <w:r w:rsidR="00440D6A" w:rsidRPr="00FF34CD">
              <w:instrText xml:space="preserve"> PAGE   \* MERGEFORMAT </w:instrText>
            </w:r>
            <w:r w:rsidR="00440D6A" w:rsidRPr="00FF34CD">
              <w:fldChar w:fldCharType="separate"/>
            </w:r>
            <w:r w:rsidR="00CD57D7">
              <w:rPr>
                <w:noProof/>
              </w:rPr>
              <w:t>20</w:t>
            </w:r>
            <w:r w:rsidR="00440D6A" w:rsidRPr="00FF34CD">
              <w:fldChar w:fldCharType="end"/>
            </w:r>
          </w:sdtContent>
        </w:sdt>
      </w:sdtContent>
    </w:sdt>
    <w:r w:rsidR="002F4B66">
      <w:rPr>
        <w:noProof/>
      </w:rPr>
      <w:t xml:space="preserve"> </w:t>
    </w:r>
  </w:p>
  <w:p w14:paraId="3651AB16" w14:textId="77777777" w:rsidR="002F4B66" w:rsidRDefault="002F4B66" w:rsidP="00640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FE59" w14:textId="77777777" w:rsidR="00BD7787" w:rsidRDefault="00BD7787" w:rsidP="0064000D">
      <w:r>
        <w:separator/>
      </w:r>
    </w:p>
    <w:p w14:paraId="2BAF707A" w14:textId="77777777" w:rsidR="00BD7787" w:rsidRDefault="00BD7787" w:rsidP="0064000D"/>
    <w:p w14:paraId="047AD17D" w14:textId="77777777" w:rsidR="00BD7787" w:rsidRDefault="00BD7787" w:rsidP="0064000D"/>
  </w:footnote>
  <w:footnote w:type="continuationSeparator" w:id="0">
    <w:p w14:paraId="40891B0D" w14:textId="77777777" w:rsidR="00BD7787" w:rsidRDefault="00BD7787" w:rsidP="0064000D">
      <w:r>
        <w:continuationSeparator/>
      </w:r>
    </w:p>
    <w:p w14:paraId="66DF8C93" w14:textId="77777777" w:rsidR="00BD7787" w:rsidRDefault="00BD7787" w:rsidP="0064000D"/>
    <w:p w14:paraId="2920CEDA" w14:textId="77777777" w:rsidR="00BD7787" w:rsidRDefault="00BD7787" w:rsidP="0064000D"/>
  </w:footnote>
  <w:footnote w:type="continuationNotice" w:id="1">
    <w:p w14:paraId="6E251CDB" w14:textId="77777777" w:rsidR="00BD7787" w:rsidRDefault="00BD778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CE42" w14:textId="0B743B50" w:rsidR="008F631E" w:rsidRPr="00B945B1" w:rsidRDefault="008F631E" w:rsidP="008E4FDF">
    <w:pPr>
      <w:pStyle w:val="Header"/>
      <w:jc w:val="center"/>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554E" w14:textId="628D2C62" w:rsidR="00B7285A" w:rsidRDefault="00BD4F38" w:rsidP="00EB34A4">
    <w:pPr>
      <w:pStyle w:val="Header"/>
      <w:jc w:val="center"/>
    </w:pPr>
    <w:r w:rsidRPr="008B35E0">
      <w:rPr>
        <w:noProof/>
        <w:lang w:eastAsia="en-US"/>
      </w:rPr>
      <mc:AlternateContent>
        <mc:Choice Requires="wps">
          <w:drawing>
            <wp:anchor distT="0" distB="0" distL="114300" distR="114300" simplePos="0" relativeHeight="251658241" behindDoc="0" locked="0" layoutInCell="1" allowOverlap="1" wp14:anchorId="159C39AC" wp14:editId="49082321">
              <wp:simplePos x="0" y="0"/>
              <wp:positionH relativeFrom="page">
                <wp:posOffset>1981200</wp:posOffset>
              </wp:positionH>
              <wp:positionV relativeFrom="paragraph">
                <wp:posOffset>516255</wp:posOffset>
              </wp:positionV>
              <wp:extent cx="3070860" cy="3581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070860" cy="358140"/>
                      </a:xfrm>
                      <a:prstGeom prst="rect">
                        <a:avLst/>
                      </a:prstGeom>
                      <a:noFill/>
                      <a:ln w="6350">
                        <a:noFill/>
                      </a:ln>
                    </wps:spPr>
                    <wps:txbx>
                      <w:txbxContent>
                        <w:p w14:paraId="1024A08F" w14:textId="77777777" w:rsidR="00917FAA" w:rsidRPr="008A0930" w:rsidRDefault="001460E2" w:rsidP="00590482">
                          <w:pPr>
                            <w:pStyle w:val="CHOICEacronym"/>
                            <w:rPr>
                              <w:rStyle w:val="CHOICE"/>
                              <w:rFonts w:ascii="Arial" w:hAnsi="Arial" w:cs="Arial"/>
                              <w:b w:val="0"/>
                              <w:bCs w:val="0"/>
                              <w:sz w:val="17"/>
                              <w:szCs w:val="17"/>
                            </w:rPr>
                          </w:pPr>
                          <w:r w:rsidRPr="008A0930">
                            <w:rPr>
                              <w:rStyle w:val="CHOICE"/>
                              <w:rFonts w:ascii="Arial" w:hAnsi="Arial" w:cs="Arial"/>
                              <w:b w:val="0"/>
                              <w:bCs w:val="0"/>
                              <w:sz w:val="17"/>
                              <w:szCs w:val="17"/>
                            </w:rPr>
                            <w:t>Preparing for Ring Opportunities through</w:t>
                          </w:r>
                        </w:p>
                        <w:p w14:paraId="24A71B22" w14:textId="78D4A0AA" w:rsidR="001460E2" w:rsidRPr="008A0930" w:rsidRDefault="001460E2" w:rsidP="00590482">
                          <w:pPr>
                            <w:pStyle w:val="CHOICEacronym"/>
                            <w:rPr>
                              <w:rFonts w:ascii="Arial" w:hAnsi="Arial" w:cs="Arial"/>
                              <w:b w:val="0"/>
                              <w:bCs w:val="0"/>
                              <w:color w:val="FFFFFF"/>
                              <w:sz w:val="17"/>
                              <w:szCs w:val="17"/>
                            </w:rPr>
                          </w:pPr>
                          <w:r w:rsidRPr="008A0930">
                            <w:rPr>
                              <w:rStyle w:val="CHOICE"/>
                              <w:rFonts w:ascii="Arial" w:hAnsi="Arial" w:cs="Arial"/>
                              <w:b w:val="0"/>
                              <w:bCs w:val="0"/>
                              <w:sz w:val="17"/>
                              <w:szCs w:val="17"/>
                            </w:rPr>
                            <w:t>Market</w:t>
                          </w:r>
                          <w:r w:rsidR="00227982" w:rsidRPr="008A0930">
                            <w:rPr>
                              <w:rStyle w:val="CHOICE"/>
                              <w:rFonts w:ascii="Arial" w:hAnsi="Arial" w:cs="Arial"/>
                              <w:b w:val="0"/>
                              <w:bCs w:val="0"/>
                              <w:sz w:val="17"/>
                              <w:szCs w:val="17"/>
                            </w:rPr>
                            <w:t xml:space="preserve"> </w:t>
                          </w:r>
                          <w:r w:rsidRPr="008A0930">
                            <w:rPr>
                              <w:rStyle w:val="CHOICE"/>
                              <w:rFonts w:ascii="Arial" w:hAnsi="Arial" w:cs="Arial"/>
                              <w:b w:val="0"/>
                              <w:bCs w:val="0"/>
                              <w:sz w:val="17"/>
                              <w:szCs w:val="17"/>
                            </w:rPr>
                            <w:t>Introduction Support and Knowledge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C39AC" id="_x0000_t202" coordsize="21600,21600" o:spt="202" path="m,l,21600r21600,l21600,xe">
              <v:stroke joinstyle="miter"/>
              <v:path gradientshapeok="t" o:connecttype="rect"/>
            </v:shapetype>
            <v:shape id="Text Box 5" o:spid="_x0000_s1027" type="#_x0000_t202" style="position:absolute;left:0;text-align:left;margin-left:156pt;margin-top:40.65pt;width:241.8pt;height:28.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" filled="f" stroked="f" strokeweight=".5pt">
              <v:textbox>
                <w:txbxContent>
                  <w:p w14:paraId="1024A08F" w14:textId="77777777" w:rsidR="00917FAA" w:rsidRPr="008A0930" w:rsidRDefault="001460E2" w:rsidP="00590482">
                    <w:pPr>
                      <w:pStyle w:val="CHOICEacronym"/>
                      <w:rPr>
                        <w:rStyle w:val="CHOICE"/>
                        <w:rFonts w:ascii="Arial" w:hAnsi="Arial" w:cs="Arial"/>
                        <w:b w:val="0"/>
                        <w:bCs w:val="0"/>
                        <w:sz w:val="17"/>
                        <w:szCs w:val="17"/>
                      </w:rPr>
                    </w:pPr>
                    <w:r w:rsidRPr="008A0930">
                      <w:rPr>
                        <w:rStyle w:val="CHOICE"/>
                        <w:rFonts w:ascii="Arial" w:hAnsi="Arial" w:cs="Arial"/>
                        <w:b w:val="0"/>
                        <w:bCs w:val="0"/>
                        <w:sz w:val="17"/>
                        <w:szCs w:val="17"/>
                      </w:rPr>
                      <w:t>Preparing for Ring Opportunities through</w:t>
                    </w:r>
                  </w:p>
                  <w:p w14:paraId="24A71B22" w14:textId="78D4A0AA" w:rsidR="001460E2" w:rsidRPr="008A0930" w:rsidRDefault="001460E2" w:rsidP="00590482">
                    <w:pPr>
                      <w:pStyle w:val="CHOICEacronym"/>
                      <w:rPr>
                        <w:rFonts w:ascii="Arial" w:hAnsi="Arial" w:cs="Arial"/>
                        <w:b w:val="0"/>
                        <w:bCs w:val="0"/>
                        <w:color w:val="FFFFFF"/>
                        <w:sz w:val="17"/>
                        <w:szCs w:val="17"/>
                      </w:rPr>
                    </w:pPr>
                    <w:r w:rsidRPr="008A0930">
                      <w:rPr>
                        <w:rStyle w:val="CHOICE"/>
                        <w:rFonts w:ascii="Arial" w:hAnsi="Arial" w:cs="Arial"/>
                        <w:b w:val="0"/>
                        <w:bCs w:val="0"/>
                        <w:sz w:val="17"/>
                        <w:szCs w:val="17"/>
                      </w:rPr>
                      <w:t>Market</w:t>
                    </w:r>
                    <w:r w:rsidR="00227982" w:rsidRPr="008A0930">
                      <w:rPr>
                        <w:rStyle w:val="CHOICE"/>
                        <w:rFonts w:ascii="Arial" w:hAnsi="Arial" w:cs="Arial"/>
                        <w:b w:val="0"/>
                        <w:bCs w:val="0"/>
                        <w:sz w:val="17"/>
                        <w:szCs w:val="17"/>
                      </w:rPr>
                      <w:t xml:space="preserve"> </w:t>
                    </w:r>
                    <w:r w:rsidRPr="008A0930">
                      <w:rPr>
                        <w:rStyle w:val="CHOICE"/>
                        <w:rFonts w:ascii="Arial" w:hAnsi="Arial" w:cs="Arial"/>
                        <w:b w:val="0"/>
                        <w:bCs w:val="0"/>
                        <w:sz w:val="17"/>
                        <w:szCs w:val="17"/>
                      </w:rPr>
                      <w:t>Introduction Support and Knowledge Exchange</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1D5F" w14:textId="3C831DAA" w:rsidR="00EB34A4" w:rsidRDefault="00EB34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B9AB" w14:textId="0D15CB38" w:rsidR="00EB34A4" w:rsidRDefault="00EB34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E698" w14:textId="70926D97" w:rsidR="0035143B" w:rsidRDefault="0035143B" w:rsidP="0064000D">
    <w:pPr>
      <w:pStyle w:val="Header"/>
    </w:pPr>
  </w:p>
</w:hdr>
</file>

<file path=word/intelligence.xml><?xml version="1.0" encoding="utf-8"?>
<int:Intelligence xmlns:int="http://schemas.microsoft.com/office/intelligence/2019/intelligence">
  <int:IntelligenceSettings/>
  <int:Manifest>
    <int:WordHash hashCode="KRanK8MB6zyw0H" id="63tVq3cu"/>
  </int:Manifest>
  <int:Observations>
    <int:Content id="63tVq3c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718D"/>
    <w:multiLevelType w:val="hybridMultilevel"/>
    <w:tmpl w:val="E5245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F70E9"/>
    <w:multiLevelType w:val="hybridMultilevel"/>
    <w:tmpl w:val="D55481BC"/>
    <w:lvl w:ilvl="0" w:tplc="98547784">
      <w:start w:val="1"/>
      <w:numFmt w:val="bullet"/>
      <w:lvlText w:val=""/>
      <w:lvlJc w:val="left"/>
      <w:pPr>
        <w:ind w:left="864" w:hanging="504"/>
      </w:pPr>
      <w:rPr>
        <w:rFonts w:ascii="Wingdings" w:hAnsi="Wingdings" w:cs="Wingdings" w:hint="default"/>
        <w:color w:val="E620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6391"/>
    <w:multiLevelType w:val="hybridMultilevel"/>
    <w:tmpl w:val="58423FF2"/>
    <w:lvl w:ilvl="0" w:tplc="24985D80">
      <w:start w:val="1"/>
      <w:numFmt w:val="bullet"/>
      <w:pStyle w:val="RiseBulletLevel1bl1"/>
      <w:lvlText w:val=""/>
      <w:lvlJc w:val="left"/>
      <w:pPr>
        <w:ind w:left="360" w:hanging="360"/>
      </w:pPr>
      <w:rPr>
        <w:rFonts w:ascii="Wingdings" w:hAnsi="Wingdings" w:hint="default"/>
        <w:b w:val="0"/>
        <w:bCs/>
        <w:color w:val="00667D"/>
        <w:sz w:val="16"/>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A3663"/>
    <w:multiLevelType w:val="hybridMultilevel"/>
    <w:tmpl w:val="4F6C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B3D89"/>
    <w:multiLevelType w:val="hybridMultilevel"/>
    <w:tmpl w:val="19E2511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92A6A2C"/>
    <w:multiLevelType w:val="hybridMultilevel"/>
    <w:tmpl w:val="F41C7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FC30DC2"/>
    <w:multiLevelType w:val="hybridMultilevel"/>
    <w:tmpl w:val="134C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8098F"/>
    <w:multiLevelType w:val="hybridMultilevel"/>
    <w:tmpl w:val="C17C64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345C6803"/>
    <w:multiLevelType w:val="hybridMultilevel"/>
    <w:tmpl w:val="09988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496C8B"/>
    <w:multiLevelType w:val="hybridMultilevel"/>
    <w:tmpl w:val="D9587FCC"/>
    <w:lvl w:ilvl="0" w:tplc="64882B0A">
      <w:start w:val="1"/>
      <w:numFmt w:val="bullet"/>
      <w:lvlText w:val=""/>
      <w:lvlJc w:val="left"/>
      <w:pPr>
        <w:ind w:left="864" w:hanging="864"/>
      </w:pPr>
      <w:rPr>
        <w:rFonts w:ascii="Wingdings" w:hAnsi="Wingdings" w:cs="Wingdings" w:hint="default"/>
        <w:color w:val="E620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44D5B"/>
    <w:multiLevelType w:val="hybridMultilevel"/>
    <w:tmpl w:val="C868F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5C6215"/>
    <w:multiLevelType w:val="multilevel"/>
    <w:tmpl w:val="134CCD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F849A0"/>
    <w:multiLevelType w:val="hybridMultilevel"/>
    <w:tmpl w:val="8CB0B524"/>
    <w:lvl w:ilvl="0" w:tplc="26A296A6">
      <w:start w:val="1"/>
      <w:numFmt w:val="bullet"/>
      <w:lvlText w:val=""/>
      <w:lvlJc w:val="left"/>
      <w:pPr>
        <w:ind w:left="648" w:hanging="288"/>
      </w:pPr>
      <w:rPr>
        <w:rFonts w:ascii="Wingdings" w:hAnsi="Wingdings" w:cs="Wingdings" w:hint="default"/>
        <w:color w:val="E620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452F2"/>
    <w:multiLevelType w:val="multilevel"/>
    <w:tmpl w:val="8CB0B524"/>
    <w:lvl w:ilvl="0">
      <w:start w:val="1"/>
      <w:numFmt w:val="bullet"/>
      <w:lvlText w:val=""/>
      <w:lvlJc w:val="left"/>
      <w:pPr>
        <w:ind w:left="648" w:hanging="288"/>
      </w:pPr>
      <w:rPr>
        <w:rFonts w:ascii="Wingdings" w:hAnsi="Wingdings" w:cs="Wingdings" w:hint="default"/>
        <w:color w:val="E6202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2C4978"/>
    <w:multiLevelType w:val="multilevel"/>
    <w:tmpl w:val="D55481BC"/>
    <w:lvl w:ilvl="0">
      <w:start w:val="1"/>
      <w:numFmt w:val="bullet"/>
      <w:lvlText w:val=""/>
      <w:lvlJc w:val="left"/>
      <w:pPr>
        <w:ind w:left="864" w:hanging="504"/>
      </w:pPr>
      <w:rPr>
        <w:rFonts w:ascii="Wingdings" w:hAnsi="Wingdings" w:cs="Wingdings" w:hint="default"/>
        <w:color w:val="E6202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FC50B0"/>
    <w:multiLevelType w:val="hybridMultilevel"/>
    <w:tmpl w:val="0C7C4608"/>
    <w:lvl w:ilvl="0" w:tplc="B7605E3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5F4E4E"/>
    <w:multiLevelType w:val="hybridMultilevel"/>
    <w:tmpl w:val="B5983DF2"/>
    <w:lvl w:ilvl="0" w:tplc="C4C43BEC">
      <w:start w:val="1"/>
      <w:numFmt w:val="bullet"/>
      <w:pStyle w:val="BodyBullets"/>
      <w:lvlText w:val=""/>
      <w:lvlJc w:val="left"/>
      <w:pPr>
        <w:ind w:left="1242" w:hanging="360"/>
      </w:pPr>
      <w:rPr>
        <w:rFonts w:ascii="Wingdings" w:hAnsi="Wingdings" w:cs="Wingdings" w:hint="default"/>
        <w:color w:val="557A8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D544F"/>
    <w:multiLevelType w:val="hybridMultilevel"/>
    <w:tmpl w:val="EEE450D2"/>
    <w:lvl w:ilvl="0" w:tplc="E6389A9C">
      <w:start w:val="1"/>
      <w:numFmt w:val="bullet"/>
      <w:pStyle w:val="Tablebullets"/>
      <w:lvlText w:val=""/>
      <w:lvlJc w:val="left"/>
      <w:pPr>
        <w:ind w:left="803" w:hanging="360"/>
      </w:pPr>
      <w:rPr>
        <w:rFonts w:ascii="Wingdings" w:hAnsi="Wingdings" w:cs="Wingdings" w:hint="default"/>
        <w:color w:val="557A89" w:themeColor="accent2"/>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8" w15:restartNumberingAfterBreak="0">
    <w:nsid w:val="6E451F10"/>
    <w:multiLevelType w:val="hybridMultilevel"/>
    <w:tmpl w:val="E52450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854002"/>
    <w:multiLevelType w:val="multilevel"/>
    <w:tmpl w:val="D9587FCC"/>
    <w:lvl w:ilvl="0">
      <w:start w:val="1"/>
      <w:numFmt w:val="bullet"/>
      <w:lvlText w:val=""/>
      <w:lvlJc w:val="left"/>
      <w:pPr>
        <w:ind w:left="864" w:hanging="864"/>
      </w:pPr>
      <w:rPr>
        <w:rFonts w:ascii="Wingdings" w:hAnsi="Wingdings" w:cs="Wingdings" w:hint="default"/>
        <w:color w:val="E6202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2C317A"/>
    <w:multiLevelType w:val="hybridMultilevel"/>
    <w:tmpl w:val="ACD29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1"/>
  </w:num>
  <w:num w:numId="5">
    <w:abstractNumId w:val="14"/>
  </w:num>
  <w:num w:numId="6">
    <w:abstractNumId w:val="9"/>
  </w:num>
  <w:num w:numId="7">
    <w:abstractNumId w:val="19"/>
  </w:num>
  <w:num w:numId="8">
    <w:abstractNumId w:val="12"/>
  </w:num>
  <w:num w:numId="9">
    <w:abstractNumId w:val="13"/>
  </w:num>
  <w:num w:numId="10">
    <w:abstractNumId w:val="16"/>
  </w:num>
  <w:num w:numId="11">
    <w:abstractNumId w:val="17"/>
  </w:num>
  <w:num w:numId="12">
    <w:abstractNumId w:val="5"/>
  </w:num>
  <w:num w:numId="13">
    <w:abstractNumId w:val="8"/>
  </w:num>
  <w:num w:numId="14">
    <w:abstractNumId w:val="20"/>
  </w:num>
  <w:num w:numId="15">
    <w:abstractNumId w:val="3"/>
  </w:num>
  <w:num w:numId="16">
    <w:abstractNumId w:val="7"/>
  </w:num>
  <w:num w:numId="17">
    <w:abstractNumId w:val="0"/>
  </w:num>
  <w:num w:numId="18">
    <w:abstractNumId w:val="15"/>
  </w:num>
  <w:num w:numId="19">
    <w:abstractNumId w:val="10"/>
  </w:num>
  <w:num w:numId="20">
    <w:abstractNumId w:val="18"/>
  </w:num>
  <w:num w:numId="21">
    <w:abstractNumId w:val="2"/>
  </w:num>
  <w:num w:numId="22">
    <w:abstractNumId w:val="17"/>
  </w:num>
  <w:num w:numId="23">
    <w:abstractNumId w:val="1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zMDExN7cwNbQwNzFU0lEKTi0uzszPAykwrAUAkLRFiSwAAAA="/>
  </w:docVars>
  <w:rsids>
    <w:rsidRoot w:val="00C4647F"/>
    <w:rsid w:val="000015AC"/>
    <w:rsid w:val="00002016"/>
    <w:rsid w:val="00011CB2"/>
    <w:rsid w:val="000123BC"/>
    <w:rsid w:val="000128C6"/>
    <w:rsid w:val="000148D4"/>
    <w:rsid w:val="00015339"/>
    <w:rsid w:val="00022E02"/>
    <w:rsid w:val="00022FC3"/>
    <w:rsid w:val="000238E6"/>
    <w:rsid w:val="00023D57"/>
    <w:rsid w:val="00024761"/>
    <w:rsid w:val="000254BD"/>
    <w:rsid w:val="00042FD1"/>
    <w:rsid w:val="00043CF1"/>
    <w:rsid w:val="00046319"/>
    <w:rsid w:val="000539BD"/>
    <w:rsid w:val="00053AB7"/>
    <w:rsid w:val="00055E94"/>
    <w:rsid w:val="0006314A"/>
    <w:rsid w:val="0006633F"/>
    <w:rsid w:val="000677B8"/>
    <w:rsid w:val="00081CF3"/>
    <w:rsid w:val="00086658"/>
    <w:rsid w:val="000875F5"/>
    <w:rsid w:val="0009041C"/>
    <w:rsid w:val="00092B5D"/>
    <w:rsid w:val="000B1B26"/>
    <w:rsid w:val="000B6C60"/>
    <w:rsid w:val="000B6DFF"/>
    <w:rsid w:val="000C123D"/>
    <w:rsid w:val="000C2E38"/>
    <w:rsid w:val="000C6A70"/>
    <w:rsid w:val="000D4354"/>
    <w:rsid w:val="000D4BFF"/>
    <w:rsid w:val="000D7E72"/>
    <w:rsid w:val="000E331A"/>
    <w:rsid w:val="000E3CB7"/>
    <w:rsid w:val="000E4438"/>
    <w:rsid w:val="000E4BEA"/>
    <w:rsid w:val="000E5FF6"/>
    <w:rsid w:val="000F0971"/>
    <w:rsid w:val="000F547F"/>
    <w:rsid w:val="000F6E5B"/>
    <w:rsid w:val="0011364D"/>
    <w:rsid w:val="00117C10"/>
    <w:rsid w:val="00123BAB"/>
    <w:rsid w:val="00132469"/>
    <w:rsid w:val="00132A6F"/>
    <w:rsid w:val="001350D0"/>
    <w:rsid w:val="00140E4C"/>
    <w:rsid w:val="001460E2"/>
    <w:rsid w:val="00155E5D"/>
    <w:rsid w:val="001602F9"/>
    <w:rsid w:val="00160B5A"/>
    <w:rsid w:val="0016337D"/>
    <w:rsid w:val="00165D6C"/>
    <w:rsid w:val="00170859"/>
    <w:rsid w:val="00170CE3"/>
    <w:rsid w:val="001754B1"/>
    <w:rsid w:val="001912C8"/>
    <w:rsid w:val="00193A83"/>
    <w:rsid w:val="00196308"/>
    <w:rsid w:val="001A312D"/>
    <w:rsid w:val="001A4C7D"/>
    <w:rsid w:val="001A5D18"/>
    <w:rsid w:val="001A6B5F"/>
    <w:rsid w:val="001B23CB"/>
    <w:rsid w:val="001B36AB"/>
    <w:rsid w:val="001B7AED"/>
    <w:rsid w:val="001C1BE2"/>
    <w:rsid w:val="001C2D52"/>
    <w:rsid w:val="001C33DC"/>
    <w:rsid w:val="001C3A53"/>
    <w:rsid w:val="001C64DC"/>
    <w:rsid w:val="001C7298"/>
    <w:rsid w:val="001D16D0"/>
    <w:rsid w:val="001D515E"/>
    <w:rsid w:val="001D60EE"/>
    <w:rsid w:val="001E26DE"/>
    <w:rsid w:val="001F0811"/>
    <w:rsid w:val="00202D9E"/>
    <w:rsid w:val="00204109"/>
    <w:rsid w:val="0020442E"/>
    <w:rsid w:val="00206A2F"/>
    <w:rsid w:val="00206CD8"/>
    <w:rsid w:val="0021392C"/>
    <w:rsid w:val="00222C06"/>
    <w:rsid w:val="0022471A"/>
    <w:rsid w:val="00227982"/>
    <w:rsid w:val="00230678"/>
    <w:rsid w:val="002402FA"/>
    <w:rsid w:val="00240495"/>
    <w:rsid w:val="00241511"/>
    <w:rsid w:val="00242236"/>
    <w:rsid w:val="002508E1"/>
    <w:rsid w:val="00251ACE"/>
    <w:rsid w:val="00254CCD"/>
    <w:rsid w:val="00257604"/>
    <w:rsid w:val="0026527E"/>
    <w:rsid w:val="00265A6E"/>
    <w:rsid w:val="00265EA7"/>
    <w:rsid w:val="00270A15"/>
    <w:rsid w:val="0027374B"/>
    <w:rsid w:val="002744EA"/>
    <w:rsid w:val="0027591D"/>
    <w:rsid w:val="00283FC1"/>
    <w:rsid w:val="00284598"/>
    <w:rsid w:val="002845C1"/>
    <w:rsid w:val="002850BD"/>
    <w:rsid w:val="00285AD4"/>
    <w:rsid w:val="00285C9C"/>
    <w:rsid w:val="00287092"/>
    <w:rsid w:val="002901E6"/>
    <w:rsid w:val="00291009"/>
    <w:rsid w:val="002924CF"/>
    <w:rsid w:val="00293274"/>
    <w:rsid w:val="00293D51"/>
    <w:rsid w:val="00295CE8"/>
    <w:rsid w:val="00296221"/>
    <w:rsid w:val="00297C67"/>
    <w:rsid w:val="002A1AE6"/>
    <w:rsid w:val="002A3170"/>
    <w:rsid w:val="002A3C2E"/>
    <w:rsid w:val="002A46DD"/>
    <w:rsid w:val="002B2A49"/>
    <w:rsid w:val="002B4B97"/>
    <w:rsid w:val="002B7AA0"/>
    <w:rsid w:val="002C1EAA"/>
    <w:rsid w:val="002C4DF1"/>
    <w:rsid w:val="002C5255"/>
    <w:rsid w:val="002C56E4"/>
    <w:rsid w:val="002D2577"/>
    <w:rsid w:val="002D298B"/>
    <w:rsid w:val="002D58F1"/>
    <w:rsid w:val="002D5B70"/>
    <w:rsid w:val="002D7325"/>
    <w:rsid w:val="002E4084"/>
    <w:rsid w:val="002E74E2"/>
    <w:rsid w:val="002F0354"/>
    <w:rsid w:val="002F4154"/>
    <w:rsid w:val="002F4B66"/>
    <w:rsid w:val="00300335"/>
    <w:rsid w:val="00302064"/>
    <w:rsid w:val="00303A4F"/>
    <w:rsid w:val="003059E7"/>
    <w:rsid w:val="003072F2"/>
    <w:rsid w:val="00311724"/>
    <w:rsid w:val="00314401"/>
    <w:rsid w:val="00314F59"/>
    <w:rsid w:val="003174B6"/>
    <w:rsid w:val="00326D92"/>
    <w:rsid w:val="00333330"/>
    <w:rsid w:val="00336C6E"/>
    <w:rsid w:val="00340F16"/>
    <w:rsid w:val="00341216"/>
    <w:rsid w:val="00342A1A"/>
    <w:rsid w:val="00343F5B"/>
    <w:rsid w:val="00347E3E"/>
    <w:rsid w:val="0035039B"/>
    <w:rsid w:val="0035143B"/>
    <w:rsid w:val="00352A8F"/>
    <w:rsid w:val="003600C6"/>
    <w:rsid w:val="00363A14"/>
    <w:rsid w:val="00365328"/>
    <w:rsid w:val="00370DEB"/>
    <w:rsid w:val="0037139C"/>
    <w:rsid w:val="00372209"/>
    <w:rsid w:val="00373F4E"/>
    <w:rsid w:val="00377276"/>
    <w:rsid w:val="00377E76"/>
    <w:rsid w:val="00377E93"/>
    <w:rsid w:val="0038021F"/>
    <w:rsid w:val="003808A6"/>
    <w:rsid w:val="00380A13"/>
    <w:rsid w:val="003A31C9"/>
    <w:rsid w:val="003A47A3"/>
    <w:rsid w:val="003A697E"/>
    <w:rsid w:val="003A712F"/>
    <w:rsid w:val="003A7DC1"/>
    <w:rsid w:val="003B6EED"/>
    <w:rsid w:val="003C30AD"/>
    <w:rsid w:val="003C4958"/>
    <w:rsid w:val="003C4C6E"/>
    <w:rsid w:val="003D173B"/>
    <w:rsid w:val="003D23CF"/>
    <w:rsid w:val="003D4683"/>
    <w:rsid w:val="003D5CB4"/>
    <w:rsid w:val="003E06D5"/>
    <w:rsid w:val="003E0C46"/>
    <w:rsid w:val="003E117A"/>
    <w:rsid w:val="003E32E2"/>
    <w:rsid w:val="003E483A"/>
    <w:rsid w:val="003E6D38"/>
    <w:rsid w:val="003E7484"/>
    <w:rsid w:val="003E787B"/>
    <w:rsid w:val="003F2F19"/>
    <w:rsid w:val="003F56E0"/>
    <w:rsid w:val="003F738E"/>
    <w:rsid w:val="00402315"/>
    <w:rsid w:val="0040399A"/>
    <w:rsid w:val="004048C6"/>
    <w:rsid w:val="0040731A"/>
    <w:rsid w:val="004148F5"/>
    <w:rsid w:val="00415148"/>
    <w:rsid w:val="00416705"/>
    <w:rsid w:val="00421DF0"/>
    <w:rsid w:val="004255F9"/>
    <w:rsid w:val="00431847"/>
    <w:rsid w:val="0044002D"/>
    <w:rsid w:val="00440909"/>
    <w:rsid w:val="00440D6A"/>
    <w:rsid w:val="004421CC"/>
    <w:rsid w:val="00443CA1"/>
    <w:rsid w:val="00445965"/>
    <w:rsid w:val="0044758C"/>
    <w:rsid w:val="004530DF"/>
    <w:rsid w:val="00455E8C"/>
    <w:rsid w:val="0046213E"/>
    <w:rsid w:val="00475B18"/>
    <w:rsid w:val="00476524"/>
    <w:rsid w:val="004833E0"/>
    <w:rsid w:val="00483FCF"/>
    <w:rsid w:val="00486919"/>
    <w:rsid w:val="00487191"/>
    <w:rsid w:val="0048771B"/>
    <w:rsid w:val="004879A1"/>
    <w:rsid w:val="004879DA"/>
    <w:rsid w:val="0049578F"/>
    <w:rsid w:val="00495E6D"/>
    <w:rsid w:val="00496750"/>
    <w:rsid w:val="00496896"/>
    <w:rsid w:val="004A6B0F"/>
    <w:rsid w:val="004A792B"/>
    <w:rsid w:val="004B52B8"/>
    <w:rsid w:val="004B6972"/>
    <w:rsid w:val="004C01A7"/>
    <w:rsid w:val="004C4D12"/>
    <w:rsid w:val="004D03DD"/>
    <w:rsid w:val="004D1A3F"/>
    <w:rsid w:val="004D6FBC"/>
    <w:rsid w:val="004D74FB"/>
    <w:rsid w:val="004E1C7E"/>
    <w:rsid w:val="004E35F9"/>
    <w:rsid w:val="004E4224"/>
    <w:rsid w:val="004E5F5B"/>
    <w:rsid w:val="004E7DF9"/>
    <w:rsid w:val="004F0971"/>
    <w:rsid w:val="004F2CCD"/>
    <w:rsid w:val="00501883"/>
    <w:rsid w:val="00505845"/>
    <w:rsid w:val="0050737D"/>
    <w:rsid w:val="00510673"/>
    <w:rsid w:val="00511535"/>
    <w:rsid w:val="00511F18"/>
    <w:rsid w:val="005130BF"/>
    <w:rsid w:val="00514F9E"/>
    <w:rsid w:val="005151E4"/>
    <w:rsid w:val="00526211"/>
    <w:rsid w:val="00531722"/>
    <w:rsid w:val="005318C6"/>
    <w:rsid w:val="00532916"/>
    <w:rsid w:val="0053680A"/>
    <w:rsid w:val="0054495F"/>
    <w:rsid w:val="0054693E"/>
    <w:rsid w:val="005474DD"/>
    <w:rsid w:val="005513AE"/>
    <w:rsid w:val="005556EA"/>
    <w:rsid w:val="00555AE8"/>
    <w:rsid w:val="00557A2A"/>
    <w:rsid w:val="005605DF"/>
    <w:rsid w:val="005610B8"/>
    <w:rsid w:val="005731CE"/>
    <w:rsid w:val="00577395"/>
    <w:rsid w:val="00581288"/>
    <w:rsid w:val="00582448"/>
    <w:rsid w:val="00590482"/>
    <w:rsid w:val="0059294E"/>
    <w:rsid w:val="0059764C"/>
    <w:rsid w:val="005977FF"/>
    <w:rsid w:val="005A2B2F"/>
    <w:rsid w:val="005A4F91"/>
    <w:rsid w:val="005A7623"/>
    <w:rsid w:val="005B0C14"/>
    <w:rsid w:val="005B0F4A"/>
    <w:rsid w:val="005B213F"/>
    <w:rsid w:val="005B4F55"/>
    <w:rsid w:val="005B72C1"/>
    <w:rsid w:val="005C0481"/>
    <w:rsid w:val="005C4F1C"/>
    <w:rsid w:val="005C6F52"/>
    <w:rsid w:val="005D0238"/>
    <w:rsid w:val="005D050D"/>
    <w:rsid w:val="005D2002"/>
    <w:rsid w:val="005D3027"/>
    <w:rsid w:val="005D4333"/>
    <w:rsid w:val="005D5EE7"/>
    <w:rsid w:val="005D7FC7"/>
    <w:rsid w:val="005E46F9"/>
    <w:rsid w:val="005F6BEC"/>
    <w:rsid w:val="005F6E44"/>
    <w:rsid w:val="00602E78"/>
    <w:rsid w:val="0060396B"/>
    <w:rsid w:val="00605F1F"/>
    <w:rsid w:val="0061511D"/>
    <w:rsid w:val="0061514A"/>
    <w:rsid w:val="00616424"/>
    <w:rsid w:val="0062028D"/>
    <w:rsid w:val="006208F2"/>
    <w:rsid w:val="00623812"/>
    <w:rsid w:val="00625C3C"/>
    <w:rsid w:val="006274FB"/>
    <w:rsid w:val="006303FB"/>
    <w:rsid w:val="00630A35"/>
    <w:rsid w:val="00632796"/>
    <w:rsid w:val="006342D2"/>
    <w:rsid w:val="00634D0E"/>
    <w:rsid w:val="006366A4"/>
    <w:rsid w:val="00636C39"/>
    <w:rsid w:val="0064000D"/>
    <w:rsid w:val="00643F78"/>
    <w:rsid w:val="00650387"/>
    <w:rsid w:val="00661465"/>
    <w:rsid w:val="0066372D"/>
    <w:rsid w:val="006723B8"/>
    <w:rsid w:val="0067299E"/>
    <w:rsid w:val="006808DF"/>
    <w:rsid w:val="00681603"/>
    <w:rsid w:val="00682A5E"/>
    <w:rsid w:val="00682E8A"/>
    <w:rsid w:val="00686041"/>
    <w:rsid w:val="00690BDD"/>
    <w:rsid w:val="00691483"/>
    <w:rsid w:val="00692061"/>
    <w:rsid w:val="00695C64"/>
    <w:rsid w:val="0069B651"/>
    <w:rsid w:val="006A060C"/>
    <w:rsid w:val="006A33CC"/>
    <w:rsid w:val="006A7C11"/>
    <w:rsid w:val="006B0168"/>
    <w:rsid w:val="006B2005"/>
    <w:rsid w:val="006B6B6D"/>
    <w:rsid w:val="006C20C3"/>
    <w:rsid w:val="006C4383"/>
    <w:rsid w:val="006C4C93"/>
    <w:rsid w:val="006C73EF"/>
    <w:rsid w:val="006D4C2A"/>
    <w:rsid w:val="006D769D"/>
    <w:rsid w:val="006E5E56"/>
    <w:rsid w:val="006E6E47"/>
    <w:rsid w:val="006F10D1"/>
    <w:rsid w:val="006F244C"/>
    <w:rsid w:val="006F24E6"/>
    <w:rsid w:val="006F56EF"/>
    <w:rsid w:val="006F5D5F"/>
    <w:rsid w:val="006F7D93"/>
    <w:rsid w:val="007022F9"/>
    <w:rsid w:val="00702DCD"/>
    <w:rsid w:val="00710783"/>
    <w:rsid w:val="00711401"/>
    <w:rsid w:val="00714746"/>
    <w:rsid w:val="00715A4C"/>
    <w:rsid w:val="00720D87"/>
    <w:rsid w:val="00720EED"/>
    <w:rsid w:val="007278DB"/>
    <w:rsid w:val="007315F8"/>
    <w:rsid w:val="00732061"/>
    <w:rsid w:val="00732AEC"/>
    <w:rsid w:val="007333FA"/>
    <w:rsid w:val="00736A3C"/>
    <w:rsid w:val="00741012"/>
    <w:rsid w:val="00742775"/>
    <w:rsid w:val="00743183"/>
    <w:rsid w:val="0075207E"/>
    <w:rsid w:val="00754457"/>
    <w:rsid w:val="007545A7"/>
    <w:rsid w:val="00755636"/>
    <w:rsid w:val="007572EB"/>
    <w:rsid w:val="007601F6"/>
    <w:rsid w:val="00764797"/>
    <w:rsid w:val="0076604E"/>
    <w:rsid w:val="007660A0"/>
    <w:rsid w:val="007725E9"/>
    <w:rsid w:val="00773D2B"/>
    <w:rsid w:val="0077443D"/>
    <w:rsid w:val="00781305"/>
    <w:rsid w:val="007820BB"/>
    <w:rsid w:val="007866FC"/>
    <w:rsid w:val="00786D29"/>
    <w:rsid w:val="00793652"/>
    <w:rsid w:val="007A1B05"/>
    <w:rsid w:val="007A2337"/>
    <w:rsid w:val="007A2618"/>
    <w:rsid w:val="007A627E"/>
    <w:rsid w:val="007B0AB4"/>
    <w:rsid w:val="007B437C"/>
    <w:rsid w:val="007B717A"/>
    <w:rsid w:val="007D3580"/>
    <w:rsid w:val="007D575E"/>
    <w:rsid w:val="007E1E1B"/>
    <w:rsid w:val="007E27C8"/>
    <w:rsid w:val="007E4B79"/>
    <w:rsid w:val="007E61C6"/>
    <w:rsid w:val="007F0FFF"/>
    <w:rsid w:val="007F457D"/>
    <w:rsid w:val="007F6FA5"/>
    <w:rsid w:val="00802046"/>
    <w:rsid w:val="008075E7"/>
    <w:rsid w:val="0081085E"/>
    <w:rsid w:val="00815B85"/>
    <w:rsid w:val="00815D5E"/>
    <w:rsid w:val="0081729C"/>
    <w:rsid w:val="008173B6"/>
    <w:rsid w:val="0081758D"/>
    <w:rsid w:val="00822F67"/>
    <w:rsid w:val="00827603"/>
    <w:rsid w:val="00830795"/>
    <w:rsid w:val="00831985"/>
    <w:rsid w:val="008328A8"/>
    <w:rsid w:val="0083550A"/>
    <w:rsid w:val="00835750"/>
    <w:rsid w:val="00837B5A"/>
    <w:rsid w:val="008428A0"/>
    <w:rsid w:val="00847C4B"/>
    <w:rsid w:val="00850B66"/>
    <w:rsid w:val="00850C81"/>
    <w:rsid w:val="008550B1"/>
    <w:rsid w:val="00857DAF"/>
    <w:rsid w:val="00862D1D"/>
    <w:rsid w:val="00862D63"/>
    <w:rsid w:val="00863844"/>
    <w:rsid w:val="0086463B"/>
    <w:rsid w:val="00864651"/>
    <w:rsid w:val="008672FC"/>
    <w:rsid w:val="00867E33"/>
    <w:rsid w:val="0087126F"/>
    <w:rsid w:val="008725D1"/>
    <w:rsid w:val="008771E7"/>
    <w:rsid w:val="00880E25"/>
    <w:rsid w:val="00887509"/>
    <w:rsid w:val="008926F8"/>
    <w:rsid w:val="008928D1"/>
    <w:rsid w:val="00892E5C"/>
    <w:rsid w:val="008A0930"/>
    <w:rsid w:val="008A22FE"/>
    <w:rsid w:val="008B2257"/>
    <w:rsid w:val="008B35E0"/>
    <w:rsid w:val="008C20A6"/>
    <w:rsid w:val="008C24C8"/>
    <w:rsid w:val="008C36EE"/>
    <w:rsid w:val="008D507A"/>
    <w:rsid w:val="008D7CDE"/>
    <w:rsid w:val="008E4FDF"/>
    <w:rsid w:val="008F082E"/>
    <w:rsid w:val="008F17B5"/>
    <w:rsid w:val="008F2AB6"/>
    <w:rsid w:val="008F2C01"/>
    <w:rsid w:val="008F312D"/>
    <w:rsid w:val="008F3536"/>
    <w:rsid w:val="008F3CA8"/>
    <w:rsid w:val="008F5168"/>
    <w:rsid w:val="008F51AE"/>
    <w:rsid w:val="008F62C0"/>
    <w:rsid w:val="008F631E"/>
    <w:rsid w:val="00901FEB"/>
    <w:rsid w:val="00903F92"/>
    <w:rsid w:val="0090450C"/>
    <w:rsid w:val="00904764"/>
    <w:rsid w:val="009174BF"/>
    <w:rsid w:val="00917FAA"/>
    <w:rsid w:val="00921020"/>
    <w:rsid w:val="009225EC"/>
    <w:rsid w:val="009225FF"/>
    <w:rsid w:val="0092453E"/>
    <w:rsid w:val="00925C44"/>
    <w:rsid w:val="009275F9"/>
    <w:rsid w:val="00935C11"/>
    <w:rsid w:val="009363D5"/>
    <w:rsid w:val="00937EE0"/>
    <w:rsid w:val="00940A7F"/>
    <w:rsid w:val="00941B57"/>
    <w:rsid w:val="00952902"/>
    <w:rsid w:val="00954C43"/>
    <w:rsid w:val="00955285"/>
    <w:rsid w:val="00955B3C"/>
    <w:rsid w:val="009569EC"/>
    <w:rsid w:val="00957A30"/>
    <w:rsid w:val="00962D55"/>
    <w:rsid w:val="009650D1"/>
    <w:rsid w:val="009709AD"/>
    <w:rsid w:val="00974CE5"/>
    <w:rsid w:val="00975288"/>
    <w:rsid w:val="009754D5"/>
    <w:rsid w:val="009758A8"/>
    <w:rsid w:val="00981DA5"/>
    <w:rsid w:val="009838C3"/>
    <w:rsid w:val="00986006"/>
    <w:rsid w:val="009945F5"/>
    <w:rsid w:val="00997A45"/>
    <w:rsid w:val="009A0EB0"/>
    <w:rsid w:val="009A5B65"/>
    <w:rsid w:val="009A5EBB"/>
    <w:rsid w:val="009B0403"/>
    <w:rsid w:val="009B31EC"/>
    <w:rsid w:val="009B52B8"/>
    <w:rsid w:val="009B63E5"/>
    <w:rsid w:val="009B7028"/>
    <w:rsid w:val="009C0F9D"/>
    <w:rsid w:val="009C43F3"/>
    <w:rsid w:val="009D0A1F"/>
    <w:rsid w:val="009D435A"/>
    <w:rsid w:val="009D65EB"/>
    <w:rsid w:val="009DB9F8"/>
    <w:rsid w:val="009E04B5"/>
    <w:rsid w:val="009E29F3"/>
    <w:rsid w:val="009E3D72"/>
    <w:rsid w:val="009E3EB9"/>
    <w:rsid w:val="009F1FF5"/>
    <w:rsid w:val="009F2010"/>
    <w:rsid w:val="009F25D0"/>
    <w:rsid w:val="009F2FDF"/>
    <w:rsid w:val="009F49AB"/>
    <w:rsid w:val="009F4D42"/>
    <w:rsid w:val="009F513C"/>
    <w:rsid w:val="009F601D"/>
    <w:rsid w:val="009F60C5"/>
    <w:rsid w:val="009F7F9B"/>
    <w:rsid w:val="00A010D4"/>
    <w:rsid w:val="00A02769"/>
    <w:rsid w:val="00A0638C"/>
    <w:rsid w:val="00A116BC"/>
    <w:rsid w:val="00A118B4"/>
    <w:rsid w:val="00A13034"/>
    <w:rsid w:val="00A15468"/>
    <w:rsid w:val="00A16D59"/>
    <w:rsid w:val="00A173B1"/>
    <w:rsid w:val="00A23709"/>
    <w:rsid w:val="00A25DBF"/>
    <w:rsid w:val="00A2684D"/>
    <w:rsid w:val="00A37951"/>
    <w:rsid w:val="00A40581"/>
    <w:rsid w:val="00A41C8C"/>
    <w:rsid w:val="00A422B0"/>
    <w:rsid w:val="00A445AD"/>
    <w:rsid w:val="00A4531C"/>
    <w:rsid w:val="00A465D5"/>
    <w:rsid w:val="00A50D9A"/>
    <w:rsid w:val="00A537A1"/>
    <w:rsid w:val="00A545F6"/>
    <w:rsid w:val="00A62916"/>
    <w:rsid w:val="00A7032E"/>
    <w:rsid w:val="00A81300"/>
    <w:rsid w:val="00A83992"/>
    <w:rsid w:val="00A84BF2"/>
    <w:rsid w:val="00A863C3"/>
    <w:rsid w:val="00A86D01"/>
    <w:rsid w:val="00A87E7F"/>
    <w:rsid w:val="00AA2A3C"/>
    <w:rsid w:val="00AA403B"/>
    <w:rsid w:val="00AA44F0"/>
    <w:rsid w:val="00AA4D20"/>
    <w:rsid w:val="00AB08A9"/>
    <w:rsid w:val="00AB2D3A"/>
    <w:rsid w:val="00AB3A55"/>
    <w:rsid w:val="00AB4D55"/>
    <w:rsid w:val="00AB54A6"/>
    <w:rsid w:val="00AC2DA3"/>
    <w:rsid w:val="00AC46C8"/>
    <w:rsid w:val="00AD1680"/>
    <w:rsid w:val="00AD44D3"/>
    <w:rsid w:val="00AD72DF"/>
    <w:rsid w:val="00B01CFC"/>
    <w:rsid w:val="00B06F19"/>
    <w:rsid w:val="00B101FD"/>
    <w:rsid w:val="00B1042A"/>
    <w:rsid w:val="00B22331"/>
    <w:rsid w:val="00B227B5"/>
    <w:rsid w:val="00B22B0B"/>
    <w:rsid w:val="00B230CB"/>
    <w:rsid w:val="00B24343"/>
    <w:rsid w:val="00B27AA4"/>
    <w:rsid w:val="00B317E9"/>
    <w:rsid w:val="00B32B4A"/>
    <w:rsid w:val="00B349DC"/>
    <w:rsid w:val="00B350EB"/>
    <w:rsid w:val="00B35E1B"/>
    <w:rsid w:val="00B364F3"/>
    <w:rsid w:val="00B41F57"/>
    <w:rsid w:val="00B41FB9"/>
    <w:rsid w:val="00B43F54"/>
    <w:rsid w:val="00B442B2"/>
    <w:rsid w:val="00B46648"/>
    <w:rsid w:val="00B46AC6"/>
    <w:rsid w:val="00B471DA"/>
    <w:rsid w:val="00B4791B"/>
    <w:rsid w:val="00B47A5A"/>
    <w:rsid w:val="00B53C25"/>
    <w:rsid w:val="00B54733"/>
    <w:rsid w:val="00B57351"/>
    <w:rsid w:val="00B57BAE"/>
    <w:rsid w:val="00B60E77"/>
    <w:rsid w:val="00B626AD"/>
    <w:rsid w:val="00B6345D"/>
    <w:rsid w:val="00B66488"/>
    <w:rsid w:val="00B716D0"/>
    <w:rsid w:val="00B7285A"/>
    <w:rsid w:val="00B733DE"/>
    <w:rsid w:val="00B736FE"/>
    <w:rsid w:val="00B73E09"/>
    <w:rsid w:val="00B74D83"/>
    <w:rsid w:val="00B76AE7"/>
    <w:rsid w:val="00B82412"/>
    <w:rsid w:val="00B83C20"/>
    <w:rsid w:val="00B85065"/>
    <w:rsid w:val="00B85629"/>
    <w:rsid w:val="00B86F38"/>
    <w:rsid w:val="00B91EA6"/>
    <w:rsid w:val="00B92820"/>
    <w:rsid w:val="00B945B1"/>
    <w:rsid w:val="00B95A23"/>
    <w:rsid w:val="00BA277F"/>
    <w:rsid w:val="00BA40A5"/>
    <w:rsid w:val="00BA4F1C"/>
    <w:rsid w:val="00BA5074"/>
    <w:rsid w:val="00BA6526"/>
    <w:rsid w:val="00BB5B9E"/>
    <w:rsid w:val="00BC0E99"/>
    <w:rsid w:val="00BC2EBA"/>
    <w:rsid w:val="00BD2EED"/>
    <w:rsid w:val="00BD4F38"/>
    <w:rsid w:val="00BD68AD"/>
    <w:rsid w:val="00BD7787"/>
    <w:rsid w:val="00BD7C28"/>
    <w:rsid w:val="00BE1B4D"/>
    <w:rsid w:val="00BE40EC"/>
    <w:rsid w:val="00BF0994"/>
    <w:rsid w:val="00BF3641"/>
    <w:rsid w:val="00BF39BD"/>
    <w:rsid w:val="00BF5555"/>
    <w:rsid w:val="00BF6188"/>
    <w:rsid w:val="00BF7869"/>
    <w:rsid w:val="00C02E56"/>
    <w:rsid w:val="00C0537A"/>
    <w:rsid w:val="00C148C1"/>
    <w:rsid w:val="00C15F08"/>
    <w:rsid w:val="00C1645D"/>
    <w:rsid w:val="00C23A1B"/>
    <w:rsid w:val="00C32D3D"/>
    <w:rsid w:val="00C34F02"/>
    <w:rsid w:val="00C3674A"/>
    <w:rsid w:val="00C4647F"/>
    <w:rsid w:val="00C51D40"/>
    <w:rsid w:val="00C52136"/>
    <w:rsid w:val="00C529CE"/>
    <w:rsid w:val="00C52DB6"/>
    <w:rsid w:val="00C5429E"/>
    <w:rsid w:val="00C54538"/>
    <w:rsid w:val="00C55C5B"/>
    <w:rsid w:val="00C61567"/>
    <w:rsid w:val="00C61FF2"/>
    <w:rsid w:val="00C62193"/>
    <w:rsid w:val="00C661FF"/>
    <w:rsid w:val="00C72A8B"/>
    <w:rsid w:val="00C7580C"/>
    <w:rsid w:val="00C83650"/>
    <w:rsid w:val="00C83BF2"/>
    <w:rsid w:val="00C91932"/>
    <w:rsid w:val="00C922DE"/>
    <w:rsid w:val="00C945A8"/>
    <w:rsid w:val="00C96C00"/>
    <w:rsid w:val="00CA2E0D"/>
    <w:rsid w:val="00CA39C9"/>
    <w:rsid w:val="00CA4BBF"/>
    <w:rsid w:val="00CA7150"/>
    <w:rsid w:val="00CB1E37"/>
    <w:rsid w:val="00CB4357"/>
    <w:rsid w:val="00CB696C"/>
    <w:rsid w:val="00CB6CD6"/>
    <w:rsid w:val="00CB708E"/>
    <w:rsid w:val="00CC07B7"/>
    <w:rsid w:val="00CC2C97"/>
    <w:rsid w:val="00CC2D9C"/>
    <w:rsid w:val="00CC30D3"/>
    <w:rsid w:val="00CC56DA"/>
    <w:rsid w:val="00CD4617"/>
    <w:rsid w:val="00CD57D7"/>
    <w:rsid w:val="00CE071E"/>
    <w:rsid w:val="00CE0F3C"/>
    <w:rsid w:val="00CE1C75"/>
    <w:rsid w:val="00CE24B8"/>
    <w:rsid w:val="00CE4B76"/>
    <w:rsid w:val="00CE5FE8"/>
    <w:rsid w:val="00CE72CA"/>
    <w:rsid w:val="00CF0828"/>
    <w:rsid w:val="00CF28FA"/>
    <w:rsid w:val="00D00772"/>
    <w:rsid w:val="00D03E06"/>
    <w:rsid w:val="00D04A1F"/>
    <w:rsid w:val="00D1589A"/>
    <w:rsid w:val="00D15916"/>
    <w:rsid w:val="00D20163"/>
    <w:rsid w:val="00D20C32"/>
    <w:rsid w:val="00D21582"/>
    <w:rsid w:val="00D227CC"/>
    <w:rsid w:val="00D27DD8"/>
    <w:rsid w:val="00D32538"/>
    <w:rsid w:val="00D32F2B"/>
    <w:rsid w:val="00D33C9B"/>
    <w:rsid w:val="00D43DD1"/>
    <w:rsid w:val="00D47C01"/>
    <w:rsid w:val="00D506F0"/>
    <w:rsid w:val="00D51180"/>
    <w:rsid w:val="00D5134A"/>
    <w:rsid w:val="00D522E5"/>
    <w:rsid w:val="00D568A1"/>
    <w:rsid w:val="00D56944"/>
    <w:rsid w:val="00D6105E"/>
    <w:rsid w:val="00D62B77"/>
    <w:rsid w:val="00D677AE"/>
    <w:rsid w:val="00D7253A"/>
    <w:rsid w:val="00D73648"/>
    <w:rsid w:val="00D74532"/>
    <w:rsid w:val="00D7619B"/>
    <w:rsid w:val="00D77863"/>
    <w:rsid w:val="00D837AE"/>
    <w:rsid w:val="00D84A8E"/>
    <w:rsid w:val="00D85975"/>
    <w:rsid w:val="00D875F2"/>
    <w:rsid w:val="00D9027A"/>
    <w:rsid w:val="00D90716"/>
    <w:rsid w:val="00D907B7"/>
    <w:rsid w:val="00D91306"/>
    <w:rsid w:val="00D93992"/>
    <w:rsid w:val="00D96544"/>
    <w:rsid w:val="00DA2B08"/>
    <w:rsid w:val="00DA5CE6"/>
    <w:rsid w:val="00DA666A"/>
    <w:rsid w:val="00DB245A"/>
    <w:rsid w:val="00DB49C6"/>
    <w:rsid w:val="00DC387A"/>
    <w:rsid w:val="00DC4324"/>
    <w:rsid w:val="00DC7CC9"/>
    <w:rsid w:val="00DE07BC"/>
    <w:rsid w:val="00DE28DB"/>
    <w:rsid w:val="00DE5CA0"/>
    <w:rsid w:val="00DE7E2B"/>
    <w:rsid w:val="00DF3B56"/>
    <w:rsid w:val="00DF6291"/>
    <w:rsid w:val="00DF6D1C"/>
    <w:rsid w:val="00E02C5E"/>
    <w:rsid w:val="00E030AA"/>
    <w:rsid w:val="00E03F67"/>
    <w:rsid w:val="00E0576A"/>
    <w:rsid w:val="00E066C4"/>
    <w:rsid w:val="00E0686E"/>
    <w:rsid w:val="00E13043"/>
    <w:rsid w:val="00E31F37"/>
    <w:rsid w:val="00E36837"/>
    <w:rsid w:val="00E37234"/>
    <w:rsid w:val="00E3746F"/>
    <w:rsid w:val="00E41A19"/>
    <w:rsid w:val="00E4389C"/>
    <w:rsid w:val="00E44502"/>
    <w:rsid w:val="00E45131"/>
    <w:rsid w:val="00E466FC"/>
    <w:rsid w:val="00E47120"/>
    <w:rsid w:val="00E506FF"/>
    <w:rsid w:val="00E50D9E"/>
    <w:rsid w:val="00E51195"/>
    <w:rsid w:val="00E5207B"/>
    <w:rsid w:val="00E52623"/>
    <w:rsid w:val="00E60D48"/>
    <w:rsid w:val="00E644AE"/>
    <w:rsid w:val="00E72B4D"/>
    <w:rsid w:val="00E81805"/>
    <w:rsid w:val="00E838BE"/>
    <w:rsid w:val="00E84183"/>
    <w:rsid w:val="00E8469C"/>
    <w:rsid w:val="00E851C0"/>
    <w:rsid w:val="00EA20CA"/>
    <w:rsid w:val="00EA292B"/>
    <w:rsid w:val="00EA329C"/>
    <w:rsid w:val="00EA343C"/>
    <w:rsid w:val="00EA6036"/>
    <w:rsid w:val="00EA710B"/>
    <w:rsid w:val="00EB16C7"/>
    <w:rsid w:val="00EB34A4"/>
    <w:rsid w:val="00EB4F69"/>
    <w:rsid w:val="00EB6730"/>
    <w:rsid w:val="00EB6CE6"/>
    <w:rsid w:val="00EB7246"/>
    <w:rsid w:val="00EC0FAD"/>
    <w:rsid w:val="00EC130A"/>
    <w:rsid w:val="00EC1409"/>
    <w:rsid w:val="00EC5746"/>
    <w:rsid w:val="00EC6CB7"/>
    <w:rsid w:val="00ED3206"/>
    <w:rsid w:val="00EE0B98"/>
    <w:rsid w:val="00EE3B47"/>
    <w:rsid w:val="00EE4FE3"/>
    <w:rsid w:val="00EE5E26"/>
    <w:rsid w:val="00EF5B65"/>
    <w:rsid w:val="00F059C5"/>
    <w:rsid w:val="00F079CA"/>
    <w:rsid w:val="00F07A2B"/>
    <w:rsid w:val="00F123FD"/>
    <w:rsid w:val="00F12AAB"/>
    <w:rsid w:val="00F13FF7"/>
    <w:rsid w:val="00F1652E"/>
    <w:rsid w:val="00F17951"/>
    <w:rsid w:val="00F23249"/>
    <w:rsid w:val="00F23C35"/>
    <w:rsid w:val="00F37114"/>
    <w:rsid w:val="00F40B77"/>
    <w:rsid w:val="00F42975"/>
    <w:rsid w:val="00F42E0E"/>
    <w:rsid w:val="00F51458"/>
    <w:rsid w:val="00F55B0E"/>
    <w:rsid w:val="00F5682A"/>
    <w:rsid w:val="00F66774"/>
    <w:rsid w:val="00F66C36"/>
    <w:rsid w:val="00F71DD4"/>
    <w:rsid w:val="00F721DA"/>
    <w:rsid w:val="00F72C4B"/>
    <w:rsid w:val="00F83F14"/>
    <w:rsid w:val="00F90B7E"/>
    <w:rsid w:val="00F912B0"/>
    <w:rsid w:val="00F925F7"/>
    <w:rsid w:val="00F92603"/>
    <w:rsid w:val="00F92D81"/>
    <w:rsid w:val="00FA371F"/>
    <w:rsid w:val="00FA5128"/>
    <w:rsid w:val="00FB0364"/>
    <w:rsid w:val="00FB2355"/>
    <w:rsid w:val="00FB4CFC"/>
    <w:rsid w:val="00FC0E45"/>
    <w:rsid w:val="00FC3632"/>
    <w:rsid w:val="00FC770C"/>
    <w:rsid w:val="00FC85EC"/>
    <w:rsid w:val="00FD2EE5"/>
    <w:rsid w:val="00FD48EF"/>
    <w:rsid w:val="00FD6335"/>
    <w:rsid w:val="00FE06DC"/>
    <w:rsid w:val="00FE2384"/>
    <w:rsid w:val="00FE6146"/>
    <w:rsid w:val="00FF15E2"/>
    <w:rsid w:val="00FF34CD"/>
    <w:rsid w:val="0170FE80"/>
    <w:rsid w:val="01EC0F67"/>
    <w:rsid w:val="021CA356"/>
    <w:rsid w:val="024D489C"/>
    <w:rsid w:val="02746A64"/>
    <w:rsid w:val="0283C7B3"/>
    <w:rsid w:val="0298564D"/>
    <w:rsid w:val="02AEADC4"/>
    <w:rsid w:val="038FCC53"/>
    <w:rsid w:val="038FF790"/>
    <w:rsid w:val="042E8B75"/>
    <w:rsid w:val="04A59308"/>
    <w:rsid w:val="04C65B26"/>
    <w:rsid w:val="04FAF453"/>
    <w:rsid w:val="05BEF3E8"/>
    <w:rsid w:val="05D8B750"/>
    <w:rsid w:val="063ADE01"/>
    <w:rsid w:val="06695807"/>
    <w:rsid w:val="07CB1CE9"/>
    <w:rsid w:val="08419116"/>
    <w:rsid w:val="08CAEE3B"/>
    <w:rsid w:val="0959EB37"/>
    <w:rsid w:val="09C2B77E"/>
    <w:rsid w:val="0B57D659"/>
    <w:rsid w:val="0B730ABA"/>
    <w:rsid w:val="0BC9DF8B"/>
    <w:rsid w:val="0CEC656D"/>
    <w:rsid w:val="0D58CA38"/>
    <w:rsid w:val="0E08F7FD"/>
    <w:rsid w:val="0E879E56"/>
    <w:rsid w:val="0EA37E5D"/>
    <w:rsid w:val="0ED66361"/>
    <w:rsid w:val="0EE2F083"/>
    <w:rsid w:val="0F5B374D"/>
    <w:rsid w:val="103C5826"/>
    <w:rsid w:val="110964AA"/>
    <w:rsid w:val="13518F57"/>
    <w:rsid w:val="13691F82"/>
    <w:rsid w:val="14343EB1"/>
    <w:rsid w:val="14A9F513"/>
    <w:rsid w:val="14F70C04"/>
    <w:rsid w:val="150BBC26"/>
    <w:rsid w:val="15457D51"/>
    <w:rsid w:val="15ACAE45"/>
    <w:rsid w:val="16ACD4B7"/>
    <w:rsid w:val="17AFA772"/>
    <w:rsid w:val="193855B3"/>
    <w:rsid w:val="19DD819C"/>
    <w:rsid w:val="1A2386A9"/>
    <w:rsid w:val="1C83B00D"/>
    <w:rsid w:val="1CE342E6"/>
    <w:rsid w:val="1E5B8DB8"/>
    <w:rsid w:val="200A1744"/>
    <w:rsid w:val="206797B5"/>
    <w:rsid w:val="20B63A16"/>
    <w:rsid w:val="20B8DECD"/>
    <w:rsid w:val="2104C340"/>
    <w:rsid w:val="221B55F0"/>
    <w:rsid w:val="239C0CD1"/>
    <w:rsid w:val="23EFCFFF"/>
    <w:rsid w:val="25588658"/>
    <w:rsid w:val="25B198AF"/>
    <w:rsid w:val="25D26ECF"/>
    <w:rsid w:val="25D5FE02"/>
    <w:rsid w:val="25F55138"/>
    <w:rsid w:val="26E1E25A"/>
    <w:rsid w:val="27140ADB"/>
    <w:rsid w:val="273647AB"/>
    <w:rsid w:val="292BC779"/>
    <w:rsid w:val="2959F786"/>
    <w:rsid w:val="299F6F4F"/>
    <w:rsid w:val="2A1E4879"/>
    <w:rsid w:val="2A716BDF"/>
    <w:rsid w:val="2B16A0AE"/>
    <w:rsid w:val="2B517DF7"/>
    <w:rsid w:val="2C020521"/>
    <w:rsid w:val="2C4C7801"/>
    <w:rsid w:val="2D52A674"/>
    <w:rsid w:val="2F182344"/>
    <w:rsid w:val="2F2F28A7"/>
    <w:rsid w:val="2FE4E517"/>
    <w:rsid w:val="2FF5F9AB"/>
    <w:rsid w:val="306AC4E8"/>
    <w:rsid w:val="30B29AF4"/>
    <w:rsid w:val="3112CA37"/>
    <w:rsid w:val="31BA19BC"/>
    <w:rsid w:val="31E3CCF2"/>
    <w:rsid w:val="31E83EA8"/>
    <w:rsid w:val="328565FE"/>
    <w:rsid w:val="36216FC4"/>
    <w:rsid w:val="367F32E7"/>
    <w:rsid w:val="371F7C3A"/>
    <w:rsid w:val="3733B501"/>
    <w:rsid w:val="37720E4D"/>
    <w:rsid w:val="378654B8"/>
    <w:rsid w:val="3820B020"/>
    <w:rsid w:val="38245C20"/>
    <w:rsid w:val="386F3539"/>
    <w:rsid w:val="3884D1B4"/>
    <w:rsid w:val="38C8EF72"/>
    <w:rsid w:val="39137CF5"/>
    <w:rsid w:val="39BE3D80"/>
    <w:rsid w:val="39CC7C78"/>
    <w:rsid w:val="3C42FB5E"/>
    <w:rsid w:val="3C759D8F"/>
    <w:rsid w:val="3CB8863C"/>
    <w:rsid w:val="3D6A796E"/>
    <w:rsid w:val="3D905A3A"/>
    <w:rsid w:val="3E746F66"/>
    <w:rsid w:val="3EC9723C"/>
    <w:rsid w:val="3FE17265"/>
    <w:rsid w:val="401D058D"/>
    <w:rsid w:val="40B94A4F"/>
    <w:rsid w:val="4105927F"/>
    <w:rsid w:val="418BF75F"/>
    <w:rsid w:val="4257A535"/>
    <w:rsid w:val="427B599C"/>
    <w:rsid w:val="42A9FCB0"/>
    <w:rsid w:val="42ACB888"/>
    <w:rsid w:val="4308CC14"/>
    <w:rsid w:val="4361180D"/>
    <w:rsid w:val="43C563C4"/>
    <w:rsid w:val="44C17847"/>
    <w:rsid w:val="44EE92CD"/>
    <w:rsid w:val="456D6BF7"/>
    <w:rsid w:val="45E6E84C"/>
    <w:rsid w:val="4A04CFD0"/>
    <w:rsid w:val="4B1D49AB"/>
    <w:rsid w:val="4B20F62D"/>
    <w:rsid w:val="4BF756EF"/>
    <w:rsid w:val="4CF93B82"/>
    <w:rsid w:val="4D5E7504"/>
    <w:rsid w:val="4ECB5C3A"/>
    <w:rsid w:val="4F79DA11"/>
    <w:rsid w:val="4F852D28"/>
    <w:rsid w:val="53D9DE88"/>
    <w:rsid w:val="552CA316"/>
    <w:rsid w:val="5593052B"/>
    <w:rsid w:val="55A64E6B"/>
    <w:rsid w:val="55D4A21B"/>
    <w:rsid w:val="56E52E70"/>
    <w:rsid w:val="57045101"/>
    <w:rsid w:val="57C5AACE"/>
    <w:rsid w:val="585920BB"/>
    <w:rsid w:val="5861A227"/>
    <w:rsid w:val="58AD4FAB"/>
    <w:rsid w:val="58B771DD"/>
    <w:rsid w:val="595DCBD9"/>
    <w:rsid w:val="5A39DD73"/>
    <w:rsid w:val="5A701DE3"/>
    <w:rsid w:val="5A7F142E"/>
    <w:rsid w:val="5B5C1B41"/>
    <w:rsid w:val="5BDFC2BB"/>
    <w:rsid w:val="5D835B1C"/>
    <w:rsid w:val="5F39601F"/>
    <w:rsid w:val="5F951165"/>
    <w:rsid w:val="5FC83E80"/>
    <w:rsid w:val="603DB64B"/>
    <w:rsid w:val="60A1A4B1"/>
    <w:rsid w:val="60F8648E"/>
    <w:rsid w:val="610157E8"/>
    <w:rsid w:val="62DB5D48"/>
    <w:rsid w:val="631BA40A"/>
    <w:rsid w:val="6342D47D"/>
    <w:rsid w:val="639F9E99"/>
    <w:rsid w:val="6438EA73"/>
    <w:rsid w:val="64E3C545"/>
    <w:rsid w:val="650B4426"/>
    <w:rsid w:val="65B391A7"/>
    <w:rsid w:val="65CD6FA3"/>
    <w:rsid w:val="66055377"/>
    <w:rsid w:val="67503D91"/>
    <w:rsid w:val="67EC3D76"/>
    <w:rsid w:val="680E1AC3"/>
    <w:rsid w:val="681438E8"/>
    <w:rsid w:val="68989578"/>
    <w:rsid w:val="6938FE53"/>
    <w:rsid w:val="69E0F432"/>
    <w:rsid w:val="69EF6C6B"/>
    <w:rsid w:val="6AB6E1F5"/>
    <w:rsid w:val="6AD31296"/>
    <w:rsid w:val="6ADE4FD1"/>
    <w:rsid w:val="6B323916"/>
    <w:rsid w:val="6BF480AD"/>
    <w:rsid w:val="6CE11ABE"/>
    <w:rsid w:val="6D064E4F"/>
    <w:rsid w:val="6D32D048"/>
    <w:rsid w:val="6D9319F8"/>
    <w:rsid w:val="6DD0622C"/>
    <w:rsid w:val="6DDD79B6"/>
    <w:rsid w:val="6E717F2E"/>
    <w:rsid w:val="6EF8D8DF"/>
    <w:rsid w:val="6F3DC5BC"/>
    <w:rsid w:val="6F76E07F"/>
    <w:rsid w:val="706A3FEB"/>
    <w:rsid w:val="706F595F"/>
    <w:rsid w:val="70DE749B"/>
    <w:rsid w:val="7344F051"/>
    <w:rsid w:val="752552FA"/>
    <w:rsid w:val="753C8CB6"/>
    <w:rsid w:val="76B0EA05"/>
    <w:rsid w:val="779B054D"/>
    <w:rsid w:val="78C56710"/>
    <w:rsid w:val="7902752A"/>
    <w:rsid w:val="7905B4F2"/>
    <w:rsid w:val="792C6E2D"/>
    <w:rsid w:val="7A239690"/>
    <w:rsid w:val="7A38DD7E"/>
    <w:rsid w:val="7AEE2C22"/>
    <w:rsid w:val="7B150D9E"/>
    <w:rsid w:val="7C012DB8"/>
    <w:rsid w:val="7D71A260"/>
    <w:rsid w:val="7D7AE3D1"/>
    <w:rsid w:val="7D9C970B"/>
    <w:rsid w:val="7EB0814A"/>
    <w:rsid w:val="7EBB9299"/>
    <w:rsid w:val="7F0E36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EA13D"/>
  <w15:docId w15:val="{D46D9082-6051-4918-A006-31802942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4E6"/>
    <w:pPr>
      <w:spacing w:before="240" w:line="300" w:lineRule="exact"/>
    </w:pPr>
    <w:rPr>
      <w:rFonts w:ascii="Arial" w:hAnsi="Arial"/>
      <w:bCs/>
      <w:sz w:val="20"/>
      <w:szCs w:val="22"/>
    </w:rPr>
  </w:style>
  <w:style w:type="paragraph" w:styleId="Heading1">
    <w:name w:val="heading 1"/>
    <w:basedOn w:val="Normal"/>
    <w:next w:val="Normal"/>
    <w:link w:val="Heading1Char"/>
    <w:uiPriority w:val="9"/>
    <w:qFormat/>
    <w:rsid w:val="00FD48EF"/>
    <w:pPr>
      <w:spacing w:after="360" w:line="240" w:lineRule="auto"/>
      <w:ind w:right="202"/>
      <w:outlineLvl w:val="0"/>
    </w:pPr>
    <w:rPr>
      <w:rFonts w:eastAsiaTheme="majorEastAsia" w:cstheme="majorBidi"/>
      <w:noProof/>
      <w:color w:val="F4711F" w:themeColor="accent4"/>
      <w:sz w:val="36"/>
      <w:szCs w:val="36"/>
    </w:rPr>
  </w:style>
  <w:style w:type="paragraph" w:styleId="Heading2">
    <w:name w:val="heading 2"/>
    <w:basedOn w:val="Normal"/>
    <w:next w:val="Normal"/>
    <w:link w:val="Heading2Char"/>
    <w:uiPriority w:val="9"/>
    <w:unhideWhenUsed/>
    <w:qFormat/>
    <w:rsid w:val="00EC5746"/>
    <w:pPr>
      <w:keepNext/>
      <w:keepLines/>
      <w:spacing w:before="360" w:line="320" w:lineRule="exact"/>
      <w:outlineLvl w:val="1"/>
    </w:pPr>
    <w:rPr>
      <w:rFonts w:eastAsiaTheme="majorEastAsia" w:cstheme="majorBidi"/>
      <w:b/>
      <w:color w:val="01526C" w:themeColor="text1"/>
      <w:sz w:val="26"/>
      <w:szCs w:val="26"/>
    </w:rPr>
  </w:style>
  <w:style w:type="paragraph" w:styleId="Heading3">
    <w:name w:val="heading 3"/>
    <w:basedOn w:val="Normal"/>
    <w:next w:val="Normal"/>
    <w:link w:val="Heading3Char"/>
    <w:uiPriority w:val="9"/>
    <w:unhideWhenUsed/>
    <w:qFormat/>
    <w:rsid w:val="00B01CFC"/>
    <w:pPr>
      <w:keepNext/>
      <w:keepLines/>
      <w:spacing w:line="240" w:lineRule="exact"/>
      <w:outlineLvl w:val="2"/>
    </w:pPr>
    <w:rPr>
      <w:rFonts w:eastAsiaTheme="majorEastAsia" w:cstheme="majorBidi"/>
      <w:b/>
      <w:caps/>
      <w:color w:val="01526C" w:themeColor="text1"/>
      <w:sz w:val="21"/>
      <w:szCs w:val="20"/>
    </w:rPr>
  </w:style>
  <w:style w:type="paragraph" w:styleId="Heading4">
    <w:name w:val="heading 4"/>
    <w:basedOn w:val="Normal"/>
    <w:next w:val="Normal"/>
    <w:link w:val="Heading4Char"/>
    <w:uiPriority w:val="9"/>
    <w:unhideWhenUsed/>
    <w:qFormat/>
    <w:rsid w:val="00EE5E26"/>
    <w:pPr>
      <w:keepNext/>
      <w:keepLines/>
      <w:spacing w:before="40"/>
      <w:outlineLvl w:val="3"/>
    </w:pPr>
    <w:rPr>
      <w:rFonts w:asciiTheme="majorHAnsi" w:eastAsiaTheme="majorEastAsia" w:hAnsiTheme="majorHAnsi" w:cstheme="majorBidi"/>
      <w:i/>
      <w:iCs/>
      <w:color w:val="7096A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2A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A8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D48EF"/>
    <w:rPr>
      <w:rFonts w:ascii="Arial" w:eastAsiaTheme="majorEastAsia" w:hAnsi="Arial" w:cstheme="majorBidi"/>
      <w:bCs/>
      <w:noProof/>
      <w:color w:val="F4711F" w:themeColor="accent4"/>
      <w:sz w:val="36"/>
      <w:szCs w:val="36"/>
    </w:rPr>
  </w:style>
  <w:style w:type="character" w:customStyle="1" w:styleId="Heading2Char">
    <w:name w:val="Heading 2 Char"/>
    <w:basedOn w:val="DefaultParagraphFont"/>
    <w:link w:val="Heading2"/>
    <w:uiPriority w:val="9"/>
    <w:rsid w:val="00EC5746"/>
    <w:rPr>
      <w:rFonts w:ascii="Arial" w:eastAsiaTheme="majorEastAsia" w:hAnsi="Arial" w:cstheme="majorBidi"/>
      <w:b/>
      <w:bCs/>
      <w:color w:val="01526C" w:themeColor="text1"/>
      <w:sz w:val="26"/>
      <w:szCs w:val="26"/>
    </w:rPr>
  </w:style>
  <w:style w:type="paragraph" w:styleId="Header">
    <w:name w:val="header"/>
    <w:basedOn w:val="Normal"/>
    <w:link w:val="HeaderChar"/>
    <w:uiPriority w:val="99"/>
    <w:unhideWhenUsed/>
    <w:rsid w:val="00E72B4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72B4D"/>
    <w:rPr>
      <w:rFonts w:ascii="Arial" w:hAnsi="Arial"/>
      <w:color w:val="017EA7" w:themeColor="text1" w:themeTint="D9"/>
      <w:sz w:val="22"/>
    </w:rPr>
  </w:style>
  <w:style w:type="paragraph" w:styleId="Footer">
    <w:name w:val="footer"/>
    <w:basedOn w:val="Normal"/>
    <w:link w:val="FooterChar"/>
    <w:uiPriority w:val="99"/>
    <w:unhideWhenUsed/>
    <w:rsid w:val="00FF34CD"/>
    <w:pPr>
      <w:tabs>
        <w:tab w:val="center" w:pos="4680"/>
        <w:tab w:val="right" w:pos="9360"/>
      </w:tabs>
      <w:spacing w:before="0" w:line="240" w:lineRule="auto"/>
      <w:jc w:val="right"/>
    </w:pPr>
    <w:rPr>
      <w:color w:val="01526C" w:themeColor="text1"/>
    </w:rPr>
  </w:style>
  <w:style w:type="character" w:customStyle="1" w:styleId="FooterChar">
    <w:name w:val="Footer Char"/>
    <w:basedOn w:val="DefaultParagraphFont"/>
    <w:link w:val="Footer"/>
    <w:uiPriority w:val="99"/>
    <w:rsid w:val="00FF34CD"/>
    <w:rPr>
      <w:rFonts w:ascii="Arial" w:hAnsi="Arial"/>
      <w:bCs/>
      <w:color w:val="01526C" w:themeColor="text1"/>
    </w:rPr>
  </w:style>
  <w:style w:type="character" w:styleId="PageNumber">
    <w:name w:val="page number"/>
    <w:basedOn w:val="DefaultParagraphFont"/>
    <w:uiPriority w:val="99"/>
    <w:semiHidden/>
    <w:unhideWhenUsed/>
    <w:rsid w:val="00E72B4D"/>
  </w:style>
  <w:style w:type="table" w:styleId="TableGrid">
    <w:name w:val="Table Grid"/>
    <w:basedOn w:val="TableNormal"/>
    <w:uiPriority w:val="39"/>
    <w:rsid w:val="00C7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CA2E0D"/>
    <w:rPr>
      <w:rFonts w:cs="Futura Bk BT"/>
      <w:color w:val="000000"/>
      <w:sz w:val="18"/>
      <w:szCs w:val="18"/>
    </w:rPr>
  </w:style>
  <w:style w:type="character" w:styleId="Hyperlink">
    <w:name w:val="Hyperlink"/>
    <w:basedOn w:val="DefaultParagraphFont"/>
    <w:uiPriority w:val="99"/>
    <w:unhideWhenUsed/>
    <w:rsid w:val="00CA2E0D"/>
    <w:rPr>
      <w:color w:val="F4711F" w:themeColor="hyperlink"/>
      <w:u w:val="single"/>
    </w:rPr>
  </w:style>
  <w:style w:type="paragraph" w:styleId="ListParagraph">
    <w:name w:val="List Paragraph"/>
    <w:aliases w:val="MCHIP_list paragraph,List Paragraph1,Heading 2_sj,Paragraph,Ha,Recommendation,Footnote,Header 2,heading 6,References,List numbered,Paragraphe de liste1,Liste couleur - Accent 11,F5 List Paragraph,Dot pt,No Spacing1,Indicator Text"/>
    <w:basedOn w:val="Normal"/>
    <w:link w:val="ListParagraphChar"/>
    <w:uiPriority w:val="34"/>
    <w:qFormat/>
    <w:rsid w:val="00B230CB"/>
    <w:pPr>
      <w:spacing w:before="0" w:after="200" w:line="276" w:lineRule="auto"/>
      <w:ind w:left="720"/>
      <w:contextualSpacing/>
    </w:pPr>
    <w:rPr>
      <w:rFonts w:asciiTheme="minorHAnsi" w:eastAsia="Times New Roman" w:hAnsi="Times New Roman" w:cs="Times New Roman"/>
      <w:lang w:val="es-MX" w:eastAsia="es-MX"/>
    </w:rPr>
  </w:style>
  <w:style w:type="character" w:customStyle="1" w:styleId="ListParagraphChar">
    <w:name w:val="List Paragraph Char"/>
    <w:aliases w:val="MCHIP_list paragraph Char,List Paragraph1 Char,Heading 2_sj Char,Paragraph Char,Ha Char,Recommendation Char,Footnote Char,Header 2 Char,heading 6 Char,References Char,List numbered Char,Paragraphe de liste1 Char,Dot pt Char"/>
    <w:link w:val="ListParagraph"/>
    <w:uiPriority w:val="34"/>
    <w:rsid w:val="00B230CB"/>
    <w:rPr>
      <w:rFonts w:eastAsia="Times New Roman" w:hAnsi="Times New Roman" w:cs="Times New Roman"/>
      <w:sz w:val="22"/>
      <w:szCs w:val="22"/>
      <w:lang w:val="es-MX" w:eastAsia="es-MX"/>
    </w:rPr>
  </w:style>
  <w:style w:type="character" w:customStyle="1" w:styleId="Heading3Char">
    <w:name w:val="Heading 3 Char"/>
    <w:basedOn w:val="DefaultParagraphFont"/>
    <w:link w:val="Heading3"/>
    <w:uiPriority w:val="9"/>
    <w:rsid w:val="00B01CFC"/>
    <w:rPr>
      <w:rFonts w:ascii="Arial" w:eastAsiaTheme="majorEastAsia" w:hAnsi="Arial" w:cstheme="majorBidi"/>
      <w:b/>
      <w:bCs/>
      <w:caps/>
      <w:color w:val="01526C" w:themeColor="text1"/>
      <w:sz w:val="21"/>
      <w:szCs w:val="20"/>
    </w:rPr>
  </w:style>
  <w:style w:type="paragraph" w:customStyle="1" w:styleId="BodyBullets">
    <w:name w:val="Body Bullets"/>
    <w:basedOn w:val="ListParagraph"/>
    <w:qFormat/>
    <w:rsid w:val="005130BF"/>
    <w:pPr>
      <w:numPr>
        <w:numId w:val="10"/>
      </w:numPr>
      <w:spacing w:before="240" w:after="240" w:line="280" w:lineRule="exact"/>
      <w:ind w:left="360" w:right="206"/>
      <w:contextualSpacing w:val="0"/>
    </w:pPr>
    <w:rPr>
      <w:rFonts w:ascii="Arial" w:eastAsia="TimesNewRomanPSMT" w:hAnsi="Arial" w:cs="Arial"/>
    </w:rPr>
  </w:style>
  <w:style w:type="paragraph" w:styleId="Subtitle">
    <w:name w:val="Subtitle"/>
    <w:basedOn w:val="Normal"/>
    <w:next w:val="Normal"/>
    <w:link w:val="SubtitleChar"/>
    <w:uiPriority w:val="11"/>
    <w:qFormat/>
    <w:rsid w:val="0061514A"/>
    <w:pPr>
      <w:numPr>
        <w:ilvl w:val="1"/>
      </w:numPr>
      <w:spacing w:after="160"/>
      <w:ind w:left="900"/>
    </w:pPr>
    <w:rPr>
      <w:rFonts w:asciiTheme="minorHAnsi" w:hAnsiTheme="minorHAnsi"/>
      <w:color w:val="02BCF7" w:themeColor="text1" w:themeTint="A5"/>
      <w:spacing w:val="15"/>
    </w:rPr>
  </w:style>
  <w:style w:type="character" w:customStyle="1" w:styleId="SubtitleChar">
    <w:name w:val="Subtitle Char"/>
    <w:basedOn w:val="DefaultParagraphFont"/>
    <w:link w:val="Subtitle"/>
    <w:uiPriority w:val="11"/>
    <w:rsid w:val="0061514A"/>
    <w:rPr>
      <w:bCs/>
      <w:color w:val="02BCF7" w:themeColor="text1" w:themeTint="A5"/>
      <w:spacing w:val="15"/>
      <w:sz w:val="22"/>
      <w:szCs w:val="22"/>
    </w:rPr>
  </w:style>
  <w:style w:type="character" w:styleId="SubtleEmphasis">
    <w:name w:val="Subtle Emphasis"/>
    <w:basedOn w:val="DefaultParagraphFont"/>
    <w:uiPriority w:val="19"/>
    <w:qFormat/>
    <w:rsid w:val="00BA5074"/>
    <w:rPr>
      <w:i/>
      <w:iCs/>
      <w:color w:val="029DCF" w:themeColor="text1" w:themeTint="BF"/>
    </w:rPr>
  </w:style>
  <w:style w:type="character" w:styleId="Emphasis">
    <w:name w:val="Emphasis"/>
    <w:basedOn w:val="DefaultParagraphFont"/>
    <w:uiPriority w:val="20"/>
    <w:qFormat/>
    <w:rsid w:val="00BA5074"/>
    <w:rPr>
      <w:i/>
      <w:iCs/>
    </w:rPr>
  </w:style>
  <w:style w:type="character" w:styleId="IntenseEmphasis">
    <w:name w:val="Intense Emphasis"/>
    <w:basedOn w:val="DefaultParagraphFont"/>
    <w:uiPriority w:val="21"/>
    <w:qFormat/>
    <w:rsid w:val="00BA5074"/>
    <w:rPr>
      <w:i/>
      <w:iCs/>
      <w:color w:val="AAC1CA" w:themeColor="accent1"/>
    </w:rPr>
  </w:style>
  <w:style w:type="character" w:styleId="Strong">
    <w:name w:val="Strong"/>
    <w:basedOn w:val="DefaultParagraphFont"/>
    <w:uiPriority w:val="22"/>
    <w:qFormat/>
    <w:rsid w:val="00BA5074"/>
    <w:rPr>
      <w:b/>
      <w:bCs/>
    </w:rPr>
  </w:style>
  <w:style w:type="paragraph" w:styleId="Quote">
    <w:name w:val="Quote"/>
    <w:basedOn w:val="Normal"/>
    <w:next w:val="Normal"/>
    <w:link w:val="QuoteChar"/>
    <w:uiPriority w:val="29"/>
    <w:qFormat/>
    <w:rsid w:val="00BA5074"/>
    <w:pPr>
      <w:spacing w:before="200" w:after="160"/>
      <w:ind w:left="864" w:right="864"/>
      <w:jc w:val="center"/>
    </w:pPr>
    <w:rPr>
      <w:i/>
      <w:iCs/>
      <w:color w:val="029DCF" w:themeColor="text1" w:themeTint="BF"/>
    </w:rPr>
  </w:style>
  <w:style w:type="character" w:customStyle="1" w:styleId="QuoteChar">
    <w:name w:val="Quote Char"/>
    <w:basedOn w:val="DefaultParagraphFont"/>
    <w:link w:val="Quote"/>
    <w:uiPriority w:val="29"/>
    <w:rsid w:val="00BA5074"/>
    <w:rPr>
      <w:rFonts w:ascii="Arial" w:hAnsi="Arial"/>
      <w:bCs/>
      <w:i/>
      <w:iCs/>
      <w:color w:val="029DCF" w:themeColor="text1" w:themeTint="BF"/>
    </w:rPr>
  </w:style>
  <w:style w:type="paragraph" w:styleId="IntenseQuote">
    <w:name w:val="Intense Quote"/>
    <w:basedOn w:val="Normal"/>
    <w:next w:val="Normal"/>
    <w:link w:val="IntenseQuoteChar"/>
    <w:uiPriority w:val="30"/>
    <w:qFormat/>
    <w:rsid w:val="00BA5074"/>
    <w:pPr>
      <w:pBdr>
        <w:top w:val="single" w:sz="4" w:space="10" w:color="AAC1CA" w:themeColor="accent1"/>
        <w:bottom w:val="single" w:sz="4" w:space="10" w:color="AAC1CA" w:themeColor="accent1"/>
      </w:pBdr>
      <w:spacing w:before="360" w:after="360"/>
      <w:ind w:left="864" w:right="864"/>
      <w:jc w:val="center"/>
    </w:pPr>
    <w:rPr>
      <w:i/>
      <w:iCs/>
      <w:color w:val="AAC1CA" w:themeColor="accent1"/>
    </w:rPr>
  </w:style>
  <w:style w:type="character" w:customStyle="1" w:styleId="IntenseQuoteChar">
    <w:name w:val="Intense Quote Char"/>
    <w:basedOn w:val="DefaultParagraphFont"/>
    <w:link w:val="IntenseQuote"/>
    <w:uiPriority w:val="30"/>
    <w:rsid w:val="00BA5074"/>
    <w:rPr>
      <w:rFonts w:ascii="Arial" w:hAnsi="Arial"/>
      <w:bCs/>
      <w:i/>
      <w:iCs/>
      <w:color w:val="AAC1CA" w:themeColor="accent1"/>
    </w:rPr>
  </w:style>
  <w:style w:type="character" w:styleId="SubtleReference">
    <w:name w:val="Subtle Reference"/>
    <w:basedOn w:val="DefaultParagraphFont"/>
    <w:uiPriority w:val="31"/>
    <w:qFormat/>
    <w:rsid w:val="00BA5074"/>
    <w:rPr>
      <w:smallCaps/>
      <w:color w:val="02BCF7" w:themeColor="text1" w:themeTint="A5"/>
    </w:rPr>
  </w:style>
  <w:style w:type="character" w:styleId="IntenseReference">
    <w:name w:val="Intense Reference"/>
    <w:basedOn w:val="DefaultParagraphFont"/>
    <w:uiPriority w:val="32"/>
    <w:qFormat/>
    <w:rsid w:val="00C945A8"/>
    <w:rPr>
      <w:b/>
      <w:bCs/>
      <w:smallCaps/>
      <w:color w:val="AAC1CA" w:themeColor="accent1"/>
      <w:spacing w:val="5"/>
    </w:rPr>
  </w:style>
  <w:style w:type="character" w:styleId="BookTitle">
    <w:name w:val="Book Title"/>
    <w:basedOn w:val="DefaultParagraphFont"/>
    <w:uiPriority w:val="33"/>
    <w:qFormat/>
    <w:rsid w:val="00C945A8"/>
    <w:rPr>
      <w:b/>
      <w:bCs/>
      <w:i/>
      <w:iCs/>
      <w:spacing w:val="5"/>
    </w:rPr>
  </w:style>
  <w:style w:type="paragraph" w:customStyle="1" w:styleId="Tableheader">
    <w:name w:val="Table header"/>
    <w:basedOn w:val="Normal"/>
    <w:qFormat/>
    <w:rsid w:val="005556EA"/>
    <w:pPr>
      <w:spacing w:before="120"/>
      <w:ind w:left="70"/>
    </w:pPr>
    <w:rPr>
      <w:b/>
      <w:color w:val="F4711F" w:themeColor="accent4"/>
    </w:rPr>
  </w:style>
  <w:style w:type="paragraph" w:customStyle="1" w:styleId="Tablecopy">
    <w:name w:val="Table copy"/>
    <w:basedOn w:val="Normal"/>
    <w:qFormat/>
    <w:rsid w:val="002E74E2"/>
    <w:pPr>
      <w:ind w:left="70"/>
    </w:pPr>
  </w:style>
  <w:style w:type="paragraph" w:customStyle="1" w:styleId="Tablebullets">
    <w:name w:val="Table bullets"/>
    <w:basedOn w:val="ListParagraph"/>
    <w:qFormat/>
    <w:rsid w:val="00EC5746"/>
    <w:pPr>
      <w:numPr>
        <w:numId w:val="11"/>
      </w:numPr>
      <w:spacing w:before="240"/>
    </w:pPr>
    <w:rPr>
      <w:rFonts w:ascii="Arial" w:hAnsi="Arial"/>
    </w:rPr>
  </w:style>
  <w:style w:type="paragraph" w:customStyle="1" w:styleId="Tabletitle">
    <w:name w:val="Table title"/>
    <w:basedOn w:val="Normal"/>
    <w:qFormat/>
    <w:rsid w:val="006F24E6"/>
    <w:pPr>
      <w:spacing w:after="120"/>
    </w:pPr>
    <w:rPr>
      <w:b/>
      <w:color w:val="01526C" w:themeColor="text1"/>
    </w:rPr>
  </w:style>
  <w:style w:type="paragraph" w:customStyle="1" w:styleId="Datemonthyear">
    <w:name w:val="Date (month year)"/>
    <w:basedOn w:val="Normal"/>
    <w:qFormat/>
    <w:rsid w:val="009B52B8"/>
    <w:pPr>
      <w:spacing w:before="0" w:line="240" w:lineRule="auto"/>
    </w:pPr>
    <w:rPr>
      <w:b/>
      <w:bCs w:val="0"/>
      <w:color w:val="FFFFFF"/>
      <w:sz w:val="18"/>
      <w:szCs w:val="18"/>
    </w:rPr>
  </w:style>
  <w:style w:type="paragraph" w:customStyle="1" w:styleId="CHOICEacronym">
    <w:name w:val="CHOICE acronym"/>
    <w:link w:val="CHOICEacronymChar"/>
    <w:qFormat/>
    <w:rsid w:val="001B23CB"/>
    <w:rPr>
      <w:rFonts w:ascii="Arial Black" w:hAnsi="Arial Black"/>
      <w:b/>
      <w:bCs/>
      <w:color w:val="F9B083" w:themeColor="accent5"/>
      <w:sz w:val="27"/>
      <w:szCs w:val="27"/>
    </w:rPr>
  </w:style>
  <w:style w:type="character" w:customStyle="1" w:styleId="CHOICEacronymChar">
    <w:name w:val="CHOICE acronym Char"/>
    <w:basedOn w:val="DefaultParagraphFont"/>
    <w:link w:val="CHOICEacronym"/>
    <w:rsid w:val="001B23CB"/>
    <w:rPr>
      <w:rFonts w:ascii="Arial Black" w:hAnsi="Arial Black"/>
      <w:b/>
      <w:bCs/>
      <w:color w:val="F9B083" w:themeColor="accent5"/>
      <w:sz w:val="27"/>
      <w:szCs w:val="27"/>
    </w:rPr>
  </w:style>
  <w:style w:type="character" w:customStyle="1" w:styleId="CHOICE">
    <w:name w:val="CHOICE"/>
    <w:basedOn w:val="DefaultParagraphFont"/>
    <w:uiPriority w:val="1"/>
    <w:qFormat/>
    <w:rsid w:val="00E838BE"/>
    <w:rPr>
      <w:color w:val="FFFFFF"/>
      <w:sz w:val="18"/>
    </w:rPr>
  </w:style>
  <w:style w:type="character" w:customStyle="1" w:styleId="Heading4Char">
    <w:name w:val="Heading 4 Char"/>
    <w:basedOn w:val="DefaultParagraphFont"/>
    <w:link w:val="Heading4"/>
    <w:uiPriority w:val="9"/>
    <w:rsid w:val="00EE5E26"/>
    <w:rPr>
      <w:rFonts w:asciiTheme="majorHAnsi" w:eastAsiaTheme="majorEastAsia" w:hAnsiTheme="majorHAnsi" w:cstheme="majorBidi"/>
      <w:bCs/>
      <w:i/>
      <w:iCs/>
      <w:color w:val="7096A6" w:themeColor="accent1" w:themeShade="BF"/>
    </w:rPr>
  </w:style>
  <w:style w:type="paragraph" w:customStyle="1" w:styleId="Disclaimer">
    <w:name w:val="Disclaimer"/>
    <w:basedOn w:val="Normal"/>
    <w:qFormat/>
    <w:rsid w:val="00AC2DA3"/>
    <w:pPr>
      <w:spacing w:before="0" w:line="240" w:lineRule="auto"/>
      <w:ind w:left="-90"/>
    </w:pPr>
    <w:rPr>
      <w:i/>
      <w:color w:val="3F5B66" w:themeColor="accent2" w:themeShade="BF"/>
      <w:sz w:val="16"/>
      <w:szCs w:val="28"/>
    </w:rPr>
  </w:style>
  <w:style w:type="paragraph" w:customStyle="1" w:styleId="Sidebarheader">
    <w:name w:val="Sidebar header"/>
    <w:basedOn w:val="Normal"/>
    <w:qFormat/>
    <w:rsid w:val="00736A3C"/>
    <w:pPr>
      <w:spacing w:before="0" w:after="240" w:line="240" w:lineRule="auto"/>
      <w:ind w:left="90"/>
    </w:pPr>
    <w:rPr>
      <w:rFonts w:eastAsiaTheme="majorEastAsia" w:cs="Arial"/>
      <w:b/>
      <w:bCs w:val="0"/>
      <w:color w:val="F4711F" w:themeColor="accent4"/>
    </w:rPr>
  </w:style>
  <w:style w:type="paragraph" w:customStyle="1" w:styleId="Sidebartext">
    <w:name w:val="Sidebar text"/>
    <w:basedOn w:val="Normal"/>
    <w:qFormat/>
    <w:rsid w:val="004048C6"/>
    <w:pPr>
      <w:ind w:left="90"/>
    </w:pPr>
    <w:rPr>
      <w:color w:val="01526C" w:themeColor="text1"/>
    </w:rPr>
  </w:style>
  <w:style w:type="paragraph" w:styleId="BalloonText">
    <w:name w:val="Balloon Text"/>
    <w:basedOn w:val="Normal"/>
    <w:link w:val="BalloonTextChar"/>
    <w:uiPriority w:val="99"/>
    <w:semiHidden/>
    <w:unhideWhenUsed/>
    <w:rsid w:val="00C34F0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F02"/>
    <w:rPr>
      <w:rFonts w:ascii="Segoe UI" w:hAnsi="Segoe UI" w:cs="Segoe UI"/>
      <w:bCs/>
      <w:sz w:val="18"/>
      <w:szCs w:val="18"/>
    </w:rPr>
  </w:style>
  <w:style w:type="paragraph" w:styleId="CommentText">
    <w:name w:val="annotation text"/>
    <w:basedOn w:val="Normal"/>
    <w:link w:val="CommentTextChar"/>
    <w:uiPriority w:val="99"/>
    <w:unhideWhenUsed/>
    <w:rsid w:val="00C529CE"/>
    <w:pPr>
      <w:spacing w:line="240" w:lineRule="auto"/>
    </w:pPr>
    <w:rPr>
      <w:szCs w:val="20"/>
    </w:rPr>
  </w:style>
  <w:style w:type="character" w:customStyle="1" w:styleId="CommentTextChar">
    <w:name w:val="Comment Text Char"/>
    <w:basedOn w:val="DefaultParagraphFont"/>
    <w:link w:val="CommentText"/>
    <w:uiPriority w:val="99"/>
    <w:rsid w:val="00C529CE"/>
    <w:rPr>
      <w:rFonts w:ascii="Arial" w:hAnsi="Arial"/>
      <w:bCs/>
      <w:sz w:val="20"/>
      <w:szCs w:val="20"/>
    </w:rPr>
  </w:style>
  <w:style w:type="table" w:styleId="ListTable2-Accent5">
    <w:name w:val="List Table 2 Accent 5"/>
    <w:basedOn w:val="TableNormal"/>
    <w:uiPriority w:val="47"/>
    <w:rsid w:val="00C529CE"/>
    <w:tblPr>
      <w:tblStyleRowBandSize w:val="1"/>
      <w:tblStyleColBandSize w:val="1"/>
      <w:tblBorders>
        <w:top w:val="single" w:sz="4" w:space="0" w:color="FBCFB4" w:themeColor="accent5" w:themeTint="99"/>
        <w:bottom w:val="single" w:sz="4" w:space="0" w:color="FBCFB4" w:themeColor="accent5" w:themeTint="99"/>
        <w:insideH w:val="single" w:sz="4" w:space="0" w:color="FBC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FE6" w:themeFill="accent5" w:themeFillTint="33"/>
      </w:tcPr>
    </w:tblStylePr>
    <w:tblStylePr w:type="band1Horz">
      <w:tblPr/>
      <w:tcPr>
        <w:shd w:val="clear" w:color="auto" w:fill="FDEFE6" w:themeFill="accent5" w:themeFillTint="33"/>
      </w:tcPr>
    </w:tblStylePr>
  </w:style>
  <w:style w:type="character" w:styleId="CommentReference">
    <w:name w:val="annotation reference"/>
    <w:basedOn w:val="DefaultParagraphFont"/>
    <w:uiPriority w:val="99"/>
    <w:semiHidden/>
    <w:unhideWhenUsed/>
    <w:rsid w:val="009709AD"/>
    <w:rPr>
      <w:sz w:val="16"/>
      <w:szCs w:val="16"/>
    </w:rPr>
  </w:style>
  <w:style w:type="paragraph" w:styleId="CommentSubject">
    <w:name w:val="annotation subject"/>
    <w:basedOn w:val="CommentText"/>
    <w:next w:val="CommentText"/>
    <w:link w:val="CommentSubjectChar"/>
    <w:uiPriority w:val="99"/>
    <w:semiHidden/>
    <w:unhideWhenUsed/>
    <w:rsid w:val="00CA7150"/>
    <w:rPr>
      <w:b/>
    </w:rPr>
  </w:style>
  <w:style w:type="character" w:customStyle="1" w:styleId="CommentSubjectChar">
    <w:name w:val="Comment Subject Char"/>
    <w:basedOn w:val="CommentTextChar"/>
    <w:link w:val="CommentSubject"/>
    <w:uiPriority w:val="99"/>
    <w:semiHidden/>
    <w:rsid w:val="00CA7150"/>
    <w:rPr>
      <w:rFonts w:ascii="Arial" w:hAnsi="Arial"/>
      <w:b/>
      <w:bCs/>
      <w:sz w:val="20"/>
      <w:szCs w:val="20"/>
    </w:rPr>
  </w:style>
  <w:style w:type="paragraph" w:styleId="FootnoteText">
    <w:name w:val="footnote text"/>
    <w:basedOn w:val="Normal"/>
    <w:link w:val="FootnoteTextChar"/>
    <w:uiPriority w:val="99"/>
    <w:unhideWhenUsed/>
    <w:rsid w:val="005610B8"/>
    <w:pPr>
      <w:spacing w:before="0" w:line="240" w:lineRule="auto"/>
    </w:pPr>
    <w:rPr>
      <w:szCs w:val="20"/>
    </w:rPr>
  </w:style>
  <w:style w:type="character" w:customStyle="1" w:styleId="FootnoteTextChar">
    <w:name w:val="Footnote Text Char"/>
    <w:basedOn w:val="DefaultParagraphFont"/>
    <w:link w:val="FootnoteText"/>
    <w:uiPriority w:val="99"/>
    <w:rsid w:val="005610B8"/>
    <w:rPr>
      <w:rFonts w:ascii="Arial" w:hAnsi="Arial"/>
      <w:bCs/>
      <w:sz w:val="20"/>
      <w:szCs w:val="20"/>
    </w:rPr>
  </w:style>
  <w:style w:type="character" w:styleId="FootnoteReference">
    <w:name w:val="footnote reference"/>
    <w:basedOn w:val="DefaultParagraphFont"/>
    <w:uiPriority w:val="99"/>
    <w:semiHidden/>
    <w:unhideWhenUsed/>
    <w:rsid w:val="005610B8"/>
    <w:rPr>
      <w:vertAlign w:val="superscript"/>
    </w:rPr>
  </w:style>
  <w:style w:type="paragraph" w:styleId="Revision">
    <w:name w:val="Revision"/>
    <w:hidden/>
    <w:uiPriority w:val="99"/>
    <w:semiHidden/>
    <w:rsid w:val="0081729C"/>
    <w:rPr>
      <w:rFonts w:ascii="Arial" w:hAnsi="Arial"/>
      <w:bCs/>
      <w:sz w:val="20"/>
      <w:szCs w:val="22"/>
    </w:rPr>
  </w:style>
  <w:style w:type="paragraph" w:styleId="NoSpacing">
    <w:name w:val="No Spacing"/>
    <w:uiPriority w:val="1"/>
    <w:qFormat/>
    <w:rsid w:val="007022F9"/>
    <w:rPr>
      <w:rFonts w:eastAsiaTheme="minorHAnsi"/>
      <w:sz w:val="22"/>
      <w:szCs w:val="22"/>
      <w:lang w:eastAsia="en-US"/>
    </w:rPr>
  </w:style>
  <w:style w:type="paragraph" w:customStyle="1" w:styleId="paragraph">
    <w:name w:val="paragraph"/>
    <w:basedOn w:val="Normal"/>
    <w:rsid w:val="007022F9"/>
    <w:pPr>
      <w:spacing w:before="100" w:beforeAutospacing="1" w:after="100" w:afterAutospacing="1" w:line="240" w:lineRule="auto"/>
    </w:pPr>
    <w:rPr>
      <w:rFonts w:ascii="Times New Roman" w:eastAsia="Times New Roman" w:hAnsi="Times New Roman" w:cs="Times New Roman"/>
      <w:bCs w:val="0"/>
      <w:sz w:val="24"/>
      <w:szCs w:val="24"/>
      <w:lang w:eastAsia="en-US"/>
    </w:rPr>
  </w:style>
  <w:style w:type="character" w:customStyle="1" w:styleId="normaltextrun">
    <w:name w:val="normaltextrun"/>
    <w:basedOn w:val="DefaultParagraphFont"/>
    <w:rsid w:val="00B945B1"/>
  </w:style>
  <w:style w:type="character" w:customStyle="1" w:styleId="eop">
    <w:name w:val="eop"/>
    <w:basedOn w:val="DefaultParagraphFont"/>
    <w:rsid w:val="00B945B1"/>
  </w:style>
  <w:style w:type="character" w:customStyle="1" w:styleId="scxw116777615">
    <w:name w:val="scxw116777615"/>
    <w:basedOn w:val="DefaultParagraphFont"/>
    <w:rsid w:val="00B945B1"/>
  </w:style>
  <w:style w:type="paragraph" w:styleId="EndnoteText">
    <w:name w:val="endnote text"/>
    <w:basedOn w:val="Normal"/>
    <w:link w:val="EndnoteTextChar"/>
    <w:uiPriority w:val="99"/>
    <w:semiHidden/>
    <w:unhideWhenUsed/>
    <w:rsid w:val="00BD7C28"/>
    <w:pPr>
      <w:spacing w:before="0" w:line="240" w:lineRule="auto"/>
    </w:pPr>
    <w:rPr>
      <w:szCs w:val="20"/>
    </w:rPr>
  </w:style>
  <w:style w:type="character" w:customStyle="1" w:styleId="EndnoteTextChar">
    <w:name w:val="Endnote Text Char"/>
    <w:basedOn w:val="DefaultParagraphFont"/>
    <w:link w:val="EndnoteText"/>
    <w:uiPriority w:val="99"/>
    <w:semiHidden/>
    <w:rsid w:val="00BD7C28"/>
    <w:rPr>
      <w:rFonts w:ascii="Arial" w:hAnsi="Arial"/>
      <w:bCs/>
      <w:sz w:val="20"/>
      <w:szCs w:val="20"/>
    </w:rPr>
  </w:style>
  <w:style w:type="character" w:styleId="EndnoteReference">
    <w:name w:val="endnote reference"/>
    <w:basedOn w:val="DefaultParagraphFont"/>
    <w:uiPriority w:val="99"/>
    <w:semiHidden/>
    <w:unhideWhenUsed/>
    <w:rsid w:val="00BD7C28"/>
    <w:rPr>
      <w:vertAlign w:val="superscript"/>
    </w:rPr>
  </w:style>
  <w:style w:type="character" w:customStyle="1" w:styleId="UnresolvedMention1">
    <w:name w:val="Unresolved Mention1"/>
    <w:basedOn w:val="DefaultParagraphFont"/>
    <w:uiPriority w:val="99"/>
    <w:semiHidden/>
    <w:unhideWhenUsed/>
    <w:rsid w:val="002744EA"/>
    <w:rPr>
      <w:color w:val="605E5C"/>
      <w:shd w:val="clear" w:color="auto" w:fill="E1DFDD"/>
    </w:rPr>
  </w:style>
  <w:style w:type="paragraph" w:customStyle="1" w:styleId="RiseBulletLevel1bl1">
    <w:name w:val="Rise Bullet Level 1&lt;bl1&gt;"/>
    <w:basedOn w:val="Normal"/>
    <w:qFormat/>
    <w:rsid w:val="005A7623"/>
    <w:pPr>
      <w:numPr>
        <w:numId w:val="21"/>
      </w:numPr>
      <w:spacing w:before="120" w:line="240" w:lineRule="auto"/>
    </w:pPr>
    <w:rPr>
      <w:rFonts w:ascii="Calibri" w:eastAsia="Calibri" w:hAnsi="Calibri" w:cs="Times New Roman"/>
      <w:bCs w:val="0"/>
      <w:color w:val="3F3E3E"/>
      <w:sz w:val="22"/>
      <w:lang w:eastAsia="en-US"/>
    </w:rPr>
  </w:style>
  <w:style w:type="character" w:styleId="FollowedHyperlink">
    <w:name w:val="FollowedHyperlink"/>
    <w:basedOn w:val="DefaultParagraphFont"/>
    <w:uiPriority w:val="99"/>
    <w:semiHidden/>
    <w:unhideWhenUsed/>
    <w:rsid w:val="007866FC"/>
    <w:rPr>
      <w:color w:val="7097A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85613">
      <w:bodyDiv w:val="1"/>
      <w:marLeft w:val="0"/>
      <w:marRight w:val="0"/>
      <w:marTop w:val="0"/>
      <w:marBottom w:val="0"/>
      <w:divBdr>
        <w:top w:val="none" w:sz="0" w:space="0" w:color="auto"/>
        <w:left w:val="none" w:sz="0" w:space="0" w:color="auto"/>
        <w:bottom w:val="none" w:sz="0" w:space="0" w:color="auto"/>
        <w:right w:val="none" w:sz="0" w:space="0" w:color="auto"/>
      </w:divBdr>
    </w:div>
    <w:div w:id="1164397573">
      <w:bodyDiv w:val="1"/>
      <w:marLeft w:val="0"/>
      <w:marRight w:val="0"/>
      <w:marTop w:val="0"/>
      <w:marBottom w:val="0"/>
      <w:divBdr>
        <w:top w:val="none" w:sz="0" w:space="0" w:color="auto"/>
        <w:left w:val="none" w:sz="0" w:space="0" w:color="auto"/>
        <w:bottom w:val="none" w:sz="0" w:space="0" w:color="auto"/>
        <w:right w:val="none" w:sz="0" w:space="0" w:color="auto"/>
      </w:divBdr>
      <w:divsChild>
        <w:div w:id="97066772">
          <w:marLeft w:val="0"/>
          <w:marRight w:val="0"/>
          <w:marTop w:val="0"/>
          <w:marBottom w:val="0"/>
          <w:divBdr>
            <w:top w:val="none" w:sz="0" w:space="0" w:color="auto"/>
            <w:left w:val="none" w:sz="0" w:space="0" w:color="auto"/>
            <w:bottom w:val="none" w:sz="0" w:space="0" w:color="auto"/>
            <w:right w:val="none" w:sz="0" w:space="0" w:color="auto"/>
          </w:divBdr>
        </w:div>
      </w:divsChild>
    </w:div>
    <w:div w:id="1306737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bf228b79aba94ae5"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PROMISE">
      <a:dk1>
        <a:srgbClr val="01526C"/>
      </a:dk1>
      <a:lt1>
        <a:srgbClr val="7097A6"/>
      </a:lt1>
      <a:dk2>
        <a:srgbClr val="01526C"/>
      </a:dk2>
      <a:lt2>
        <a:srgbClr val="B7CBD2"/>
      </a:lt2>
      <a:accent1>
        <a:srgbClr val="AAC1CA"/>
      </a:accent1>
      <a:accent2>
        <a:srgbClr val="557A89"/>
      </a:accent2>
      <a:accent3>
        <a:srgbClr val="C3CD47"/>
      </a:accent3>
      <a:accent4>
        <a:srgbClr val="F4711F"/>
      </a:accent4>
      <a:accent5>
        <a:srgbClr val="F9B083"/>
      </a:accent5>
      <a:accent6>
        <a:srgbClr val="DAE08C"/>
      </a:accent6>
      <a:hlink>
        <a:srgbClr val="F4711F"/>
      </a:hlink>
      <a:folHlink>
        <a:srgbClr val="7097A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C7DD576EC932409E8F842B4F6A3807" ma:contentTypeVersion="10" ma:contentTypeDescription="Create a new document." ma:contentTypeScope="" ma:versionID="1e18e0cdf42751d4944d767a2eeedfe7">
  <xsd:schema xmlns:xsd="http://www.w3.org/2001/XMLSchema" xmlns:xs="http://www.w3.org/2001/XMLSchema" xmlns:p="http://schemas.microsoft.com/office/2006/metadata/properties" xmlns:ns3="b4010a21-5916-4245-b759-76466775949e" targetNamespace="http://schemas.microsoft.com/office/2006/metadata/properties" ma:root="true" ma:fieldsID="b6a6c73110c141481a04b77400d61e1d" ns3:_="">
    <xsd:import namespace="b4010a21-5916-4245-b759-7646677594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10a21-5916-4245-b759-764667759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E9C9D6-39AC-4E04-A149-C9172A99429C}">
  <ds:schemaRefs>
    <ds:schemaRef ds:uri="http://schemas.openxmlformats.org/officeDocument/2006/bibliography"/>
  </ds:schemaRefs>
</ds:datastoreItem>
</file>

<file path=customXml/itemProps2.xml><?xml version="1.0" encoding="utf-8"?>
<ds:datastoreItem xmlns:ds="http://schemas.openxmlformats.org/officeDocument/2006/customXml" ds:itemID="{5B91050A-B0BF-49D2-8977-23CFE2DA4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10a21-5916-4245-b759-764667759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B3232-CFCE-4114-B8B9-BA101AAC8A51}">
  <ds:schemaRefs>
    <ds:schemaRef ds:uri="http://schemas.microsoft.com/sharepoint/v3/contenttype/forms"/>
  </ds:schemaRefs>
</ds:datastoreItem>
</file>

<file path=customXml/itemProps4.xml><?xml version="1.0" encoding="utf-8"?>
<ds:datastoreItem xmlns:ds="http://schemas.openxmlformats.org/officeDocument/2006/customXml" ds:itemID="{0D04F71C-8B30-438C-A142-56ABD91C25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6756</Words>
  <Characters>38512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45178</CharactersWithSpaces>
  <SharedDoc>false</SharedDoc>
  <HLinks>
    <vt:vector size="36" baseType="variant">
      <vt:variant>
        <vt:i4>196616</vt:i4>
      </vt:variant>
      <vt:variant>
        <vt:i4>15</vt:i4>
      </vt:variant>
      <vt:variant>
        <vt:i4>0</vt:i4>
      </vt:variant>
      <vt:variant>
        <vt:i4>5</vt:i4>
      </vt:variant>
      <vt:variant>
        <vt:lpwstr>https://pubmed.ncbi.nlm.nih.gov/31069957/</vt:lpwstr>
      </vt:variant>
      <vt:variant>
        <vt:lpwstr/>
      </vt:variant>
      <vt:variant>
        <vt:i4>196616</vt:i4>
      </vt:variant>
      <vt:variant>
        <vt:i4>12</vt:i4>
      </vt:variant>
      <vt:variant>
        <vt:i4>0</vt:i4>
      </vt:variant>
      <vt:variant>
        <vt:i4>5</vt:i4>
      </vt:variant>
      <vt:variant>
        <vt:lpwstr>https://pubmed.ncbi.nlm.nih.gov/31069957/</vt:lpwstr>
      </vt:variant>
      <vt:variant>
        <vt:lpwstr/>
      </vt:variant>
      <vt:variant>
        <vt:i4>196618</vt:i4>
      </vt:variant>
      <vt:variant>
        <vt:i4>9</vt:i4>
      </vt:variant>
      <vt:variant>
        <vt:i4>0</vt:i4>
      </vt:variant>
      <vt:variant>
        <vt:i4>5</vt:i4>
      </vt:variant>
      <vt:variant>
        <vt:lpwstr>https://pubmed.ncbi.nlm.nih.gov/29600595/</vt:lpwstr>
      </vt:variant>
      <vt:variant>
        <vt:lpwstr/>
      </vt:variant>
      <vt:variant>
        <vt:i4>196618</vt:i4>
      </vt:variant>
      <vt:variant>
        <vt:i4>6</vt:i4>
      </vt:variant>
      <vt:variant>
        <vt:i4>0</vt:i4>
      </vt:variant>
      <vt:variant>
        <vt:i4>5</vt:i4>
      </vt:variant>
      <vt:variant>
        <vt:lpwstr>https://pubmed.ncbi.nlm.nih.gov/29600595/</vt:lpwstr>
      </vt:variant>
      <vt:variant>
        <vt:lpwstr/>
      </vt:variant>
      <vt:variant>
        <vt:i4>196618</vt:i4>
      </vt:variant>
      <vt:variant>
        <vt:i4>3</vt:i4>
      </vt:variant>
      <vt:variant>
        <vt:i4>0</vt:i4>
      </vt:variant>
      <vt:variant>
        <vt:i4>5</vt:i4>
      </vt:variant>
      <vt:variant>
        <vt:lpwstr>https://pubmed.ncbi.nlm.nih.gov/29600595/</vt:lpwstr>
      </vt:variant>
      <vt:variant>
        <vt:lpwstr/>
      </vt:variant>
      <vt:variant>
        <vt:i4>196618</vt:i4>
      </vt:variant>
      <vt:variant>
        <vt:i4>0</vt:i4>
      </vt:variant>
      <vt:variant>
        <vt:i4>0</vt:i4>
      </vt:variant>
      <vt:variant>
        <vt:i4>5</vt:i4>
      </vt:variant>
      <vt:variant>
        <vt:lpwstr>https://pubmed.ncbi.nlm.nih.gov/29600595/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Dyson</dc:creator>
  <cp:keywords/>
  <dc:description/>
  <cp:lastModifiedBy>Katie Schwartz</cp:lastModifiedBy>
  <cp:revision>4</cp:revision>
  <cp:lastPrinted>2021-05-26T14:27:00Z</cp:lastPrinted>
  <dcterms:created xsi:type="dcterms:W3CDTF">2021-09-13T10:52:00Z</dcterms:created>
  <dcterms:modified xsi:type="dcterms:W3CDTF">2022-03-31T22:57:00Z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0x01010085C7DD576EC932409E8F842B4F6A3807</vt:lpwstr>
  </property>
</Properties>
</file>