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1A14" w14:textId="600A342C" w:rsidR="00010236" w:rsidRPr="00C96B0D" w:rsidRDefault="00DE2A12" w:rsidP="00DE2A12">
      <w:pPr>
        <w:spacing w:after="240"/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82E9" wp14:editId="364E5048">
                <wp:simplePos x="0" y="0"/>
                <wp:positionH relativeFrom="column">
                  <wp:posOffset>3041015</wp:posOffset>
                </wp:positionH>
                <wp:positionV relativeFrom="paragraph">
                  <wp:posOffset>427828</wp:posOffset>
                </wp:positionV>
                <wp:extent cx="2190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16C26" id="Rectangle 2" o:spid="_x0000_s1026" style="position:absolute;margin-left:239.45pt;margin-top:33.7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" fillcolor="white [3212]" strokecolor="white [3212]" strokeweight="1pt"/>
            </w:pict>
          </mc:Fallback>
        </mc:AlternateContent>
      </w:r>
      <w:r w:rsidR="00010236" w:rsidRPr="00C96B0D">
        <w:rPr>
          <w:b/>
          <w:bCs/>
          <w:color w:val="2F5496" w:themeColor="accent1" w:themeShade="BF"/>
          <w:sz w:val="36"/>
          <w:szCs w:val="36"/>
        </w:rPr>
        <w:t xml:space="preserve">ADDITIONAL GUIDANCE and </w:t>
      </w:r>
      <w:r w:rsidR="00C96B0D">
        <w:rPr>
          <w:b/>
          <w:bCs/>
          <w:color w:val="2F5496" w:themeColor="accent1" w:themeShade="BF"/>
          <w:sz w:val="36"/>
          <w:szCs w:val="36"/>
        </w:rPr>
        <w:t xml:space="preserve">KEY </w:t>
      </w:r>
      <w:r w:rsidR="00010236" w:rsidRPr="00C96B0D">
        <w:rPr>
          <w:b/>
          <w:bCs/>
          <w:color w:val="2F5496" w:themeColor="accent1" w:themeShade="BF"/>
          <w:sz w:val="36"/>
          <w:szCs w:val="36"/>
        </w:rPr>
        <w:t>MESSAGES</w:t>
      </w:r>
      <w:r w:rsidR="0041504C">
        <w:rPr>
          <w:b/>
          <w:bCs/>
          <w:color w:val="2F5496" w:themeColor="accent1" w:themeShade="BF"/>
          <w:sz w:val="36"/>
          <w:szCs w:val="36"/>
        </w:rPr>
        <w:t xml:space="preserve"> </w:t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44" w:type="dxa"/>
          <w:bottom w:w="72" w:type="dxa"/>
          <w:right w:w="216" w:type="dxa"/>
        </w:tblCellMar>
        <w:tblLook w:val="04A0" w:firstRow="1" w:lastRow="0" w:firstColumn="1" w:lastColumn="0" w:noHBand="0" w:noVBand="1"/>
      </w:tblPr>
      <w:tblGrid>
        <w:gridCol w:w="4770"/>
        <w:gridCol w:w="270"/>
        <w:gridCol w:w="270"/>
        <w:gridCol w:w="4230"/>
        <w:gridCol w:w="720"/>
        <w:gridCol w:w="270"/>
      </w:tblGrid>
      <w:tr w:rsidR="00D35E36" w14:paraId="527D1709" w14:textId="77777777" w:rsidTr="00EE676C">
        <w:tc>
          <w:tcPr>
            <w:tcW w:w="5040" w:type="dxa"/>
            <w:gridSpan w:val="2"/>
            <w:tcBorders>
              <w:right w:val="single" w:sz="48" w:space="0" w:color="FFFFFF"/>
            </w:tcBorders>
            <w:shd w:val="clear" w:color="auto" w:fill="D9E2F3" w:themeFill="accent1" w:themeFillTint="33"/>
            <w:vAlign w:val="center"/>
          </w:tcPr>
          <w:p w14:paraId="539FC197" w14:textId="0C90B61E" w:rsidR="00D35E36" w:rsidRPr="00836750" w:rsidRDefault="000105F4" w:rsidP="00EE676C">
            <w:pPr>
              <w:ind w:right="-30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36750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Testing for HIV </w:t>
            </w:r>
          </w:p>
        </w:tc>
        <w:tc>
          <w:tcPr>
            <w:tcW w:w="5490" w:type="dxa"/>
            <w:gridSpan w:val="4"/>
            <w:tcBorders>
              <w:left w:val="single" w:sz="48" w:space="0" w:color="FFFFFF"/>
            </w:tcBorders>
            <w:shd w:val="clear" w:color="auto" w:fill="D9E2F3" w:themeFill="accent1" w:themeFillTint="33"/>
            <w:vAlign w:val="center"/>
          </w:tcPr>
          <w:p w14:paraId="32D28D22" w14:textId="5BA42CAC" w:rsidR="00D35E36" w:rsidRPr="00836750" w:rsidRDefault="000105F4" w:rsidP="00D35E36">
            <w:pPr>
              <w:ind w:left="133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36750">
              <w:rPr>
                <w:b/>
                <w:bCs/>
                <w:color w:val="2F5496" w:themeColor="accent1" w:themeShade="BF"/>
                <w:sz w:val="28"/>
                <w:szCs w:val="28"/>
              </w:rPr>
              <w:t>Recent HIV Exposure</w:t>
            </w:r>
          </w:p>
        </w:tc>
      </w:tr>
      <w:tr w:rsidR="00010236" w14:paraId="38FCA3FD" w14:textId="77777777" w:rsidTr="00EE676C">
        <w:tc>
          <w:tcPr>
            <w:tcW w:w="5040" w:type="dxa"/>
            <w:gridSpan w:val="2"/>
          </w:tcPr>
          <w:p w14:paraId="11094BF9" w14:textId="2BBD2B3B" w:rsidR="000105F4" w:rsidRPr="00EE676C" w:rsidRDefault="000105F4" w:rsidP="0070453D">
            <w:pPr>
              <w:tabs>
                <w:tab w:val="left" w:pos="7243"/>
              </w:tabs>
              <w:spacing w:before="60"/>
              <w:rPr>
                <w:sz w:val="20"/>
                <w:szCs w:val="20"/>
              </w:rPr>
            </w:pPr>
            <w:r w:rsidRPr="00EE676C">
              <w:rPr>
                <w:sz w:val="20"/>
                <w:szCs w:val="20"/>
              </w:rPr>
              <w:t xml:space="preserve">Negative </w:t>
            </w:r>
            <w:r w:rsidR="0070453D" w:rsidRPr="00EE676C">
              <w:rPr>
                <w:sz w:val="20"/>
                <w:szCs w:val="20"/>
              </w:rPr>
              <w:t xml:space="preserve">blood-based </w:t>
            </w:r>
            <w:r w:rsidRPr="00EE676C">
              <w:rPr>
                <w:sz w:val="20"/>
                <w:szCs w:val="20"/>
              </w:rPr>
              <w:t xml:space="preserve">HIV test result should </w:t>
            </w:r>
            <w:r w:rsidR="00382C3A" w:rsidRPr="00EE676C">
              <w:rPr>
                <w:sz w:val="20"/>
                <w:szCs w:val="20"/>
              </w:rPr>
              <w:t>(ideally)</w:t>
            </w:r>
            <w:r w:rsidR="0046587C" w:rsidRPr="00EE676C">
              <w:rPr>
                <w:sz w:val="20"/>
                <w:szCs w:val="20"/>
              </w:rPr>
              <w:t xml:space="preserve"> be</w:t>
            </w:r>
            <w:r w:rsidRPr="00EE676C">
              <w:rPr>
                <w:sz w:val="20"/>
                <w:szCs w:val="20"/>
              </w:rPr>
              <w:t xml:space="preserve"> obtained on the day that PrEP is started. </w:t>
            </w:r>
          </w:p>
          <w:p w14:paraId="010531F2" w14:textId="5E203AD1" w:rsidR="000105F4" w:rsidRPr="00EE676C" w:rsidRDefault="000105F4" w:rsidP="000D405A">
            <w:pPr>
              <w:pStyle w:val="ListParagraph"/>
              <w:numPr>
                <w:ilvl w:val="0"/>
                <w:numId w:val="10"/>
              </w:numPr>
              <w:tabs>
                <w:tab w:val="left" w:pos="7243"/>
              </w:tabs>
              <w:spacing w:before="120"/>
              <w:ind w:left="304" w:hanging="270"/>
              <w:contextualSpacing w:val="0"/>
              <w:rPr>
                <w:sz w:val="20"/>
                <w:szCs w:val="20"/>
              </w:rPr>
            </w:pPr>
            <w:r w:rsidRPr="00EE676C">
              <w:rPr>
                <w:sz w:val="20"/>
                <w:szCs w:val="20"/>
              </w:rPr>
              <w:t xml:space="preserve">If test result is inconclusive, </w:t>
            </w:r>
            <w:r w:rsidR="00BD71F0" w:rsidRPr="00EE676C">
              <w:rPr>
                <w:sz w:val="20"/>
                <w:szCs w:val="20"/>
              </w:rPr>
              <w:t xml:space="preserve">defer PrEP, </w:t>
            </w:r>
            <w:r w:rsidRPr="00EE676C">
              <w:rPr>
                <w:sz w:val="20"/>
                <w:szCs w:val="20"/>
              </w:rPr>
              <w:t xml:space="preserve">refer for confirmatory test </w:t>
            </w:r>
            <w:r w:rsidR="00341424" w:rsidRPr="00EE676C">
              <w:rPr>
                <w:sz w:val="20"/>
                <w:szCs w:val="20"/>
              </w:rPr>
              <w:t>following the national guidelines, and provide risk-reduction counseling</w:t>
            </w:r>
            <w:r w:rsidRPr="00EE676C">
              <w:rPr>
                <w:sz w:val="20"/>
                <w:szCs w:val="20"/>
              </w:rPr>
              <w:t>.</w:t>
            </w:r>
          </w:p>
          <w:p w14:paraId="45CF3293" w14:textId="6E01C7F7" w:rsidR="00010236" w:rsidRPr="00EE676C" w:rsidRDefault="000105F4" w:rsidP="00985FD3">
            <w:pPr>
              <w:pStyle w:val="ListParagraph"/>
              <w:numPr>
                <w:ilvl w:val="0"/>
                <w:numId w:val="10"/>
              </w:numPr>
              <w:tabs>
                <w:tab w:val="left" w:pos="7243"/>
              </w:tabs>
              <w:spacing w:before="120" w:after="120"/>
              <w:ind w:left="303" w:hanging="274"/>
              <w:contextualSpacing w:val="0"/>
              <w:rPr>
                <w:sz w:val="20"/>
                <w:szCs w:val="20"/>
              </w:rPr>
            </w:pPr>
            <w:r w:rsidRPr="00EE676C">
              <w:rPr>
                <w:sz w:val="20"/>
                <w:szCs w:val="20"/>
              </w:rPr>
              <w:t xml:space="preserve">If the client has symptoms </w:t>
            </w:r>
            <w:r w:rsidR="004F7B29" w:rsidRPr="00EE676C">
              <w:rPr>
                <w:sz w:val="20"/>
                <w:szCs w:val="20"/>
              </w:rPr>
              <w:t>sus</w:t>
            </w:r>
            <w:r w:rsidR="00606F94" w:rsidRPr="00EE676C">
              <w:rPr>
                <w:sz w:val="20"/>
                <w:szCs w:val="20"/>
              </w:rPr>
              <w:t>picious for</w:t>
            </w:r>
            <w:r w:rsidRPr="00EE676C">
              <w:rPr>
                <w:sz w:val="20"/>
                <w:szCs w:val="20"/>
              </w:rPr>
              <w:t xml:space="preserve"> acute HIV infection</w:t>
            </w:r>
            <w:r w:rsidR="00341424" w:rsidRPr="00EE676C">
              <w:rPr>
                <w:sz w:val="20"/>
                <w:szCs w:val="20"/>
              </w:rPr>
              <w:t xml:space="preserve"> due to </w:t>
            </w:r>
            <w:r w:rsidR="00606F94" w:rsidRPr="00EE676C">
              <w:rPr>
                <w:sz w:val="20"/>
                <w:szCs w:val="20"/>
              </w:rPr>
              <w:t>possible</w:t>
            </w:r>
            <w:r w:rsidR="00754072" w:rsidRPr="00EE676C">
              <w:rPr>
                <w:sz w:val="20"/>
                <w:szCs w:val="20"/>
              </w:rPr>
              <w:t xml:space="preserve"> </w:t>
            </w:r>
            <w:r w:rsidR="00341424" w:rsidRPr="00EE676C">
              <w:rPr>
                <w:sz w:val="20"/>
                <w:szCs w:val="20"/>
              </w:rPr>
              <w:t>HIV exposure within the past 14 days</w:t>
            </w:r>
            <w:r w:rsidRPr="00EE676C">
              <w:rPr>
                <w:sz w:val="20"/>
                <w:szCs w:val="20"/>
              </w:rPr>
              <w:t xml:space="preserve">, </w:t>
            </w:r>
            <w:r w:rsidR="00341424" w:rsidRPr="00EE676C">
              <w:rPr>
                <w:sz w:val="20"/>
                <w:szCs w:val="20"/>
              </w:rPr>
              <w:t>defer PrEP,</w:t>
            </w:r>
            <w:r w:rsidR="00495051" w:rsidRPr="00EE676C">
              <w:rPr>
                <w:rStyle w:val="CommentReference"/>
                <w:sz w:val="20"/>
                <w:szCs w:val="20"/>
              </w:rPr>
              <w:t xml:space="preserve"> refer for evaluation</w:t>
            </w:r>
            <w:r w:rsidR="005A6072" w:rsidRPr="00EE676C">
              <w:rPr>
                <w:rStyle w:val="CommentReference"/>
                <w:sz w:val="20"/>
                <w:szCs w:val="20"/>
              </w:rPr>
              <w:t xml:space="preserve"> if needed,</w:t>
            </w:r>
            <w:r w:rsidRPr="00EE676C">
              <w:rPr>
                <w:sz w:val="20"/>
                <w:szCs w:val="20"/>
              </w:rPr>
              <w:t xml:space="preserve"> and repeat rapid HIV test in </w:t>
            </w:r>
            <w:r w:rsidR="00712D6C" w:rsidRPr="00EE676C">
              <w:rPr>
                <w:sz w:val="20"/>
                <w:szCs w:val="20"/>
              </w:rPr>
              <w:t>one</w:t>
            </w:r>
            <w:r w:rsidRPr="00EE676C">
              <w:rPr>
                <w:sz w:val="20"/>
                <w:szCs w:val="20"/>
              </w:rPr>
              <w:t xml:space="preserve"> month. </w:t>
            </w:r>
          </w:p>
        </w:tc>
        <w:tc>
          <w:tcPr>
            <w:tcW w:w="5490" w:type="dxa"/>
            <w:gridSpan w:val="4"/>
          </w:tcPr>
          <w:p w14:paraId="5FD8E530" w14:textId="6CF15C5D" w:rsidR="000105F4" w:rsidRPr="00EE676C" w:rsidRDefault="000105F4" w:rsidP="00EE676C">
            <w:pPr>
              <w:tabs>
                <w:tab w:val="left" w:pos="5040"/>
              </w:tabs>
              <w:spacing w:before="60"/>
              <w:rPr>
                <w:spacing w:val="-4"/>
                <w:sz w:val="20"/>
                <w:szCs w:val="20"/>
              </w:rPr>
            </w:pPr>
            <w:r w:rsidRPr="00EE676C">
              <w:rPr>
                <w:spacing w:val="-4"/>
                <w:sz w:val="20"/>
                <w:szCs w:val="20"/>
              </w:rPr>
              <w:t>Counsel that post-exposure prophylaxis (PEP) can prevent HIV if taken within 72 hours of possible exposure. Explain that:</w:t>
            </w:r>
          </w:p>
          <w:p w14:paraId="1EDD4917" w14:textId="77777777" w:rsidR="000105F4" w:rsidRPr="00EE676C" w:rsidRDefault="000105F4" w:rsidP="000D405A">
            <w:pPr>
              <w:pStyle w:val="ListParagraph"/>
              <w:numPr>
                <w:ilvl w:val="0"/>
                <w:numId w:val="10"/>
              </w:numPr>
              <w:spacing w:before="40"/>
              <w:ind w:left="299" w:hanging="270"/>
              <w:contextualSpacing w:val="0"/>
              <w:rPr>
                <w:sz w:val="20"/>
                <w:szCs w:val="20"/>
              </w:rPr>
            </w:pPr>
            <w:r w:rsidRPr="00EE676C">
              <w:rPr>
                <w:sz w:val="20"/>
                <w:szCs w:val="20"/>
              </w:rPr>
              <w:t>PEP is a regimen of anti-retroviral (ARV) medications taken for a period of 28 days.</w:t>
            </w:r>
          </w:p>
          <w:p w14:paraId="1F2BCE0A" w14:textId="4D6404E9" w:rsidR="00010236" w:rsidRPr="00EE676C" w:rsidRDefault="00A77774" w:rsidP="000D405A">
            <w:pPr>
              <w:pStyle w:val="ListParagraph"/>
              <w:numPr>
                <w:ilvl w:val="0"/>
                <w:numId w:val="10"/>
              </w:numPr>
              <w:tabs>
                <w:tab w:val="left" w:pos="7243"/>
              </w:tabs>
              <w:spacing w:before="40" w:after="200"/>
              <w:ind w:left="299" w:hanging="270"/>
              <w:contextualSpacing w:val="0"/>
              <w:rPr>
                <w:spacing w:val="-6"/>
                <w:sz w:val="20"/>
                <w:szCs w:val="20"/>
              </w:rPr>
            </w:pPr>
            <w:r w:rsidRPr="00EE676C">
              <w:rPr>
                <w:spacing w:val="-6"/>
                <w:sz w:val="20"/>
                <w:szCs w:val="20"/>
              </w:rPr>
              <w:t>Blood-based</w:t>
            </w:r>
            <w:r w:rsidR="000105F4" w:rsidRPr="00EE676C">
              <w:rPr>
                <w:spacing w:val="-6"/>
                <w:sz w:val="20"/>
                <w:szCs w:val="20"/>
              </w:rPr>
              <w:t xml:space="preserve"> HIV test will be repeated after PEP regimen is completed and if negative, PrEP can be started immediately. </w:t>
            </w:r>
          </w:p>
          <w:p w14:paraId="38D40626" w14:textId="418B43C6" w:rsidR="00F2055A" w:rsidRPr="00EE676C" w:rsidRDefault="00F2055A" w:rsidP="00F2055A">
            <w:pPr>
              <w:tabs>
                <w:tab w:val="left" w:pos="7243"/>
              </w:tabs>
              <w:spacing w:before="120" w:after="200"/>
              <w:rPr>
                <w:sz w:val="20"/>
                <w:szCs w:val="20"/>
              </w:rPr>
            </w:pPr>
            <w:r w:rsidRPr="00EE676C">
              <w:rPr>
                <w:sz w:val="20"/>
                <w:szCs w:val="20"/>
              </w:rPr>
              <w:t>If needed</w:t>
            </w:r>
            <w:r w:rsidR="004D5155" w:rsidRPr="00EE676C">
              <w:rPr>
                <w:sz w:val="20"/>
                <w:szCs w:val="20"/>
              </w:rPr>
              <w:t>,</w:t>
            </w:r>
            <w:r w:rsidRPr="00EE676C">
              <w:rPr>
                <w:sz w:val="20"/>
                <w:szCs w:val="20"/>
              </w:rPr>
              <w:t xml:space="preserve"> offer emergency contraception (EC). Reassure that EC remains safe and effective if taken with PEP.</w:t>
            </w:r>
          </w:p>
        </w:tc>
      </w:tr>
      <w:tr w:rsidR="002B3780" w14:paraId="2C856B7D" w14:textId="77777777" w:rsidTr="00EE676C">
        <w:tc>
          <w:tcPr>
            <w:tcW w:w="10530" w:type="dxa"/>
            <w:gridSpan w:val="6"/>
            <w:shd w:val="clear" w:color="auto" w:fill="D9E2F3" w:themeFill="accent1" w:themeFillTint="33"/>
            <w:vAlign w:val="center"/>
          </w:tcPr>
          <w:p w14:paraId="35482A24" w14:textId="58A5504C" w:rsidR="002B3780" w:rsidRPr="00A65864" w:rsidRDefault="00000000" w:rsidP="00D35E36">
            <w:pPr>
              <w:jc w:val="center"/>
              <w:rPr>
                <w:b/>
                <w:bCs/>
                <w:caps/>
                <w:color w:val="2F5496" w:themeColor="accent1" w:themeShade="BF"/>
                <w:sz w:val="28"/>
                <w:szCs w:val="28"/>
              </w:rPr>
            </w:pPr>
            <w:hyperlink r:id="rId8" w:history="1">
              <w:r w:rsidR="002B3780" w:rsidRPr="00C7714B">
                <w:rPr>
                  <w:rStyle w:val="Hyperlink"/>
                  <w:b/>
                  <w:bCs/>
                  <w:color w:val="2F5496" w:themeColor="accent1" w:themeShade="BF"/>
                  <w:sz w:val="28"/>
                  <w:szCs w:val="28"/>
                  <w:u w:val="none"/>
                </w:rPr>
                <w:t>Lab</w:t>
              </w:r>
              <w:r w:rsidR="002B3780" w:rsidRPr="00C7714B">
                <w:rPr>
                  <w:rStyle w:val="Hyperlink"/>
                  <w:b/>
                  <w:bCs/>
                  <w:caps/>
                  <w:color w:val="2F5496" w:themeColor="accent1" w:themeShade="BF"/>
                  <w:sz w:val="28"/>
                  <w:szCs w:val="28"/>
                  <w:u w:val="none"/>
                </w:rPr>
                <w:t xml:space="preserve"> </w:t>
              </w:r>
              <w:r w:rsidR="00712D6C" w:rsidRPr="00C7714B">
                <w:rPr>
                  <w:rStyle w:val="Hyperlink"/>
                  <w:b/>
                  <w:bCs/>
                  <w:caps/>
                  <w:color w:val="2F5496" w:themeColor="accent1" w:themeShade="BF"/>
                  <w:sz w:val="28"/>
                  <w:szCs w:val="28"/>
                  <w:u w:val="none"/>
                </w:rPr>
                <w:t>W</w:t>
              </w:r>
              <w:r w:rsidR="002B3780" w:rsidRPr="00C7714B">
                <w:rPr>
                  <w:rStyle w:val="Hyperlink"/>
                  <w:b/>
                  <w:bCs/>
                  <w:color w:val="2F5496" w:themeColor="accent1" w:themeShade="BF"/>
                  <w:sz w:val="28"/>
                  <w:szCs w:val="28"/>
                  <w:u w:val="none"/>
                </w:rPr>
                <w:t>ork</w:t>
              </w:r>
            </w:hyperlink>
          </w:p>
        </w:tc>
      </w:tr>
      <w:tr w:rsidR="00010236" w14:paraId="69FE3939" w14:textId="77777777" w:rsidTr="00EE676C">
        <w:trPr>
          <w:gridAfter w:val="2"/>
          <w:wAfter w:w="990" w:type="dxa"/>
        </w:trPr>
        <w:tc>
          <w:tcPr>
            <w:tcW w:w="5310" w:type="dxa"/>
            <w:gridSpan w:val="3"/>
          </w:tcPr>
          <w:p w14:paraId="41847CDC" w14:textId="1CFE37EF" w:rsidR="00010236" w:rsidRPr="00EE676C" w:rsidRDefault="00010236" w:rsidP="00DE2A12">
            <w:pPr>
              <w:spacing w:before="60" w:after="60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EE676C">
              <w:rPr>
                <w:b/>
                <w:bCs/>
                <w:color w:val="2F5496" w:themeColor="accent1" w:themeShade="BF"/>
                <w:sz w:val="22"/>
                <w:szCs w:val="22"/>
              </w:rPr>
              <w:t>Monitoring Kidney Function</w:t>
            </w:r>
          </w:p>
          <w:p w14:paraId="12B6EA5A" w14:textId="3F9E6A4E" w:rsidR="00010236" w:rsidRPr="00EE676C" w:rsidRDefault="00010236" w:rsidP="00010236">
            <w:pPr>
              <w:tabs>
                <w:tab w:val="left" w:pos="7243"/>
              </w:tabs>
              <w:rPr>
                <w:sz w:val="20"/>
                <w:szCs w:val="20"/>
              </w:rPr>
            </w:pPr>
            <w:r w:rsidRPr="00EE676C">
              <w:rPr>
                <w:sz w:val="20"/>
                <w:szCs w:val="20"/>
              </w:rPr>
              <w:t xml:space="preserve">Counsel that a very small number of people may not be able to use PrEP because they have problems with their kidneys. </w:t>
            </w:r>
          </w:p>
          <w:p w14:paraId="0E493DCA" w14:textId="2F2A5D04" w:rsidR="00010236" w:rsidRPr="00EE676C" w:rsidRDefault="00980E0B" w:rsidP="000D405A">
            <w:pPr>
              <w:pStyle w:val="ListParagraph"/>
              <w:numPr>
                <w:ilvl w:val="0"/>
                <w:numId w:val="11"/>
              </w:numPr>
              <w:tabs>
                <w:tab w:val="left" w:pos="7243"/>
              </w:tabs>
              <w:spacing w:before="120"/>
              <w:ind w:left="304" w:hanging="270"/>
              <w:contextualSpacing w:val="0"/>
              <w:rPr>
                <w:rFonts w:ascii="Calibri" w:hAnsi="Calibri"/>
                <w:spacing w:val="-2"/>
                <w:sz w:val="20"/>
                <w:szCs w:val="20"/>
              </w:rPr>
            </w:pPr>
            <w:r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Test for kidney function (either creatinine clearance or estimated glomerular filtration rate [eGFR]) is not required on the day of PrEP initiation but should be done within 1-3 months of taking PrEP in clients of any age with health conditions that may affect kidney function (e.g., diabetes, hypertension) or those aged 50+ years. For clients with no kidney-related health conditions, test is optional if they are younger than 30</w:t>
            </w:r>
            <w:r w:rsidR="00800ED8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,</w:t>
            </w:r>
            <w:r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and optional but recommended within 1-3 months of PrEP initiation if they are aged 30-49 years.</w:t>
            </w:r>
          </w:p>
          <w:p w14:paraId="1D284FAC" w14:textId="4941EC16" w:rsidR="002B3780" w:rsidRPr="00F51D3E" w:rsidRDefault="00A66B6F" w:rsidP="000D405A">
            <w:pPr>
              <w:pStyle w:val="ListParagraph"/>
              <w:numPr>
                <w:ilvl w:val="0"/>
                <w:numId w:val="11"/>
              </w:numPr>
              <w:tabs>
                <w:tab w:val="left" w:pos="7243"/>
              </w:tabs>
              <w:spacing w:before="120"/>
              <w:ind w:left="304" w:hanging="270"/>
              <w:contextualSpacing w:val="0"/>
              <w:rPr>
                <w:rFonts w:ascii="Calibri" w:hAnsi="Calibri"/>
                <w:spacing w:val="-4"/>
                <w:sz w:val="20"/>
                <w:szCs w:val="20"/>
              </w:rPr>
            </w:pPr>
            <w:r w:rsidRPr="00A66B6F"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When referring for testing (or sending blood), provide a record of the client’s age, weight, and sex </w:t>
            </w:r>
            <w:r w:rsidRPr="00A66B6F">
              <w:rPr>
                <w:rFonts w:ascii="Calibri" w:hAnsi="Calibri" w:cs="Calibri"/>
                <w:i/>
                <w:iCs/>
                <w:color w:val="000000"/>
                <w:spacing w:val="-4"/>
                <w:sz w:val="20"/>
                <w:szCs w:val="20"/>
              </w:rPr>
              <w:t>(for transgender persons, use sex assigned at birth unless more than 3</w:t>
            </w:r>
            <w:r>
              <w:rPr>
                <w:rFonts w:ascii="Calibri" w:hAnsi="Calibri" w:cs="Calibri"/>
                <w:i/>
                <w:iCs/>
                <w:color w:val="000000"/>
                <w:spacing w:val="-4"/>
                <w:sz w:val="20"/>
                <w:szCs w:val="20"/>
              </w:rPr>
              <w:t> </w:t>
            </w:r>
            <w:r w:rsidRPr="00A66B6F">
              <w:rPr>
                <w:rFonts w:ascii="Calibri" w:hAnsi="Calibri" w:cs="Calibri"/>
                <w:i/>
                <w:iCs/>
                <w:color w:val="000000"/>
                <w:spacing w:val="-4"/>
                <w:sz w:val="20"/>
                <w:szCs w:val="20"/>
              </w:rPr>
              <w:t>months on hormone therapy)</w:t>
            </w:r>
            <w:r w:rsidRPr="00A66B6F"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 xml:space="preserve"> so creatinine clearance (or</w:t>
            </w:r>
            <w:r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 </w:t>
            </w:r>
            <w:r w:rsidRPr="00A66B6F">
              <w:rPr>
                <w:rFonts w:ascii="Calibri" w:hAnsi="Calibri" w:cs="Calibri"/>
                <w:color w:val="000000"/>
                <w:spacing w:val="-4"/>
                <w:sz w:val="20"/>
                <w:szCs w:val="20"/>
              </w:rPr>
              <w:t>eGFR) can be calculated</w:t>
            </w:r>
            <w:r w:rsidR="00010236" w:rsidRPr="00F51D3E">
              <w:rPr>
                <w:rFonts w:ascii="Calibri" w:hAnsi="Calibri"/>
                <w:spacing w:val="-6"/>
                <w:sz w:val="20"/>
                <w:szCs w:val="20"/>
              </w:rPr>
              <w:t>.</w:t>
            </w:r>
            <w:r w:rsidR="00010236" w:rsidRPr="00F51D3E">
              <w:rPr>
                <w:rFonts w:ascii="Calibri" w:hAnsi="Calibri"/>
                <w:spacing w:val="-4"/>
                <w:sz w:val="20"/>
                <w:szCs w:val="20"/>
              </w:rPr>
              <w:t xml:space="preserve"> </w:t>
            </w:r>
          </w:p>
          <w:p w14:paraId="4F2C05FD" w14:textId="5C0F6A19" w:rsidR="007703B6" w:rsidRPr="00EE676C" w:rsidRDefault="007E585F" w:rsidP="007703B6">
            <w:pPr>
              <w:pStyle w:val="ListParagraph"/>
              <w:numPr>
                <w:ilvl w:val="0"/>
                <w:numId w:val="11"/>
              </w:numPr>
              <w:tabs>
                <w:tab w:val="left" w:pos="7243"/>
              </w:tabs>
              <w:spacing w:before="120" w:after="120"/>
              <w:ind w:left="303" w:hanging="274"/>
              <w:contextualSpacing w:val="0"/>
              <w:rPr>
                <w:rFonts w:ascii="Calibri" w:hAnsi="Calibri"/>
                <w:spacing w:val="-2"/>
                <w:sz w:val="22"/>
                <w:szCs w:val="22"/>
              </w:rPr>
            </w:pPr>
            <w:r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Those with a creatinine clearance &lt;60ml/min </w:t>
            </w:r>
            <w:r w:rsidR="00980E0B"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or eGFR &lt;60mm/min per 1.73 m</w:t>
            </w:r>
            <w:r w:rsidR="00980E0B"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  <w:vertAlign w:val="superscript"/>
              </w:rPr>
              <w:t>2</w:t>
            </w:r>
            <w:r w:rsidR="00980E0B"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should undergo a repeat test on a different day and stop PrEP if creatinine clearance </w:t>
            </w:r>
            <w:r w:rsidR="00800ED8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is </w:t>
            </w:r>
            <w:r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confirmed to be &lt;60ml/min</w:t>
            </w:r>
            <w:r w:rsidR="00980E0B"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or eGFR &lt;60mm/min per 1.73</w:t>
            </w:r>
            <w:r w:rsidR="00800ED8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 </w:t>
            </w:r>
            <w:r w:rsidR="00980E0B"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m</w:t>
            </w:r>
            <w:r w:rsidR="00980E0B"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  <w:vertAlign w:val="superscript"/>
              </w:rPr>
              <w:t>2</w:t>
            </w:r>
            <w:r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. If creatinine clearance</w:t>
            </w:r>
            <w:r w:rsidR="006D2E8B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6D2E8B" w:rsidRPr="006D2E8B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(or eGFR) </w:t>
            </w:r>
            <w:r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normalizes within 1</w:t>
            </w:r>
            <w:r w:rsidR="00800ED8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noBreakHyphen/>
            </w:r>
            <w:r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3</w:t>
            </w:r>
            <w:r w:rsidR="00800ED8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 </w:t>
            </w:r>
            <w:r w:rsidRPr="00EE676C"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months, PrEP can be restarted</w:t>
            </w:r>
            <w:r w:rsidR="00010236" w:rsidRPr="00EE676C">
              <w:rPr>
                <w:rFonts w:ascii="Calibri" w:hAnsi="Calibri"/>
                <w:spacing w:val="-2"/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14:paraId="572D60B9" w14:textId="0E39F77B" w:rsidR="00010236" w:rsidRPr="007379C9" w:rsidRDefault="00010236" w:rsidP="00F121B0">
            <w:pPr>
              <w:spacing w:before="60" w:after="60"/>
              <w:ind w:left="-60" w:right="-225"/>
              <w:rPr>
                <w:b/>
                <w:bCs/>
                <w:color w:val="2F5496" w:themeColor="accent1" w:themeShade="BF"/>
                <w:spacing w:val="-2"/>
                <w:sz w:val="22"/>
                <w:szCs w:val="22"/>
              </w:rPr>
            </w:pPr>
            <w:r w:rsidRPr="007379C9">
              <w:rPr>
                <w:b/>
                <w:bCs/>
                <w:color w:val="2F5496" w:themeColor="accent1" w:themeShade="BF"/>
                <w:spacing w:val="-2"/>
                <w:sz w:val="22"/>
                <w:szCs w:val="22"/>
              </w:rPr>
              <w:t xml:space="preserve">Assessing for Chronic Hepatitis B </w:t>
            </w:r>
            <w:r w:rsidR="002860C3" w:rsidRPr="007379C9">
              <w:rPr>
                <w:b/>
                <w:bCs/>
                <w:color w:val="2F5496" w:themeColor="accent1" w:themeShade="BF"/>
                <w:spacing w:val="-2"/>
                <w:sz w:val="22"/>
                <w:szCs w:val="22"/>
              </w:rPr>
              <w:t>V</w:t>
            </w:r>
            <w:r w:rsidR="00BA5E33" w:rsidRPr="007379C9">
              <w:rPr>
                <w:b/>
                <w:bCs/>
                <w:color w:val="2F5496" w:themeColor="accent1" w:themeShade="BF"/>
                <w:spacing w:val="-2"/>
                <w:sz w:val="22"/>
                <w:szCs w:val="22"/>
              </w:rPr>
              <w:t xml:space="preserve">irus </w:t>
            </w:r>
            <w:r w:rsidRPr="007379C9">
              <w:rPr>
                <w:b/>
                <w:bCs/>
                <w:color w:val="2F5496" w:themeColor="accent1" w:themeShade="BF"/>
                <w:spacing w:val="-2"/>
                <w:sz w:val="22"/>
                <w:szCs w:val="22"/>
              </w:rPr>
              <w:t>(HBV)</w:t>
            </w:r>
            <w:r w:rsidR="007379C9" w:rsidRPr="007379C9">
              <w:rPr>
                <w:b/>
                <w:bCs/>
                <w:color w:val="2F5496" w:themeColor="accent1" w:themeShade="BF"/>
                <w:spacing w:val="-2"/>
                <w:sz w:val="22"/>
                <w:szCs w:val="22"/>
              </w:rPr>
              <w:t>*</w:t>
            </w:r>
          </w:p>
          <w:p w14:paraId="02E47453" w14:textId="60B84FB6" w:rsidR="00010236" w:rsidRPr="00EE676C" w:rsidRDefault="00010236" w:rsidP="00F121B0">
            <w:pPr>
              <w:tabs>
                <w:tab w:val="left" w:pos="7243"/>
              </w:tabs>
              <w:ind w:left="-60" w:right="-225"/>
              <w:rPr>
                <w:sz w:val="20"/>
                <w:szCs w:val="20"/>
              </w:rPr>
            </w:pPr>
            <w:r w:rsidRPr="00EE676C">
              <w:rPr>
                <w:sz w:val="20"/>
                <w:szCs w:val="20"/>
              </w:rPr>
              <w:t xml:space="preserve">Ask if the client was ever diagnosed with chronic HBV. </w:t>
            </w:r>
          </w:p>
          <w:p w14:paraId="114F42D6" w14:textId="5532F6D3" w:rsidR="00010236" w:rsidRPr="00EE676C" w:rsidRDefault="006F729B" w:rsidP="001A1478">
            <w:pPr>
              <w:pStyle w:val="ListParagraph"/>
              <w:numPr>
                <w:ilvl w:val="0"/>
                <w:numId w:val="12"/>
              </w:numPr>
              <w:tabs>
                <w:tab w:val="left" w:pos="7243"/>
              </w:tabs>
              <w:spacing w:before="120"/>
              <w:ind w:left="237" w:right="-225" w:hanging="270"/>
              <w:contextualSpacing w:val="0"/>
              <w:rPr>
                <w:sz w:val="20"/>
                <w:szCs w:val="20"/>
              </w:rPr>
            </w:pPr>
            <w:r w:rsidRPr="00EE676C">
              <w:rPr>
                <w:sz w:val="20"/>
                <w:szCs w:val="20"/>
              </w:rPr>
              <w:t>If yes, e</w:t>
            </w:r>
            <w:r w:rsidR="002C79C9" w:rsidRPr="00EE676C">
              <w:rPr>
                <w:sz w:val="20"/>
                <w:szCs w:val="20"/>
              </w:rPr>
              <w:t>xplain that i</w:t>
            </w:r>
            <w:r w:rsidR="00010236" w:rsidRPr="00EE676C">
              <w:rPr>
                <w:sz w:val="20"/>
                <w:szCs w:val="20"/>
              </w:rPr>
              <w:t xml:space="preserve">t is safe for people with chronic HBV to use </w:t>
            </w:r>
            <w:r w:rsidR="004C1797" w:rsidRPr="00EE676C">
              <w:rPr>
                <w:sz w:val="20"/>
                <w:szCs w:val="20"/>
              </w:rPr>
              <w:t xml:space="preserve">daily </w:t>
            </w:r>
            <w:r w:rsidR="00010236" w:rsidRPr="00EE676C">
              <w:rPr>
                <w:sz w:val="20"/>
                <w:szCs w:val="20"/>
              </w:rPr>
              <w:t>PrEP, but they may experience flare-ups of the infection after PrEP is stopped.</w:t>
            </w:r>
          </w:p>
          <w:p w14:paraId="28C3C571" w14:textId="0EFD6322" w:rsidR="00010236" w:rsidRPr="00EE676C" w:rsidRDefault="00010236" w:rsidP="001A1478">
            <w:pPr>
              <w:pStyle w:val="ListParagraph"/>
              <w:numPr>
                <w:ilvl w:val="0"/>
                <w:numId w:val="12"/>
              </w:numPr>
              <w:tabs>
                <w:tab w:val="left" w:pos="7243"/>
              </w:tabs>
              <w:spacing w:before="120"/>
              <w:ind w:left="237" w:right="-225" w:hanging="270"/>
              <w:contextualSpacing w:val="0"/>
              <w:rPr>
                <w:sz w:val="20"/>
                <w:szCs w:val="20"/>
              </w:rPr>
            </w:pPr>
            <w:r w:rsidRPr="00EE676C">
              <w:rPr>
                <w:sz w:val="20"/>
                <w:szCs w:val="20"/>
              </w:rPr>
              <w:t xml:space="preserve">If HBV status is unknown and testing is available, </w:t>
            </w:r>
            <w:r w:rsidR="00422CE0" w:rsidRPr="00EE676C">
              <w:rPr>
                <w:sz w:val="20"/>
                <w:szCs w:val="20"/>
              </w:rPr>
              <w:t>consider</w:t>
            </w:r>
            <w:r w:rsidRPr="00EE676C">
              <w:rPr>
                <w:sz w:val="20"/>
                <w:szCs w:val="20"/>
              </w:rPr>
              <w:t xml:space="preserve"> </w:t>
            </w:r>
            <w:r w:rsidR="00980E0B" w:rsidRPr="00EE676C">
              <w:rPr>
                <w:sz w:val="20"/>
                <w:szCs w:val="20"/>
              </w:rPr>
              <w:t>HBV testing now or within 1-3 months</w:t>
            </w:r>
            <w:r w:rsidRPr="00EE676C">
              <w:rPr>
                <w:sz w:val="20"/>
                <w:szCs w:val="20"/>
              </w:rPr>
              <w:t>:</w:t>
            </w:r>
          </w:p>
          <w:p w14:paraId="5E3EA23E" w14:textId="262830E7" w:rsidR="002B3780" w:rsidRPr="00EE676C" w:rsidRDefault="00010236" w:rsidP="001A1478">
            <w:pPr>
              <w:pStyle w:val="ListParagraph"/>
              <w:numPr>
                <w:ilvl w:val="1"/>
                <w:numId w:val="5"/>
              </w:numPr>
              <w:tabs>
                <w:tab w:val="left" w:pos="7243"/>
              </w:tabs>
              <w:spacing w:before="60"/>
              <w:ind w:left="504" w:right="-225" w:hanging="274"/>
              <w:contextualSpacing w:val="0"/>
              <w:rPr>
                <w:sz w:val="20"/>
                <w:szCs w:val="20"/>
              </w:rPr>
            </w:pPr>
            <w:r w:rsidRPr="00EE676C">
              <w:rPr>
                <w:sz w:val="20"/>
                <w:szCs w:val="20"/>
              </w:rPr>
              <w:t xml:space="preserve">If tested negative for </w:t>
            </w:r>
            <w:r w:rsidR="00D35E36" w:rsidRPr="00EE676C">
              <w:rPr>
                <w:sz w:val="20"/>
                <w:szCs w:val="20"/>
              </w:rPr>
              <w:t>HBV</w:t>
            </w:r>
            <w:r w:rsidRPr="00EE676C">
              <w:rPr>
                <w:sz w:val="20"/>
                <w:szCs w:val="20"/>
              </w:rPr>
              <w:t xml:space="preserve"> surface antigen (HBsAg), </w:t>
            </w:r>
            <w:r w:rsidR="009C456C" w:rsidRPr="00EE676C">
              <w:rPr>
                <w:sz w:val="20"/>
                <w:szCs w:val="20"/>
              </w:rPr>
              <w:t xml:space="preserve">offer </w:t>
            </w:r>
            <w:r w:rsidRPr="00EE676C">
              <w:rPr>
                <w:sz w:val="20"/>
                <w:szCs w:val="20"/>
              </w:rPr>
              <w:t>HBV vaccination.</w:t>
            </w:r>
          </w:p>
          <w:p w14:paraId="281E2974" w14:textId="2B5A2ED9" w:rsidR="00010236" w:rsidRPr="00EE676C" w:rsidRDefault="00010236" w:rsidP="001A1478">
            <w:pPr>
              <w:pStyle w:val="ListParagraph"/>
              <w:numPr>
                <w:ilvl w:val="1"/>
                <w:numId w:val="5"/>
              </w:numPr>
              <w:tabs>
                <w:tab w:val="left" w:pos="7243"/>
              </w:tabs>
              <w:spacing w:before="60"/>
              <w:ind w:left="504" w:right="-225" w:hanging="274"/>
              <w:contextualSpacing w:val="0"/>
              <w:rPr>
                <w:sz w:val="20"/>
                <w:szCs w:val="20"/>
              </w:rPr>
            </w:pPr>
            <w:r w:rsidRPr="00EE676C">
              <w:rPr>
                <w:sz w:val="20"/>
                <w:szCs w:val="20"/>
              </w:rPr>
              <w:t xml:space="preserve">If tested HBsAg positive, chronic infection is likely. </w:t>
            </w:r>
            <w:r w:rsidR="00980E0B" w:rsidRPr="00EE676C">
              <w:rPr>
                <w:sz w:val="20"/>
                <w:szCs w:val="20"/>
              </w:rPr>
              <w:t>Refer for assessment for HBV treatment eligibility</w:t>
            </w:r>
            <w:r w:rsidRPr="00EE676C">
              <w:rPr>
                <w:sz w:val="20"/>
                <w:szCs w:val="20"/>
              </w:rPr>
              <w:t>.</w:t>
            </w:r>
          </w:p>
          <w:p w14:paraId="1B830C75" w14:textId="77777777" w:rsidR="00A77774" w:rsidRPr="007379C9" w:rsidRDefault="00A77774" w:rsidP="001A1478">
            <w:pPr>
              <w:pStyle w:val="ListParagraph"/>
              <w:numPr>
                <w:ilvl w:val="0"/>
                <w:numId w:val="12"/>
              </w:numPr>
              <w:tabs>
                <w:tab w:val="left" w:pos="7243"/>
              </w:tabs>
              <w:spacing w:before="120"/>
              <w:ind w:left="237" w:right="-225" w:hanging="270"/>
              <w:contextualSpacing w:val="0"/>
              <w:rPr>
                <w:sz w:val="22"/>
                <w:szCs w:val="22"/>
              </w:rPr>
            </w:pPr>
            <w:r w:rsidRPr="00EE676C">
              <w:rPr>
                <w:sz w:val="20"/>
                <w:szCs w:val="20"/>
              </w:rPr>
              <w:t>Offer PrEP regardless of HBV status or if HBV status is unknown and testing is unavailable</w:t>
            </w:r>
            <w:r w:rsidR="002C79C9" w:rsidRPr="00EE676C">
              <w:rPr>
                <w:sz w:val="20"/>
                <w:szCs w:val="20"/>
              </w:rPr>
              <w:t>.</w:t>
            </w:r>
          </w:p>
          <w:p w14:paraId="66EE9605" w14:textId="167B83C7" w:rsidR="007379C9" w:rsidRPr="007379C9" w:rsidRDefault="007379C9" w:rsidP="00C528F2">
            <w:pPr>
              <w:tabs>
                <w:tab w:val="left" w:pos="7243"/>
              </w:tabs>
              <w:spacing w:before="120" w:line="228" w:lineRule="auto"/>
              <w:ind w:left="-29" w:right="-230"/>
              <w:rPr>
                <w:spacing w:val="-4"/>
                <w:sz w:val="18"/>
                <w:szCs w:val="18"/>
              </w:rPr>
            </w:pPr>
            <w:r w:rsidRPr="007379C9">
              <w:rPr>
                <w:rFonts w:ascii="Calibri" w:hAnsi="Calibri" w:cs="Calibri"/>
                <w:spacing w:val="-4"/>
                <w:sz w:val="18"/>
                <w:szCs w:val="18"/>
                <w:shd w:val="clear" w:color="auto" w:fill="FFFFFF"/>
              </w:rPr>
              <w:t xml:space="preserve">* </w:t>
            </w:r>
            <w:r w:rsidRPr="007379C9">
              <w:rPr>
                <w:rFonts w:ascii="Calibri" w:hAnsi="Calibri" w:cs="Calibri"/>
                <w:spacing w:val="-4"/>
                <w:sz w:val="18"/>
                <w:szCs w:val="18"/>
                <w:shd w:val="clear" w:color="auto" w:fill="FFFFFF"/>
              </w:rPr>
              <w:t xml:space="preserve">Additionally, if a client may be at high risk of infection with </w:t>
            </w:r>
            <w:r w:rsidRPr="007379C9">
              <w:rPr>
                <w:rFonts w:ascii="Calibri" w:hAnsi="Calibri" w:cs="Calibri"/>
                <w:spacing w:val="-4"/>
                <w:sz w:val="18"/>
                <w:szCs w:val="18"/>
                <w:shd w:val="clear" w:color="auto" w:fill="FFFFFF"/>
              </w:rPr>
              <w:t xml:space="preserve">the </w:t>
            </w:r>
            <w:r w:rsidRPr="007379C9">
              <w:rPr>
                <w:rFonts w:ascii="Calibri" w:hAnsi="Calibri" w:cs="Calibri"/>
                <w:spacing w:val="-4"/>
                <w:sz w:val="18"/>
                <w:szCs w:val="18"/>
                <w:shd w:val="clear" w:color="auto" w:fill="FFFFFF"/>
              </w:rPr>
              <w:t>hepatitis C virus (HCV) and HCV testing is available, offer it now or within 1-3 months of PrEP initiation. Lack of HCV testing should not be a barrier to PrEP initiation or use. Oral PrEP can be safely provided to clients with HCV infection</w:t>
            </w:r>
            <w:r w:rsidRPr="007379C9">
              <w:rPr>
                <w:rFonts w:ascii="Calibri" w:hAnsi="Calibri" w:cs="Calibri"/>
                <w:spacing w:val="-4"/>
                <w:sz w:val="18"/>
                <w:szCs w:val="18"/>
                <w:shd w:val="clear" w:color="auto" w:fill="FFFFFF"/>
              </w:rPr>
              <w:t>;</w:t>
            </w:r>
            <w:r w:rsidRPr="007379C9">
              <w:rPr>
                <w:rFonts w:ascii="Calibri" w:hAnsi="Calibri" w:cs="Calibri"/>
                <w:spacing w:val="-4"/>
                <w:sz w:val="18"/>
                <w:szCs w:val="18"/>
                <w:shd w:val="clear" w:color="auto" w:fill="FFFFFF"/>
              </w:rPr>
              <w:t xml:space="preserve"> PrEP services provide an opportunity to screen for HCV infection and provide linkages to care.</w:t>
            </w:r>
          </w:p>
        </w:tc>
      </w:tr>
      <w:tr w:rsidR="00010236" w14:paraId="0FA34CB9" w14:textId="77777777" w:rsidTr="00EE676C">
        <w:tc>
          <w:tcPr>
            <w:tcW w:w="10530" w:type="dxa"/>
            <w:gridSpan w:val="6"/>
            <w:shd w:val="clear" w:color="auto" w:fill="D9E2F3" w:themeFill="accent1" w:themeFillTint="33"/>
            <w:vAlign w:val="center"/>
          </w:tcPr>
          <w:p w14:paraId="0F5D76CD" w14:textId="6DC66366" w:rsidR="00010236" w:rsidRPr="004D5155" w:rsidRDefault="00010236" w:rsidP="00D35E36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D5155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Key Counseling Messages </w:t>
            </w:r>
            <w:r w:rsidR="00FD0704">
              <w:rPr>
                <w:b/>
                <w:bCs/>
                <w:color w:val="2F5496" w:themeColor="accent1" w:themeShade="BF"/>
                <w:sz w:val="28"/>
                <w:szCs w:val="28"/>
              </w:rPr>
              <w:t>for</w:t>
            </w:r>
            <w:r w:rsidRPr="004D5155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="00FD0704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Oral </w:t>
            </w:r>
            <w:r w:rsidRPr="004D5155">
              <w:rPr>
                <w:b/>
                <w:bCs/>
                <w:color w:val="2F5496" w:themeColor="accent1" w:themeShade="BF"/>
                <w:sz w:val="28"/>
                <w:szCs w:val="28"/>
              </w:rPr>
              <w:t>PrEP Initiation</w:t>
            </w:r>
          </w:p>
        </w:tc>
      </w:tr>
      <w:tr w:rsidR="00010236" w14:paraId="24997C68" w14:textId="77777777" w:rsidTr="00EE676C">
        <w:trPr>
          <w:gridAfter w:val="1"/>
          <w:wAfter w:w="270" w:type="dxa"/>
        </w:trPr>
        <w:tc>
          <w:tcPr>
            <w:tcW w:w="4770" w:type="dxa"/>
          </w:tcPr>
          <w:p w14:paraId="3CB1F80B" w14:textId="60079D36" w:rsidR="00F07E57" w:rsidRPr="00EE676C" w:rsidRDefault="00F07E57" w:rsidP="00C124AE">
            <w:pPr>
              <w:pStyle w:val="ListParagraph"/>
              <w:numPr>
                <w:ilvl w:val="0"/>
                <w:numId w:val="13"/>
              </w:numPr>
              <w:spacing w:before="120"/>
              <w:ind w:left="304" w:right="-120" w:hanging="270"/>
              <w:contextualSpacing w:val="0"/>
              <w:rPr>
                <w:spacing w:val="-6"/>
                <w:sz w:val="20"/>
                <w:szCs w:val="20"/>
              </w:rPr>
            </w:pPr>
            <w:r w:rsidRPr="00EE676C">
              <w:rPr>
                <w:spacing w:val="-6"/>
                <w:sz w:val="20"/>
                <w:szCs w:val="20"/>
              </w:rPr>
              <w:t xml:space="preserve">PrEP is a very effective way to </w:t>
            </w:r>
            <w:r w:rsidR="00335093" w:rsidRPr="00EE676C">
              <w:rPr>
                <w:spacing w:val="-6"/>
                <w:sz w:val="20"/>
                <w:szCs w:val="20"/>
              </w:rPr>
              <w:t>prevent</w:t>
            </w:r>
            <w:r w:rsidRPr="00EE676C">
              <w:rPr>
                <w:spacing w:val="-6"/>
                <w:sz w:val="20"/>
                <w:szCs w:val="20"/>
              </w:rPr>
              <w:t xml:space="preserve"> HIV </w:t>
            </w:r>
            <w:r w:rsidR="00335093" w:rsidRPr="00EE676C">
              <w:rPr>
                <w:spacing w:val="-6"/>
                <w:sz w:val="20"/>
                <w:szCs w:val="20"/>
              </w:rPr>
              <w:t>infection</w:t>
            </w:r>
            <w:r w:rsidRPr="00EE676C">
              <w:rPr>
                <w:spacing w:val="-6"/>
                <w:sz w:val="20"/>
                <w:szCs w:val="20"/>
              </w:rPr>
              <w:t>.</w:t>
            </w:r>
          </w:p>
          <w:p w14:paraId="6711E0A2" w14:textId="6176F9A9" w:rsidR="002B3780" w:rsidRPr="00EE676C" w:rsidRDefault="00010236" w:rsidP="00C124AE">
            <w:pPr>
              <w:pStyle w:val="ListParagraph"/>
              <w:numPr>
                <w:ilvl w:val="0"/>
                <w:numId w:val="13"/>
              </w:numPr>
              <w:spacing w:before="120"/>
              <w:ind w:left="304" w:right="-30" w:hanging="270"/>
              <w:contextualSpacing w:val="0"/>
              <w:rPr>
                <w:spacing w:val="-6"/>
                <w:sz w:val="20"/>
                <w:szCs w:val="20"/>
              </w:rPr>
            </w:pPr>
            <w:r w:rsidRPr="00EE676C">
              <w:rPr>
                <w:spacing w:val="-6"/>
                <w:sz w:val="20"/>
                <w:szCs w:val="20"/>
              </w:rPr>
              <w:t>PrEP is not immediately effective.</w:t>
            </w:r>
            <w:r w:rsidR="002D22BF" w:rsidRPr="00EE676C">
              <w:rPr>
                <w:spacing w:val="-6"/>
                <w:sz w:val="20"/>
                <w:szCs w:val="20"/>
              </w:rPr>
              <w:t xml:space="preserve"> </w:t>
            </w:r>
            <w:r w:rsidRPr="00EE676C">
              <w:rPr>
                <w:spacing w:val="-6"/>
                <w:sz w:val="20"/>
                <w:szCs w:val="20"/>
              </w:rPr>
              <w:t>Use additional preventive approaches (</w:t>
            </w:r>
            <w:r w:rsidR="00C124AE" w:rsidRPr="00EE676C">
              <w:rPr>
                <w:spacing w:val="-6"/>
                <w:sz w:val="20"/>
                <w:szCs w:val="20"/>
              </w:rPr>
              <w:t xml:space="preserve">e.g., </w:t>
            </w:r>
            <w:r w:rsidRPr="00EE676C">
              <w:rPr>
                <w:spacing w:val="-6"/>
                <w:sz w:val="20"/>
                <w:szCs w:val="20"/>
              </w:rPr>
              <w:t>condoms</w:t>
            </w:r>
            <w:r w:rsidR="00C124AE" w:rsidRPr="00EE676C">
              <w:rPr>
                <w:spacing w:val="-6"/>
                <w:sz w:val="20"/>
                <w:szCs w:val="20"/>
              </w:rPr>
              <w:t>,</w:t>
            </w:r>
            <w:r w:rsidRPr="00EE676C">
              <w:rPr>
                <w:spacing w:val="-6"/>
                <w:sz w:val="20"/>
                <w:szCs w:val="20"/>
              </w:rPr>
              <w:t xml:space="preserve"> abstain from </w:t>
            </w:r>
            <w:r w:rsidR="00C124AE" w:rsidRPr="00EE676C">
              <w:rPr>
                <w:spacing w:val="-6"/>
                <w:sz w:val="20"/>
                <w:szCs w:val="20"/>
              </w:rPr>
              <w:t xml:space="preserve">vaginal or anal </w:t>
            </w:r>
            <w:r w:rsidRPr="00EE676C">
              <w:rPr>
                <w:spacing w:val="-6"/>
                <w:sz w:val="20"/>
                <w:szCs w:val="20"/>
              </w:rPr>
              <w:t xml:space="preserve">sex) for the first 7 days of taking PrEP. </w:t>
            </w:r>
          </w:p>
          <w:p w14:paraId="48989698" w14:textId="33BF755D" w:rsidR="00010236" w:rsidRPr="00EE676C" w:rsidRDefault="00010236" w:rsidP="00C124AE">
            <w:pPr>
              <w:pStyle w:val="ListParagraph"/>
              <w:numPr>
                <w:ilvl w:val="0"/>
                <w:numId w:val="13"/>
              </w:numPr>
              <w:spacing w:before="120"/>
              <w:ind w:left="304" w:right="-30" w:hanging="270"/>
              <w:contextualSpacing w:val="0"/>
              <w:rPr>
                <w:spacing w:val="-6"/>
                <w:sz w:val="20"/>
                <w:szCs w:val="20"/>
              </w:rPr>
            </w:pPr>
            <w:r w:rsidRPr="00EE676C">
              <w:rPr>
                <w:spacing w:val="-6"/>
                <w:sz w:val="20"/>
                <w:szCs w:val="20"/>
              </w:rPr>
              <w:t xml:space="preserve">If you forget to take a </w:t>
            </w:r>
            <w:proofErr w:type="gramStart"/>
            <w:r w:rsidRPr="00EE676C">
              <w:rPr>
                <w:spacing w:val="-6"/>
                <w:sz w:val="20"/>
                <w:szCs w:val="20"/>
              </w:rPr>
              <w:t>PrEP</w:t>
            </w:r>
            <w:proofErr w:type="gramEnd"/>
            <w:r w:rsidRPr="00EE676C">
              <w:rPr>
                <w:spacing w:val="-6"/>
                <w:sz w:val="20"/>
                <w:szCs w:val="20"/>
              </w:rPr>
              <w:t xml:space="preserve"> pill, take it as soon as you remember. Missing pills may decrease PrEP efficacy and increase </w:t>
            </w:r>
            <w:r w:rsidR="004376C5" w:rsidRPr="00EE676C">
              <w:rPr>
                <w:spacing w:val="-6"/>
                <w:sz w:val="20"/>
                <w:szCs w:val="20"/>
              </w:rPr>
              <w:t xml:space="preserve">the </w:t>
            </w:r>
            <w:r w:rsidRPr="00EE676C">
              <w:rPr>
                <w:spacing w:val="-6"/>
                <w:sz w:val="20"/>
                <w:szCs w:val="20"/>
              </w:rPr>
              <w:t>risk of HIV be</w:t>
            </w:r>
            <w:r w:rsidR="004376C5" w:rsidRPr="00EE676C">
              <w:rPr>
                <w:spacing w:val="-6"/>
                <w:sz w:val="20"/>
                <w:szCs w:val="20"/>
              </w:rPr>
              <w:t>coming</w:t>
            </w:r>
            <w:r w:rsidRPr="00EE676C">
              <w:rPr>
                <w:spacing w:val="-6"/>
                <w:sz w:val="20"/>
                <w:szCs w:val="20"/>
              </w:rPr>
              <w:t xml:space="preserve"> resistant to some </w:t>
            </w:r>
            <w:r w:rsidR="003E3FD8" w:rsidRPr="00EE676C">
              <w:rPr>
                <w:spacing w:val="-6"/>
                <w:sz w:val="20"/>
                <w:szCs w:val="20"/>
              </w:rPr>
              <w:t xml:space="preserve">HIV </w:t>
            </w:r>
            <w:r w:rsidRPr="00EE676C">
              <w:rPr>
                <w:spacing w:val="-6"/>
                <w:sz w:val="20"/>
                <w:szCs w:val="20"/>
              </w:rPr>
              <w:t>treatment regimens (if such treatment is needed in the future).</w:t>
            </w:r>
          </w:p>
          <w:p w14:paraId="65617D41" w14:textId="412FC8C5" w:rsidR="0075117C" w:rsidRPr="00EE676C" w:rsidRDefault="002D22BF" w:rsidP="00C124AE">
            <w:pPr>
              <w:pStyle w:val="ListParagraph"/>
              <w:numPr>
                <w:ilvl w:val="0"/>
                <w:numId w:val="13"/>
              </w:numPr>
              <w:spacing w:before="120"/>
              <w:ind w:left="304" w:right="-30" w:hanging="270"/>
              <w:contextualSpacing w:val="0"/>
              <w:rPr>
                <w:spacing w:val="-6"/>
                <w:sz w:val="20"/>
                <w:szCs w:val="20"/>
              </w:rPr>
            </w:pPr>
            <w:r w:rsidRPr="00EE676C">
              <w:rPr>
                <w:spacing w:val="-6"/>
                <w:sz w:val="20"/>
                <w:szCs w:val="20"/>
              </w:rPr>
              <w:t xml:space="preserve">One out of </w:t>
            </w:r>
            <w:r w:rsidR="00985FD3" w:rsidRPr="00EE676C">
              <w:rPr>
                <w:spacing w:val="-6"/>
                <w:sz w:val="20"/>
                <w:szCs w:val="20"/>
              </w:rPr>
              <w:t>10</w:t>
            </w:r>
            <w:r w:rsidRPr="00EE676C">
              <w:rPr>
                <w:spacing w:val="-6"/>
                <w:sz w:val="20"/>
                <w:szCs w:val="20"/>
              </w:rPr>
              <w:t xml:space="preserve"> PrEP users may experience</w:t>
            </w:r>
            <w:r w:rsidR="0075117C" w:rsidRPr="00EE676C">
              <w:rPr>
                <w:spacing w:val="-6"/>
                <w:sz w:val="20"/>
                <w:szCs w:val="20"/>
              </w:rPr>
              <w:t xml:space="preserve"> side effects includ</w:t>
            </w:r>
            <w:r w:rsidRPr="00EE676C">
              <w:rPr>
                <w:spacing w:val="-6"/>
                <w:sz w:val="20"/>
                <w:szCs w:val="20"/>
              </w:rPr>
              <w:t>ing</w:t>
            </w:r>
            <w:r w:rsidR="0075117C" w:rsidRPr="00EE676C">
              <w:rPr>
                <w:spacing w:val="-6"/>
                <w:sz w:val="20"/>
                <w:szCs w:val="20"/>
              </w:rPr>
              <w:t xml:space="preserve"> nausea, abdominal cramps, and headache. These effects are mild</w:t>
            </w:r>
            <w:r w:rsidR="00F07E57" w:rsidRPr="00EE676C">
              <w:rPr>
                <w:spacing w:val="-6"/>
                <w:sz w:val="20"/>
                <w:szCs w:val="20"/>
              </w:rPr>
              <w:t xml:space="preserve"> </w:t>
            </w:r>
            <w:r w:rsidR="0075117C" w:rsidRPr="00EE676C">
              <w:rPr>
                <w:spacing w:val="-6"/>
                <w:sz w:val="20"/>
                <w:szCs w:val="20"/>
              </w:rPr>
              <w:t>and usually diminish within a few weeks.</w:t>
            </w:r>
          </w:p>
        </w:tc>
        <w:tc>
          <w:tcPr>
            <w:tcW w:w="5490" w:type="dxa"/>
            <w:gridSpan w:val="4"/>
          </w:tcPr>
          <w:p w14:paraId="0376E8BC" w14:textId="67F63FD5" w:rsidR="00290FB6" w:rsidRPr="00EE676C" w:rsidRDefault="00290FB6" w:rsidP="007E585F">
            <w:pPr>
              <w:pStyle w:val="ListParagraph"/>
              <w:numPr>
                <w:ilvl w:val="0"/>
                <w:numId w:val="14"/>
              </w:numPr>
              <w:spacing w:before="120"/>
              <w:ind w:left="304" w:right="-225" w:hanging="270"/>
              <w:contextualSpacing w:val="0"/>
              <w:rPr>
                <w:spacing w:val="-6"/>
                <w:sz w:val="20"/>
                <w:szCs w:val="20"/>
              </w:rPr>
            </w:pPr>
            <w:r w:rsidRPr="00EE676C">
              <w:rPr>
                <w:spacing w:val="-6"/>
                <w:sz w:val="20"/>
                <w:szCs w:val="20"/>
              </w:rPr>
              <w:t xml:space="preserve">Taking PrEP with food or before going to sleep may prevent nausea. Over-the-counter pain killers </w:t>
            </w:r>
            <w:r w:rsidR="004D5155" w:rsidRPr="00EE676C">
              <w:rPr>
                <w:spacing w:val="-6"/>
                <w:sz w:val="20"/>
                <w:szCs w:val="20"/>
              </w:rPr>
              <w:t xml:space="preserve">can </w:t>
            </w:r>
            <w:r w:rsidRPr="00EE676C">
              <w:rPr>
                <w:spacing w:val="-6"/>
                <w:sz w:val="20"/>
                <w:szCs w:val="20"/>
              </w:rPr>
              <w:t>help with headaches.</w:t>
            </w:r>
          </w:p>
          <w:p w14:paraId="6327148D" w14:textId="78B26099" w:rsidR="0075117C" w:rsidRPr="00EE676C" w:rsidRDefault="0075117C" w:rsidP="007E585F">
            <w:pPr>
              <w:pStyle w:val="ListParagraph"/>
              <w:numPr>
                <w:ilvl w:val="0"/>
                <w:numId w:val="14"/>
              </w:numPr>
              <w:spacing w:before="120"/>
              <w:ind w:left="304" w:right="-225" w:hanging="270"/>
              <w:contextualSpacing w:val="0"/>
              <w:rPr>
                <w:spacing w:val="-6"/>
                <w:sz w:val="20"/>
                <w:szCs w:val="20"/>
              </w:rPr>
            </w:pPr>
            <w:r w:rsidRPr="00EE676C">
              <w:rPr>
                <w:spacing w:val="-6"/>
                <w:sz w:val="20"/>
                <w:szCs w:val="20"/>
              </w:rPr>
              <w:t xml:space="preserve">Minor loss of bone density may occur. It does not </w:t>
            </w:r>
            <w:r w:rsidR="00551AC3" w:rsidRPr="00EE676C">
              <w:rPr>
                <w:spacing w:val="-6"/>
                <w:sz w:val="20"/>
                <w:szCs w:val="20"/>
              </w:rPr>
              <w:t>increase the</w:t>
            </w:r>
            <w:r w:rsidR="007E585F" w:rsidRPr="00EE676C">
              <w:rPr>
                <w:spacing w:val="-6"/>
                <w:sz w:val="20"/>
                <w:szCs w:val="20"/>
              </w:rPr>
              <w:t> </w:t>
            </w:r>
            <w:r w:rsidR="00551AC3" w:rsidRPr="00EE676C">
              <w:rPr>
                <w:spacing w:val="-6"/>
                <w:sz w:val="20"/>
                <w:szCs w:val="20"/>
              </w:rPr>
              <w:t>risk of fractures</w:t>
            </w:r>
            <w:r w:rsidRPr="00EE676C">
              <w:rPr>
                <w:spacing w:val="-6"/>
                <w:sz w:val="20"/>
                <w:szCs w:val="20"/>
              </w:rPr>
              <w:t xml:space="preserve"> and usually returns to normal after stopping</w:t>
            </w:r>
            <w:r w:rsidR="00F61704" w:rsidRPr="00EE676C">
              <w:rPr>
                <w:spacing w:val="-6"/>
                <w:sz w:val="20"/>
                <w:szCs w:val="20"/>
              </w:rPr>
              <w:t> </w:t>
            </w:r>
            <w:r w:rsidRPr="00EE676C">
              <w:rPr>
                <w:spacing w:val="-6"/>
                <w:sz w:val="20"/>
                <w:szCs w:val="20"/>
              </w:rPr>
              <w:t>PrEP.</w:t>
            </w:r>
          </w:p>
          <w:p w14:paraId="225AC949" w14:textId="60EB0C93" w:rsidR="0070453D" w:rsidRPr="00EE676C" w:rsidRDefault="0070453D" w:rsidP="007E585F">
            <w:pPr>
              <w:pStyle w:val="ListParagraph"/>
              <w:numPr>
                <w:ilvl w:val="0"/>
                <w:numId w:val="14"/>
              </w:numPr>
              <w:spacing w:before="120"/>
              <w:ind w:left="304" w:right="-225" w:hanging="270"/>
              <w:contextualSpacing w:val="0"/>
              <w:rPr>
                <w:spacing w:val="-6"/>
                <w:sz w:val="20"/>
                <w:szCs w:val="20"/>
              </w:rPr>
            </w:pPr>
            <w:r w:rsidRPr="00EE676C">
              <w:rPr>
                <w:spacing w:val="-6"/>
                <w:sz w:val="20"/>
                <w:szCs w:val="20"/>
              </w:rPr>
              <w:t>Less than 1% of PrEP users (1 in 200) may experience a decrease in their kidney function which require</w:t>
            </w:r>
            <w:r w:rsidR="00255FDA" w:rsidRPr="00EE676C">
              <w:rPr>
                <w:spacing w:val="-6"/>
                <w:sz w:val="20"/>
                <w:szCs w:val="20"/>
              </w:rPr>
              <w:t>s</w:t>
            </w:r>
            <w:r w:rsidRPr="00EE676C">
              <w:rPr>
                <w:spacing w:val="-6"/>
                <w:sz w:val="20"/>
                <w:szCs w:val="20"/>
              </w:rPr>
              <w:t xml:space="preserve"> stop</w:t>
            </w:r>
            <w:r w:rsidR="00255FDA" w:rsidRPr="00EE676C">
              <w:rPr>
                <w:spacing w:val="-6"/>
                <w:sz w:val="20"/>
                <w:szCs w:val="20"/>
              </w:rPr>
              <w:t>ping</w:t>
            </w:r>
            <w:r w:rsidRPr="00EE676C">
              <w:rPr>
                <w:spacing w:val="-6"/>
                <w:sz w:val="20"/>
                <w:szCs w:val="20"/>
              </w:rPr>
              <w:t xml:space="preserve"> PrEP for a</w:t>
            </w:r>
            <w:r w:rsidR="00255FDA" w:rsidRPr="00EE676C">
              <w:rPr>
                <w:spacing w:val="-6"/>
                <w:sz w:val="20"/>
                <w:szCs w:val="20"/>
              </w:rPr>
              <w:t xml:space="preserve"> set</w:t>
            </w:r>
            <w:r w:rsidRPr="00EE676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EE676C">
              <w:rPr>
                <w:spacing w:val="-6"/>
                <w:sz w:val="20"/>
                <w:szCs w:val="20"/>
              </w:rPr>
              <w:t>period of time</w:t>
            </w:r>
            <w:proofErr w:type="gramEnd"/>
            <w:r w:rsidRPr="00EE676C">
              <w:rPr>
                <w:spacing w:val="-6"/>
                <w:sz w:val="20"/>
                <w:szCs w:val="20"/>
              </w:rPr>
              <w:t xml:space="preserve"> or indefinitely.</w:t>
            </w:r>
          </w:p>
          <w:p w14:paraId="2EF47F31" w14:textId="77777777" w:rsidR="002B3780" w:rsidRPr="00EE676C" w:rsidRDefault="00010236" w:rsidP="007E585F">
            <w:pPr>
              <w:pStyle w:val="ListParagraph"/>
              <w:numPr>
                <w:ilvl w:val="0"/>
                <w:numId w:val="14"/>
              </w:numPr>
              <w:spacing w:before="120"/>
              <w:ind w:left="304" w:right="-225" w:hanging="270"/>
              <w:contextualSpacing w:val="0"/>
              <w:rPr>
                <w:spacing w:val="-6"/>
                <w:sz w:val="20"/>
                <w:szCs w:val="20"/>
              </w:rPr>
            </w:pPr>
            <w:r w:rsidRPr="00EE676C">
              <w:rPr>
                <w:spacing w:val="-6"/>
                <w:sz w:val="20"/>
                <w:szCs w:val="20"/>
              </w:rPr>
              <w:t>Return for follow</w:t>
            </w:r>
            <w:r w:rsidR="004376C5" w:rsidRPr="00EE676C">
              <w:rPr>
                <w:spacing w:val="-6"/>
                <w:sz w:val="20"/>
                <w:szCs w:val="20"/>
              </w:rPr>
              <w:t xml:space="preserve"> </w:t>
            </w:r>
            <w:r w:rsidRPr="00EE676C">
              <w:rPr>
                <w:spacing w:val="-6"/>
                <w:sz w:val="20"/>
                <w:szCs w:val="20"/>
              </w:rPr>
              <w:t>up in 1 month and every 3</w:t>
            </w:r>
            <w:r w:rsidR="0075117C" w:rsidRPr="00EE676C">
              <w:rPr>
                <w:spacing w:val="-6"/>
                <w:sz w:val="20"/>
                <w:szCs w:val="20"/>
              </w:rPr>
              <w:t> </w:t>
            </w:r>
            <w:r w:rsidRPr="00EE676C">
              <w:rPr>
                <w:spacing w:val="-6"/>
                <w:sz w:val="20"/>
                <w:szCs w:val="20"/>
              </w:rPr>
              <w:t>months afterwards. PrEP refills will be provided during these visits if you remain HIV</w:t>
            </w:r>
            <w:r w:rsidR="00BB0651" w:rsidRPr="00EE676C">
              <w:rPr>
                <w:spacing w:val="-6"/>
                <w:sz w:val="20"/>
                <w:szCs w:val="20"/>
              </w:rPr>
              <w:noBreakHyphen/>
            </w:r>
            <w:r w:rsidRPr="00EE676C">
              <w:rPr>
                <w:spacing w:val="-6"/>
                <w:sz w:val="20"/>
                <w:szCs w:val="20"/>
              </w:rPr>
              <w:t>negative.</w:t>
            </w:r>
          </w:p>
          <w:p w14:paraId="680F0E03" w14:textId="5394A3E3" w:rsidR="002B5195" w:rsidRPr="00EE676C" w:rsidRDefault="00A66B6F" w:rsidP="007E585F">
            <w:pPr>
              <w:pStyle w:val="ListParagraph"/>
              <w:numPr>
                <w:ilvl w:val="0"/>
                <w:numId w:val="14"/>
              </w:numPr>
              <w:spacing w:before="120"/>
              <w:ind w:left="304" w:right="-225" w:hanging="270"/>
              <w:contextualSpacing w:val="0"/>
              <w:rPr>
                <w:spacing w:val="-6"/>
                <w:sz w:val="20"/>
                <w:szCs w:val="20"/>
              </w:rPr>
            </w:pPr>
            <w:r w:rsidRPr="000D405A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CF9976" wp14:editId="1C8444F7">
                      <wp:simplePos x="0" y="0"/>
                      <wp:positionH relativeFrom="margin">
                        <wp:posOffset>2727960</wp:posOffset>
                      </wp:positionH>
                      <wp:positionV relativeFrom="bottomMargin">
                        <wp:posOffset>2427605</wp:posOffset>
                      </wp:positionV>
                      <wp:extent cx="822960" cy="18415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363F7" w14:textId="08FA1FCB" w:rsidR="0070453D" w:rsidRDefault="00046ECC" w:rsidP="0070453D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  <w:t>October</w:t>
                                  </w:r>
                                  <w:r w:rsidR="007426F6">
                                    <w:rPr>
                                      <w:color w:val="2F5496" w:themeColor="accent1" w:themeShade="BF"/>
                                      <w:sz w:val="20"/>
                                      <w:szCs w:val="20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F9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4.8pt;margin-top:191.15pt;width:64.8pt;height: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" filled="f" stroked="f">
                      <v:textbox inset="0,0,0,0">
                        <w:txbxContent>
                          <w:p w14:paraId="2A3363F7" w14:textId="08FA1FCB" w:rsidR="0070453D" w:rsidRDefault="00046ECC" w:rsidP="0070453D">
                            <w:pPr>
                              <w:jc w:val="right"/>
                            </w:pPr>
                            <w:r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>October</w:t>
                            </w:r>
                            <w:r w:rsidR="007426F6">
                              <w:rPr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0D405A" w:rsidRPr="00EE676C">
              <w:rPr>
                <w:rFonts w:cs="Calibri"/>
                <w:color w:val="201F1E"/>
                <w:spacing w:val="-6"/>
                <w:sz w:val="20"/>
                <w:szCs w:val="20"/>
                <w:shd w:val="clear" w:color="auto" w:fill="FFFFFF"/>
              </w:rPr>
              <w:t xml:space="preserve">You can stop PrEP anytime you </w:t>
            </w:r>
            <w:r w:rsidR="00C124AE" w:rsidRPr="00EE676C">
              <w:rPr>
                <w:rFonts w:cs="Calibri"/>
                <w:color w:val="201F1E"/>
                <w:spacing w:val="-6"/>
                <w:sz w:val="20"/>
                <w:szCs w:val="20"/>
                <w:shd w:val="clear" w:color="auto" w:fill="FFFFFF"/>
              </w:rPr>
              <w:t xml:space="preserve">feel there are no more </w:t>
            </w:r>
            <w:r w:rsidR="00C124AE" w:rsidRPr="00EE676C">
              <w:rPr>
                <w:rFonts w:cs="Calibri"/>
                <w:spacing w:val="-6"/>
                <w:sz w:val="20"/>
                <w:szCs w:val="20"/>
                <w:shd w:val="clear" w:color="auto" w:fill="FFFFFF"/>
              </w:rPr>
              <w:t>potential</w:t>
            </w:r>
            <w:r w:rsidR="00646F1F" w:rsidRPr="00EE676C">
              <w:rPr>
                <w:rFonts w:cs="Calibri"/>
                <w:spacing w:val="-6"/>
                <w:sz w:val="20"/>
                <w:szCs w:val="20"/>
                <w:shd w:val="clear" w:color="auto" w:fill="FFFFFF"/>
              </w:rPr>
              <w:t xml:space="preserve"> </w:t>
            </w:r>
            <w:r w:rsidR="00C124AE" w:rsidRPr="00EE676C">
              <w:rPr>
                <w:rFonts w:cs="Calibri"/>
                <w:color w:val="201F1E"/>
                <w:spacing w:val="-6"/>
                <w:sz w:val="20"/>
                <w:szCs w:val="20"/>
                <w:shd w:val="clear" w:color="auto" w:fill="FFFFFF"/>
              </w:rPr>
              <w:t>exposures to</w:t>
            </w:r>
            <w:r w:rsidR="000D405A" w:rsidRPr="00EE676C">
              <w:rPr>
                <w:rFonts w:cs="Calibri"/>
                <w:color w:val="201F1E"/>
                <w:spacing w:val="-6"/>
                <w:sz w:val="20"/>
                <w:szCs w:val="20"/>
                <w:shd w:val="clear" w:color="auto" w:fill="FFFFFF"/>
              </w:rPr>
              <w:t xml:space="preserve"> HIV. To stop PrEP safely, you should continue taking PrEP for </w:t>
            </w:r>
            <w:r w:rsidR="00985FD3" w:rsidRPr="00EE676C">
              <w:rPr>
                <w:rFonts w:cs="Calibri"/>
                <w:color w:val="201F1E"/>
                <w:spacing w:val="-6"/>
                <w:sz w:val="20"/>
                <w:szCs w:val="20"/>
                <w:shd w:val="clear" w:color="auto" w:fill="FFFFFF"/>
              </w:rPr>
              <w:t>7 </w:t>
            </w:r>
            <w:r w:rsidR="000D405A" w:rsidRPr="00EE676C">
              <w:rPr>
                <w:rFonts w:cs="Calibri"/>
                <w:color w:val="201F1E"/>
                <w:spacing w:val="-6"/>
                <w:sz w:val="20"/>
                <w:szCs w:val="20"/>
                <w:shd w:val="clear" w:color="auto" w:fill="FFFFFF"/>
              </w:rPr>
              <w:t>days after your last possible exposure to HIV</w:t>
            </w:r>
            <w:r w:rsidR="00010236" w:rsidRPr="00EE676C">
              <w:rPr>
                <w:spacing w:val="-6"/>
                <w:sz w:val="20"/>
                <w:szCs w:val="20"/>
              </w:rPr>
              <w:t>.</w:t>
            </w:r>
          </w:p>
        </w:tc>
      </w:tr>
    </w:tbl>
    <w:p w14:paraId="2F281959" w14:textId="4EBA13C1" w:rsidR="00010236" w:rsidRPr="000D405A" w:rsidRDefault="00064152" w:rsidP="0070453D">
      <w:pPr>
        <w:rPr>
          <w:sz w:val="2"/>
          <w:szCs w:val="2"/>
        </w:rPr>
      </w:pPr>
      <w:r w:rsidRPr="008D2B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7E394" wp14:editId="23A4C8E8">
                <wp:simplePos x="0" y="0"/>
                <wp:positionH relativeFrom="column">
                  <wp:posOffset>-476250</wp:posOffset>
                </wp:positionH>
                <wp:positionV relativeFrom="page">
                  <wp:posOffset>10582275</wp:posOffset>
                </wp:positionV>
                <wp:extent cx="7589520" cy="96520"/>
                <wp:effectExtent l="0" t="0" r="0" b="0"/>
                <wp:wrapNone/>
                <wp:docPr id="95" name="Rectangle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7AD766-BB60-49A2-A246-E1871A61BE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89520" cy="965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B9B577" id="Rectangle 94" o:spid="_x0000_s1026" style="position:absolute;margin-left:-37.5pt;margin-top:833.25pt;width:597.6pt;height:7.6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" fillcolor="gray [1629]" stroked="f" strokeweight=".5pt">
                <w10:wrap anchory="page"/>
              </v:rect>
            </w:pict>
          </mc:Fallback>
        </mc:AlternateContent>
      </w:r>
    </w:p>
    <w:sectPr w:rsidR="00010236" w:rsidRPr="000D405A" w:rsidSect="00395724">
      <w:pgSz w:w="11906" w:h="16838" w:code="9"/>
      <w:pgMar w:top="864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D7A0" w14:textId="77777777" w:rsidR="000C6842" w:rsidRDefault="000C6842" w:rsidP="00D35E36">
      <w:r>
        <w:separator/>
      </w:r>
    </w:p>
  </w:endnote>
  <w:endnote w:type="continuationSeparator" w:id="0">
    <w:p w14:paraId="173D6575" w14:textId="77777777" w:rsidR="000C6842" w:rsidRDefault="000C6842" w:rsidP="00D3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CCD2" w14:textId="77777777" w:rsidR="000C6842" w:rsidRDefault="000C6842" w:rsidP="00D35E36">
      <w:r>
        <w:separator/>
      </w:r>
    </w:p>
  </w:footnote>
  <w:footnote w:type="continuationSeparator" w:id="0">
    <w:p w14:paraId="061B7121" w14:textId="77777777" w:rsidR="000C6842" w:rsidRDefault="000C6842" w:rsidP="00D3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FA6"/>
    <w:multiLevelType w:val="hybridMultilevel"/>
    <w:tmpl w:val="FBEA0144"/>
    <w:lvl w:ilvl="0" w:tplc="7988D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83B42"/>
    <w:multiLevelType w:val="hybridMultilevel"/>
    <w:tmpl w:val="09903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45587"/>
    <w:multiLevelType w:val="hybridMultilevel"/>
    <w:tmpl w:val="EA7C14C8"/>
    <w:lvl w:ilvl="0" w:tplc="7988D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408EA"/>
    <w:multiLevelType w:val="hybridMultilevel"/>
    <w:tmpl w:val="48CE938A"/>
    <w:lvl w:ilvl="0" w:tplc="DCE4A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954C3"/>
    <w:multiLevelType w:val="hybridMultilevel"/>
    <w:tmpl w:val="0026E9EA"/>
    <w:lvl w:ilvl="0" w:tplc="7988D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A658B"/>
    <w:multiLevelType w:val="hybridMultilevel"/>
    <w:tmpl w:val="B51C972C"/>
    <w:lvl w:ilvl="0" w:tplc="DB420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5BA66D8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61A43"/>
    <w:multiLevelType w:val="hybridMultilevel"/>
    <w:tmpl w:val="4BE872B2"/>
    <w:lvl w:ilvl="0" w:tplc="DCE4A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94D21"/>
    <w:multiLevelType w:val="hybridMultilevel"/>
    <w:tmpl w:val="7FEAA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7A2B6C"/>
    <w:multiLevelType w:val="hybridMultilevel"/>
    <w:tmpl w:val="34200A16"/>
    <w:lvl w:ilvl="0" w:tplc="7988D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235FE9"/>
    <w:multiLevelType w:val="hybridMultilevel"/>
    <w:tmpl w:val="8B92C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E179D"/>
    <w:multiLevelType w:val="hybridMultilevel"/>
    <w:tmpl w:val="3BB029B6"/>
    <w:lvl w:ilvl="0" w:tplc="7988D9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F5005"/>
    <w:multiLevelType w:val="hybridMultilevel"/>
    <w:tmpl w:val="D902CE52"/>
    <w:lvl w:ilvl="0" w:tplc="2FBEFF54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D5468"/>
    <w:multiLevelType w:val="hybridMultilevel"/>
    <w:tmpl w:val="A84847A6"/>
    <w:lvl w:ilvl="0" w:tplc="DCE4A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97E82"/>
    <w:multiLevelType w:val="hybridMultilevel"/>
    <w:tmpl w:val="45BCA2AE"/>
    <w:lvl w:ilvl="0" w:tplc="DCE4A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1743769">
    <w:abstractNumId w:val="11"/>
  </w:num>
  <w:num w:numId="2" w16cid:durableId="1830055154">
    <w:abstractNumId w:val="7"/>
  </w:num>
  <w:num w:numId="3" w16cid:durableId="1375351891">
    <w:abstractNumId w:val="1"/>
  </w:num>
  <w:num w:numId="4" w16cid:durableId="800806843">
    <w:abstractNumId w:val="9"/>
  </w:num>
  <w:num w:numId="5" w16cid:durableId="416171921">
    <w:abstractNumId w:val="5"/>
  </w:num>
  <w:num w:numId="6" w16cid:durableId="843711360">
    <w:abstractNumId w:val="6"/>
  </w:num>
  <w:num w:numId="7" w16cid:durableId="1600603934">
    <w:abstractNumId w:val="13"/>
  </w:num>
  <w:num w:numId="8" w16cid:durableId="1563828093">
    <w:abstractNumId w:val="12"/>
  </w:num>
  <w:num w:numId="9" w16cid:durableId="256253970">
    <w:abstractNumId w:val="3"/>
  </w:num>
  <w:num w:numId="10" w16cid:durableId="913785699">
    <w:abstractNumId w:val="0"/>
  </w:num>
  <w:num w:numId="11" w16cid:durableId="1598097206">
    <w:abstractNumId w:val="2"/>
  </w:num>
  <w:num w:numId="12" w16cid:durableId="1724787170">
    <w:abstractNumId w:val="8"/>
  </w:num>
  <w:num w:numId="13" w16cid:durableId="579220941">
    <w:abstractNumId w:val="4"/>
  </w:num>
  <w:num w:numId="14" w16cid:durableId="4640854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AF"/>
    <w:rsid w:val="00003396"/>
    <w:rsid w:val="00010236"/>
    <w:rsid w:val="0001054E"/>
    <w:rsid w:val="000105F4"/>
    <w:rsid w:val="00011402"/>
    <w:rsid w:val="00045E1E"/>
    <w:rsid w:val="00046ECC"/>
    <w:rsid w:val="00055E77"/>
    <w:rsid w:val="00062235"/>
    <w:rsid w:val="00064152"/>
    <w:rsid w:val="00071D11"/>
    <w:rsid w:val="00073671"/>
    <w:rsid w:val="00074EAF"/>
    <w:rsid w:val="00096262"/>
    <w:rsid w:val="000C6842"/>
    <w:rsid w:val="000D405A"/>
    <w:rsid w:val="00105D73"/>
    <w:rsid w:val="00137708"/>
    <w:rsid w:val="00143FFE"/>
    <w:rsid w:val="00181FB2"/>
    <w:rsid w:val="001A1478"/>
    <w:rsid w:val="001D7E07"/>
    <w:rsid w:val="00212D88"/>
    <w:rsid w:val="002131EB"/>
    <w:rsid w:val="00217080"/>
    <w:rsid w:val="00255FDA"/>
    <w:rsid w:val="00270C43"/>
    <w:rsid w:val="002860C3"/>
    <w:rsid w:val="002904FF"/>
    <w:rsid w:val="00290FB6"/>
    <w:rsid w:val="002A287E"/>
    <w:rsid w:val="002B3780"/>
    <w:rsid w:val="002B5195"/>
    <w:rsid w:val="002C14C3"/>
    <w:rsid w:val="002C79C9"/>
    <w:rsid w:val="002D22BF"/>
    <w:rsid w:val="00335093"/>
    <w:rsid w:val="00341424"/>
    <w:rsid w:val="00382C3A"/>
    <w:rsid w:val="00387DC2"/>
    <w:rsid w:val="003946BB"/>
    <w:rsid w:val="00395724"/>
    <w:rsid w:val="003D1A70"/>
    <w:rsid w:val="003E00E1"/>
    <w:rsid w:val="003E3FD8"/>
    <w:rsid w:val="0041504C"/>
    <w:rsid w:val="00422CE0"/>
    <w:rsid w:val="004376C5"/>
    <w:rsid w:val="00462C9F"/>
    <w:rsid w:val="0046587C"/>
    <w:rsid w:val="004707FB"/>
    <w:rsid w:val="00474195"/>
    <w:rsid w:val="0048595E"/>
    <w:rsid w:val="00495051"/>
    <w:rsid w:val="004B4C03"/>
    <w:rsid w:val="004C1797"/>
    <w:rsid w:val="004D40F9"/>
    <w:rsid w:val="004D4736"/>
    <w:rsid w:val="004D5155"/>
    <w:rsid w:val="004E0228"/>
    <w:rsid w:val="004F7B29"/>
    <w:rsid w:val="00530FC8"/>
    <w:rsid w:val="00541520"/>
    <w:rsid w:val="00551AC3"/>
    <w:rsid w:val="0055270B"/>
    <w:rsid w:val="0055521A"/>
    <w:rsid w:val="00555A03"/>
    <w:rsid w:val="00573B29"/>
    <w:rsid w:val="005A6072"/>
    <w:rsid w:val="005B1A0F"/>
    <w:rsid w:val="005F43D2"/>
    <w:rsid w:val="005F746B"/>
    <w:rsid w:val="00606F94"/>
    <w:rsid w:val="00630062"/>
    <w:rsid w:val="00637D95"/>
    <w:rsid w:val="00646F1F"/>
    <w:rsid w:val="006502C3"/>
    <w:rsid w:val="006A3C66"/>
    <w:rsid w:val="006D2E8B"/>
    <w:rsid w:val="006D434A"/>
    <w:rsid w:val="006F4577"/>
    <w:rsid w:val="006F729B"/>
    <w:rsid w:val="0070453D"/>
    <w:rsid w:val="007054D9"/>
    <w:rsid w:val="00712D6C"/>
    <w:rsid w:val="007379C9"/>
    <w:rsid w:val="007426F6"/>
    <w:rsid w:val="0075117C"/>
    <w:rsid w:val="00754072"/>
    <w:rsid w:val="00762188"/>
    <w:rsid w:val="007703B6"/>
    <w:rsid w:val="00772AB1"/>
    <w:rsid w:val="00774687"/>
    <w:rsid w:val="0077723A"/>
    <w:rsid w:val="007A0F89"/>
    <w:rsid w:val="007B315B"/>
    <w:rsid w:val="007D1123"/>
    <w:rsid w:val="007D2909"/>
    <w:rsid w:val="007E585F"/>
    <w:rsid w:val="00800ED8"/>
    <w:rsid w:val="00801642"/>
    <w:rsid w:val="00805ADA"/>
    <w:rsid w:val="008316CB"/>
    <w:rsid w:val="00836750"/>
    <w:rsid w:val="00844AFD"/>
    <w:rsid w:val="008B2222"/>
    <w:rsid w:val="008D2BCF"/>
    <w:rsid w:val="00941FD4"/>
    <w:rsid w:val="00944F0E"/>
    <w:rsid w:val="00971AD2"/>
    <w:rsid w:val="00980E0B"/>
    <w:rsid w:val="00985FD3"/>
    <w:rsid w:val="009C456C"/>
    <w:rsid w:val="009E43FE"/>
    <w:rsid w:val="00A12CBE"/>
    <w:rsid w:val="00A32229"/>
    <w:rsid w:val="00A51246"/>
    <w:rsid w:val="00A65864"/>
    <w:rsid w:val="00A66B6F"/>
    <w:rsid w:val="00A67322"/>
    <w:rsid w:val="00A77774"/>
    <w:rsid w:val="00A9482A"/>
    <w:rsid w:val="00AA19D5"/>
    <w:rsid w:val="00AC057B"/>
    <w:rsid w:val="00AD66AD"/>
    <w:rsid w:val="00AF0432"/>
    <w:rsid w:val="00B10410"/>
    <w:rsid w:val="00B21F39"/>
    <w:rsid w:val="00B22771"/>
    <w:rsid w:val="00B23164"/>
    <w:rsid w:val="00B249D5"/>
    <w:rsid w:val="00B353B0"/>
    <w:rsid w:val="00B74B4E"/>
    <w:rsid w:val="00B93978"/>
    <w:rsid w:val="00BA5E33"/>
    <w:rsid w:val="00BB0651"/>
    <w:rsid w:val="00BD1F4D"/>
    <w:rsid w:val="00BD71F0"/>
    <w:rsid w:val="00C100CA"/>
    <w:rsid w:val="00C124AE"/>
    <w:rsid w:val="00C21088"/>
    <w:rsid w:val="00C528F2"/>
    <w:rsid w:val="00C70A63"/>
    <w:rsid w:val="00C7714B"/>
    <w:rsid w:val="00C96B0D"/>
    <w:rsid w:val="00CA1494"/>
    <w:rsid w:val="00CB6704"/>
    <w:rsid w:val="00D35E36"/>
    <w:rsid w:val="00D51717"/>
    <w:rsid w:val="00D70143"/>
    <w:rsid w:val="00DA0898"/>
    <w:rsid w:val="00DB1B3F"/>
    <w:rsid w:val="00DE2A12"/>
    <w:rsid w:val="00E439D2"/>
    <w:rsid w:val="00E45B59"/>
    <w:rsid w:val="00E8688E"/>
    <w:rsid w:val="00EA52DD"/>
    <w:rsid w:val="00EB2CDC"/>
    <w:rsid w:val="00EE676C"/>
    <w:rsid w:val="00EF4C22"/>
    <w:rsid w:val="00F07E57"/>
    <w:rsid w:val="00F10CEB"/>
    <w:rsid w:val="00F1163B"/>
    <w:rsid w:val="00F121B0"/>
    <w:rsid w:val="00F155D2"/>
    <w:rsid w:val="00F2055A"/>
    <w:rsid w:val="00F30C85"/>
    <w:rsid w:val="00F51D3E"/>
    <w:rsid w:val="00F61704"/>
    <w:rsid w:val="00F731AA"/>
    <w:rsid w:val="00FB0E59"/>
    <w:rsid w:val="00FB37AB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F4008"/>
  <w15:chartTrackingRefBased/>
  <w15:docId w15:val="{DF2D0293-DC34-3F4C-B5D1-F3605DFF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AF"/>
    <w:pPr>
      <w:ind w:left="720"/>
      <w:contextualSpacing/>
    </w:pPr>
  </w:style>
  <w:style w:type="table" w:styleId="TableGrid">
    <w:name w:val="Table Grid"/>
    <w:basedOn w:val="TableNormal"/>
    <w:uiPriority w:val="39"/>
    <w:rsid w:val="0001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E36"/>
  </w:style>
  <w:style w:type="paragraph" w:styleId="Footer">
    <w:name w:val="footer"/>
    <w:basedOn w:val="Normal"/>
    <w:link w:val="FooterChar"/>
    <w:uiPriority w:val="99"/>
    <w:unhideWhenUsed/>
    <w:rsid w:val="00D35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36"/>
  </w:style>
  <w:style w:type="character" w:styleId="CommentReference">
    <w:name w:val="annotation reference"/>
    <w:basedOn w:val="DefaultParagraphFont"/>
    <w:uiPriority w:val="99"/>
    <w:semiHidden/>
    <w:unhideWhenUsed/>
    <w:rsid w:val="00EA5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2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0E0B"/>
  </w:style>
  <w:style w:type="character" w:styleId="Hyperlink">
    <w:name w:val="Hyperlink"/>
    <w:basedOn w:val="DefaultParagraphFont"/>
    <w:uiPriority w:val="99"/>
    <w:unhideWhenUsed/>
    <w:rsid w:val="00010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/i/item/97892400536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D614-4BF2-4B83-8F57-B1166031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Lucy Harber</cp:lastModifiedBy>
  <cp:revision>4</cp:revision>
  <dcterms:created xsi:type="dcterms:W3CDTF">2022-10-21T11:19:00Z</dcterms:created>
  <dcterms:modified xsi:type="dcterms:W3CDTF">2022-10-21T11:26:00Z</dcterms:modified>
</cp:coreProperties>
</file>