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B6A2" w14:textId="6CE79D9A" w:rsidR="00BB5BA3" w:rsidRPr="007314B0" w:rsidRDefault="0014056C" w:rsidP="00DD508F">
      <w:pPr>
        <w:spacing w:after="120" w:line="240" w:lineRule="auto"/>
        <w:rPr>
          <w:b/>
          <w:sz w:val="28"/>
          <w:szCs w:val="28"/>
        </w:rPr>
      </w:pPr>
      <w:r w:rsidRPr="007314B0">
        <w:rPr>
          <w:b/>
          <w:sz w:val="28"/>
          <w:szCs w:val="28"/>
        </w:rPr>
        <w:t>Modèle de directives pour la prophylaxie préexposition</w:t>
      </w:r>
      <w:r w:rsidR="001C7DED" w:rsidRPr="007314B0">
        <w:rPr>
          <w:b/>
          <w:sz w:val="28"/>
          <w:szCs w:val="28"/>
        </w:rPr>
        <w:t xml:space="preserve"> orale</w:t>
      </w:r>
      <w:r w:rsidRPr="007314B0">
        <w:rPr>
          <w:b/>
          <w:sz w:val="28"/>
          <w:szCs w:val="28"/>
        </w:rPr>
        <w:t>, l’anneau de PrEP et l</w:t>
      </w:r>
      <w:r w:rsidR="00253078" w:rsidRPr="007314B0">
        <w:rPr>
          <w:b/>
          <w:sz w:val="28"/>
          <w:szCs w:val="28"/>
        </w:rPr>
        <w:t>e</w:t>
      </w:r>
      <w:r w:rsidRPr="007314B0">
        <w:rPr>
          <w:b/>
          <w:sz w:val="28"/>
          <w:szCs w:val="28"/>
        </w:rPr>
        <w:t xml:space="preserve"> </w:t>
      </w:r>
      <w:proofErr w:type="spellStart"/>
      <w:r w:rsidR="00253078" w:rsidRPr="007314B0">
        <w:rPr>
          <w:b/>
          <w:sz w:val="28"/>
          <w:szCs w:val="28"/>
        </w:rPr>
        <w:t>cabot</w:t>
      </w:r>
      <w:r w:rsidR="002A23A2" w:rsidRPr="007314B0">
        <w:rPr>
          <w:b/>
          <w:sz w:val="28"/>
          <w:szCs w:val="28"/>
        </w:rPr>
        <w:t>é</w:t>
      </w:r>
      <w:r w:rsidR="00253078" w:rsidRPr="007314B0">
        <w:rPr>
          <w:b/>
          <w:sz w:val="28"/>
          <w:szCs w:val="28"/>
        </w:rPr>
        <w:t>gravir</w:t>
      </w:r>
      <w:proofErr w:type="spellEnd"/>
      <w:r w:rsidR="00253078" w:rsidRPr="007314B0">
        <w:rPr>
          <w:b/>
          <w:sz w:val="28"/>
          <w:szCs w:val="28"/>
        </w:rPr>
        <w:t xml:space="preserve"> injectable (</w:t>
      </w:r>
      <w:r w:rsidR="00A57904" w:rsidRPr="007314B0">
        <w:rPr>
          <w:b/>
          <w:sz w:val="28"/>
          <w:szCs w:val="28"/>
        </w:rPr>
        <w:t xml:space="preserve">la </w:t>
      </w:r>
      <w:r w:rsidRPr="007314B0">
        <w:rPr>
          <w:b/>
          <w:sz w:val="28"/>
          <w:szCs w:val="28"/>
        </w:rPr>
        <w:t>CAB PrEP</w:t>
      </w:r>
      <w:r w:rsidR="00A57904" w:rsidRPr="007314B0">
        <w:rPr>
          <w:b/>
          <w:sz w:val="28"/>
          <w:szCs w:val="28"/>
        </w:rPr>
        <w:t>)</w:t>
      </w:r>
    </w:p>
    <w:p w14:paraId="64259D6C" w14:textId="75EFCCE8" w:rsidR="00823446" w:rsidRPr="007314B0" w:rsidRDefault="00AB3253" w:rsidP="00DD508F">
      <w:pPr>
        <w:spacing w:after="120" w:line="240" w:lineRule="auto"/>
        <w:rPr>
          <w:bCs/>
          <w:i/>
          <w:iCs/>
          <w:sz w:val="24"/>
          <w:szCs w:val="24"/>
        </w:rPr>
      </w:pPr>
      <w:r w:rsidRPr="007314B0">
        <w:rPr>
          <w:bCs/>
          <w:i/>
          <w:iCs/>
          <w:sz w:val="24"/>
          <w:szCs w:val="24"/>
        </w:rPr>
        <w:t xml:space="preserve">Mise à jour : </w:t>
      </w:r>
      <w:r w:rsidR="001D61C4" w:rsidRPr="007314B0">
        <w:rPr>
          <w:bCs/>
          <w:i/>
          <w:iCs/>
          <w:sz w:val="24"/>
          <w:szCs w:val="24"/>
        </w:rPr>
        <w:t>1</w:t>
      </w:r>
      <w:r w:rsidR="00193411" w:rsidRPr="007314B0">
        <w:rPr>
          <w:bCs/>
          <w:i/>
          <w:iCs/>
          <w:sz w:val="24"/>
          <w:szCs w:val="24"/>
        </w:rPr>
        <w:t>7</w:t>
      </w:r>
      <w:r w:rsidR="0031333F" w:rsidRPr="007314B0">
        <w:rPr>
          <w:bCs/>
          <w:i/>
          <w:iCs/>
          <w:sz w:val="24"/>
          <w:szCs w:val="24"/>
        </w:rPr>
        <w:t xml:space="preserve"> janvier 202</w:t>
      </w:r>
      <w:r w:rsidR="005303DD" w:rsidRPr="007314B0">
        <w:rPr>
          <w:bCs/>
          <w:i/>
          <w:iCs/>
          <w:sz w:val="24"/>
          <w:szCs w:val="24"/>
        </w:rPr>
        <w:t>4</w:t>
      </w:r>
    </w:p>
    <w:tbl>
      <w:tblPr>
        <w:tblW w:w="0" w:type="auto"/>
        <w:tblLook w:val="04A0" w:firstRow="1" w:lastRow="0" w:firstColumn="1" w:lastColumn="0" w:noHBand="0" w:noVBand="1"/>
      </w:tblPr>
      <w:tblGrid>
        <w:gridCol w:w="10456"/>
      </w:tblGrid>
      <w:tr w:rsidR="0082095D" w:rsidRPr="007314B0" w14:paraId="5EB40A8C" w14:textId="77777777" w:rsidTr="1D9AD929">
        <w:tc>
          <w:tcPr>
            <w:tcW w:w="10456" w:type="dxa"/>
            <w:shd w:val="clear" w:color="auto" w:fill="D9E2F3" w:themeFill="accent1" w:themeFillTint="33"/>
          </w:tcPr>
          <w:p w14:paraId="24CDB784" w14:textId="39CD4A14" w:rsidR="00B637DB" w:rsidRPr="007314B0" w:rsidRDefault="00B637DB" w:rsidP="18192185">
            <w:pPr>
              <w:spacing w:after="120"/>
            </w:pPr>
            <w:r w:rsidRPr="007314B0">
              <w:t xml:space="preserve">L’objectif de ce document est de proposer des directives à adapter pour élaborer et adopter des directives nationales qui suivent les recommandations et les conseils de l’Organisation mondiale de la santé (OMS) en matière de prophylaxie préexposition (PrEP), y compris celles pour la prise du </w:t>
            </w:r>
            <w:proofErr w:type="spellStart"/>
            <w:r w:rsidRPr="007314B0">
              <w:t>t</w:t>
            </w:r>
            <w:r w:rsidR="006F0C4E" w:rsidRPr="007314B0">
              <w:t>é</w:t>
            </w:r>
            <w:r w:rsidRPr="007314B0">
              <w:t>nofovir</w:t>
            </w:r>
            <w:proofErr w:type="spellEnd"/>
            <w:r w:rsidRPr="007314B0">
              <w:t xml:space="preserve"> </w:t>
            </w:r>
            <w:proofErr w:type="spellStart"/>
            <w:r w:rsidRPr="007314B0">
              <w:t>disoproxil</w:t>
            </w:r>
            <w:proofErr w:type="spellEnd"/>
            <w:r w:rsidRPr="007314B0">
              <w:t xml:space="preserve"> fumarate (TDF) en PrEP orale quotidienne ou ponctuelle, l’anneau vaginal mensuel à la dapivirine (« l’anneau de PrEP » ou « l’anneau ») et le </w:t>
            </w:r>
            <w:proofErr w:type="spellStart"/>
            <w:r w:rsidRPr="007314B0">
              <w:t>cabotégravir</w:t>
            </w:r>
            <w:proofErr w:type="spellEnd"/>
            <w:r w:rsidRPr="007314B0">
              <w:t xml:space="preserve"> injectable (la CAB PrEP). </w:t>
            </w:r>
            <w:r w:rsidRPr="007314B0">
              <w:rPr>
                <w:color w:val="000000" w:themeColor="text1"/>
              </w:rPr>
              <w:t xml:space="preserve">Le document offre des suggestions </w:t>
            </w:r>
            <w:r w:rsidR="00C2317B" w:rsidRPr="007314B0">
              <w:rPr>
                <w:color w:val="000000" w:themeColor="text1"/>
              </w:rPr>
              <w:t>qui</w:t>
            </w:r>
            <w:r w:rsidRPr="007314B0">
              <w:rPr>
                <w:color w:val="000000" w:themeColor="text1"/>
              </w:rPr>
              <w:t xml:space="preserve"> </w:t>
            </w:r>
            <w:proofErr w:type="spellStart"/>
            <w:r w:rsidRPr="007314B0">
              <w:rPr>
                <w:color w:val="000000" w:themeColor="text1"/>
              </w:rPr>
              <w:t>peu</w:t>
            </w:r>
            <w:r w:rsidR="00C2317B" w:rsidRPr="007314B0">
              <w:rPr>
                <w:color w:val="000000" w:themeColor="text1"/>
              </w:rPr>
              <w:t>ven</w:t>
            </w:r>
            <w:proofErr w:type="spellEnd"/>
            <w:r w:rsidRPr="007314B0">
              <w:rPr>
                <w:color w:val="000000" w:themeColor="text1"/>
              </w:rPr>
              <w:t xml:space="preserve"> êtr</w:t>
            </w:r>
            <w:r w:rsidR="00C2317B" w:rsidRPr="007314B0">
              <w:rPr>
                <w:color w:val="000000" w:themeColor="text1"/>
              </w:rPr>
              <w:t>e</w:t>
            </w:r>
            <w:r w:rsidR="001D61C4" w:rsidRPr="007314B0">
              <w:rPr>
                <w:color w:val="000000" w:themeColor="text1"/>
              </w:rPr>
              <w:t xml:space="preserve"> pris</w:t>
            </w:r>
            <w:r w:rsidR="00C2317B" w:rsidRPr="007314B0">
              <w:rPr>
                <w:color w:val="000000" w:themeColor="text1"/>
              </w:rPr>
              <w:t xml:space="preserve"> en</w:t>
            </w:r>
            <w:r w:rsidRPr="007314B0">
              <w:rPr>
                <w:color w:val="000000" w:themeColor="text1"/>
              </w:rPr>
              <w:t xml:space="preserve"> compte au niveau national pendant le processus d’adaptation des directives. </w:t>
            </w:r>
            <w:r w:rsidRPr="007314B0">
              <w:t>Les points qui doivent être mis à jour en fonction de la situation du pays sont indiqués en</w:t>
            </w:r>
            <w:r w:rsidRPr="007314B0">
              <w:rPr>
                <w:color w:val="000000" w:themeColor="text1"/>
              </w:rPr>
              <w:t xml:space="preserve"> </w:t>
            </w:r>
            <w:r w:rsidRPr="007314B0">
              <w:rPr>
                <w:color w:val="FF0000"/>
              </w:rPr>
              <w:t>rouge</w:t>
            </w:r>
            <w:r w:rsidRPr="007314B0">
              <w:t xml:space="preserve"> ; les sections que les décideurs doivent examiner plus en détail, présentées dans des encadrés verts, découlent des organismes de réglementation, des informations disponibles sur les produits et des connaissances acquises au niveau du pays. Lorsqu’une décision est prise concernant les points à prendre en compte dans les encadrés verts, il est alors possible d’ajouter le texte correspondant et les encadrés peuvent </w:t>
            </w:r>
            <w:r w:rsidR="001C7DED" w:rsidRPr="007314B0">
              <w:t xml:space="preserve">ensuite </w:t>
            </w:r>
            <w:r w:rsidRPr="007314B0">
              <w:t>être supprimés.</w:t>
            </w:r>
          </w:p>
          <w:p w14:paraId="0305F981" w14:textId="5E154855" w:rsidR="00B637DB" w:rsidRPr="007314B0" w:rsidRDefault="600B875E" w:rsidP="00DD508F">
            <w:pPr>
              <w:spacing w:after="120"/>
            </w:pPr>
            <w:r w:rsidRPr="007314B0">
              <w:t xml:space="preserve">Le contenu de ce document provient en grande partie de : </w:t>
            </w:r>
          </w:p>
          <w:p w14:paraId="11F3D98C" w14:textId="01E1F198" w:rsidR="00BC1D21" w:rsidRPr="007314B0" w:rsidRDefault="007A77E0" w:rsidP="008C5B8D">
            <w:pPr>
              <w:pStyle w:val="ListParagraph"/>
              <w:numPr>
                <w:ilvl w:val="0"/>
                <w:numId w:val="5"/>
              </w:numPr>
              <w:spacing w:after="0"/>
            </w:pPr>
            <w:r w:rsidRPr="007314B0">
              <w:t xml:space="preserve">Information sur le produit australien </w:t>
            </w:r>
            <w:proofErr w:type="spellStart"/>
            <w:r w:rsidRPr="007314B0">
              <w:t>Apretude</w:t>
            </w:r>
            <w:proofErr w:type="spellEnd"/>
            <w:r w:rsidRPr="007314B0">
              <w:t xml:space="preserve"> (août 2022, en attente de partage public)</w:t>
            </w:r>
          </w:p>
          <w:p w14:paraId="0BB85641" w14:textId="4557B555" w:rsidR="00BC1D21" w:rsidRPr="007314B0" w:rsidRDefault="007314B0" w:rsidP="008C5B8D">
            <w:pPr>
              <w:pStyle w:val="ListParagraph"/>
              <w:numPr>
                <w:ilvl w:val="0"/>
                <w:numId w:val="5"/>
              </w:numPr>
              <w:spacing w:after="0"/>
            </w:pPr>
            <w:hyperlink r:id="rId11">
              <w:proofErr w:type="spellStart"/>
              <w:r w:rsidR="009B3611" w:rsidRPr="007314B0">
                <w:rPr>
                  <w:rStyle w:val="Hyperlink"/>
                </w:rPr>
                <w:t>Updated</w:t>
              </w:r>
              <w:proofErr w:type="spellEnd"/>
              <w:r w:rsidR="009B3611" w:rsidRPr="007314B0">
                <w:rPr>
                  <w:rStyle w:val="Hyperlink"/>
                </w:rPr>
                <w:t xml:space="preserve"> </w:t>
              </w:r>
              <w:proofErr w:type="spellStart"/>
              <w:r w:rsidR="009B3611" w:rsidRPr="007314B0">
                <w:rPr>
                  <w:rStyle w:val="Hyperlink"/>
                </w:rPr>
                <w:t>Differentiated</w:t>
              </w:r>
              <w:proofErr w:type="spellEnd"/>
              <w:r w:rsidR="009B3611" w:rsidRPr="007314B0">
                <w:rPr>
                  <w:rStyle w:val="Hyperlink"/>
                </w:rPr>
                <w:t xml:space="preserve"> and </w:t>
              </w:r>
              <w:proofErr w:type="spellStart"/>
              <w:r w:rsidR="009B3611" w:rsidRPr="007314B0">
                <w:rPr>
                  <w:rStyle w:val="Hyperlink"/>
                </w:rPr>
                <w:t>Simplified</w:t>
              </w:r>
              <w:proofErr w:type="spellEnd"/>
              <w:r w:rsidR="009B3611" w:rsidRPr="007314B0">
                <w:rPr>
                  <w:rStyle w:val="Hyperlink"/>
                </w:rPr>
                <w:t xml:space="preserve"> Pre-</w:t>
              </w:r>
              <w:proofErr w:type="spellStart"/>
              <w:r w:rsidR="009B3611" w:rsidRPr="007314B0">
                <w:rPr>
                  <w:rStyle w:val="Hyperlink"/>
                </w:rPr>
                <w:t>exposure</w:t>
              </w:r>
              <w:proofErr w:type="spellEnd"/>
              <w:r w:rsidR="009B3611" w:rsidRPr="007314B0">
                <w:rPr>
                  <w:rStyle w:val="Hyperlink"/>
                </w:rPr>
                <w:t xml:space="preserve"> </w:t>
              </w:r>
              <w:proofErr w:type="spellStart"/>
              <w:r w:rsidR="009B3611" w:rsidRPr="007314B0">
                <w:rPr>
                  <w:rStyle w:val="Hyperlink"/>
                </w:rPr>
                <w:t>Prophylaxis</w:t>
              </w:r>
              <w:proofErr w:type="spellEnd"/>
              <w:r w:rsidR="009B3611" w:rsidRPr="007314B0">
                <w:rPr>
                  <w:rStyle w:val="Hyperlink"/>
                </w:rPr>
                <w:t xml:space="preserve"> for HIV Prevention</w:t>
              </w:r>
            </w:hyperlink>
            <w:r w:rsidR="009B3611" w:rsidRPr="007314B0">
              <w:t xml:space="preserve"> (Mise à jour de la prophylaxie </w:t>
            </w:r>
            <w:r w:rsidR="00DF3220" w:rsidRPr="007314B0">
              <w:t>préexposition</w:t>
            </w:r>
            <w:r w:rsidR="009B3611" w:rsidRPr="007314B0">
              <w:t xml:space="preserve"> différenciée et simplifiée pour la prévention du VIH) de l’OMS (juillet 2022)</w:t>
            </w:r>
          </w:p>
          <w:p w14:paraId="33111DAC" w14:textId="074F9767" w:rsidR="00BC1D21" w:rsidRPr="007314B0" w:rsidRDefault="007314B0" w:rsidP="008C5B8D">
            <w:pPr>
              <w:pStyle w:val="ListParagraph"/>
              <w:numPr>
                <w:ilvl w:val="0"/>
                <w:numId w:val="5"/>
              </w:numPr>
              <w:spacing w:after="0"/>
            </w:pPr>
            <w:hyperlink r:id="rId12">
              <w:r w:rsidR="009B3611" w:rsidRPr="007314B0">
                <w:rPr>
                  <w:rStyle w:val="Hyperlink"/>
                </w:rPr>
                <w:t xml:space="preserve">Guidelines on Long-Acting Injectable </w:t>
              </w:r>
              <w:proofErr w:type="spellStart"/>
              <w:r w:rsidR="009B3611" w:rsidRPr="007314B0">
                <w:rPr>
                  <w:rStyle w:val="Hyperlink"/>
                </w:rPr>
                <w:t>Cabotegravir</w:t>
              </w:r>
              <w:proofErr w:type="spellEnd"/>
              <w:r w:rsidR="009B3611" w:rsidRPr="007314B0">
                <w:rPr>
                  <w:rStyle w:val="Hyperlink"/>
                </w:rPr>
                <w:t xml:space="preserve"> for HIV Prevention</w:t>
              </w:r>
            </w:hyperlink>
            <w:r w:rsidR="009B3611" w:rsidRPr="007314B0">
              <w:t xml:space="preserve"> (Directives sur le </w:t>
            </w:r>
            <w:proofErr w:type="spellStart"/>
            <w:r w:rsidR="009B3611" w:rsidRPr="007314B0">
              <w:t>cabotégravir</w:t>
            </w:r>
            <w:proofErr w:type="spellEnd"/>
            <w:r w:rsidR="009B3611" w:rsidRPr="007314B0">
              <w:t xml:space="preserve"> injectable à action prolongée pour la prévention du VIH) de l’OMS (juillet 2022)</w:t>
            </w:r>
          </w:p>
          <w:p w14:paraId="1C85A56C" w14:textId="28A9A1B9" w:rsidR="00572E2A" w:rsidRPr="007314B0" w:rsidRDefault="007314B0" w:rsidP="008C5B8D">
            <w:pPr>
              <w:pStyle w:val="ListParagraph"/>
              <w:numPr>
                <w:ilvl w:val="0"/>
                <w:numId w:val="5"/>
              </w:numPr>
              <w:spacing w:after="0"/>
            </w:pPr>
            <w:hyperlink r:id="rId13" w:history="1">
              <w:proofErr w:type="spellStart"/>
              <w:r w:rsidR="009B3611" w:rsidRPr="007314B0">
                <w:rPr>
                  <w:rStyle w:val="Hyperlink"/>
                </w:rPr>
                <w:t>Consolidated</w:t>
              </w:r>
              <w:proofErr w:type="spellEnd"/>
              <w:r w:rsidR="009B3611" w:rsidRPr="007314B0">
                <w:rPr>
                  <w:rStyle w:val="Hyperlink"/>
                </w:rPr>
                <w:t xml:space="preserve"> Guidelines on HIV Viral </w:t>
              </w:r>
              <w:proofErr w:type="spellStart"/>
              <w:r w:rsidR="009B3611" w:rsidRPr="007314B0">
                <w:rPr>
                  <w:rStyle w:val="Hyperlink"/>
                </w:rPr>
                <w:t>Hepatitis</w:t>
              </w:r>
              <w:proofErr w:type="spellEnd"/>
              <w:r w:rsidR="009B3611" w:rsidRPr="007314B0">
                <w:rPr>
                  <w:rStyle w:val="Hyperlink"/>
                </w:rPr>
                <w:t xml:space="preserve"> and STI Prevention, </w:t>
              </w:r>
              <w:proofErr w:type="spellStart"/>
              <w:r w:rsidR="009B3611" w:rsidRPr="007314B0">
                <w:rPr>
                  <w:rStyle w:val="Hyperlink"/>
                </w:rPr>
                <w:t>Diagnosis</w:t>
              </w:r>
              <w:proofErr w:type="spellEnd"/>
              <w:r w:rsidR="009B3611" w:rsidRPr="007314B0">
                <w:rPr>
                  <w:rStyle w:val="Hyperlink"/>
                </w:rPr>
                <w:t xml:space="preserve">, </w:t>
              </w:r>
              <w:proofErr w:type="spellStart"/>
              <w:r w:rsidR="009B3611" w:rsidRPr="007314B0">
                <w:rPr>
                  <w:rStyle w:val="Hyperlink"/>
                </w:rPr>
                <w:t>Treatment</w:t>
              </w:r>
              <w:proofErr w:type="spellEnd"/>
              <w:r w:rsidR="009B3611" w:rsidRPr="007314B0">
                <w:rPr>
                  <w:rStyle w:val="Hyperlink"/>
                </w:rPr>
                <w:t>, and Care for Key Populations</w:t>
              </w:r>
            </w:hyperlink>
            <w:r w:rsidR="009B3611" w:rsidRPr="007314B0">
              <w:t xml:space="preserve"> (Directives consolidées sur la prévention, le diagnostic, le traitement et les soins relatifs au VIH, aux hépatites virales et aux IST pour les populations clés) de l’OMS (juillet 2022)</w:t>
            </w:r>
          </w:p>
          <w:p w14:paraId="43870AC2" w14:textId="740553B0" w:rsidR="006667A4" w:rsidRPr="007314B0" w:rsidRDefault="007314B0" w:rsidP="008C5B8D">
            <w:pPr>
              <w:pStyle w:val="ListParagraph"/>
              <w:numPr>
                <w:ilvl w:val="0"/>
                <w:numId w:val="5"/>
              </w:numPr>
              <w:spacing w:after="0"/>
              <w:contextualSpacing w:val="0"/>
              <w:rPr>
                <w:rFonts w:cstheme="minorHAnsi"/>
              </w:rPr>
            </w:pPr>
            <w:hyperlink r:id="rId14">
              <w:r w:rsidR="009B3611" w:rsidRPr="007314B0">
                <w:rPr>
                  <w:rStyle w:val="Hyperlink"/>
                </w:rPr>
                <w:t xml:space="preserve">United States Food and Drug Administration </w:t>
              </w:r>
              <w:proofErr w:type="spellStart"/>
              <w:r w:rsidR="009B3611" w:rsidRPr="007314B0">
                <w:rPr>
                  <w:rStyle w:val="Hyperlink"/>
                </w:rPr>
                <w:t>Apretude</w:t>
              </w:r>
              <w:proofErr w:type="spellEnd"/>
              <w:r w:rsidR="009B3611" w:rsidRPr="007314B0">
                <w:rPr>
                  <w:rStyle w:val="Hyperlink"/>
                </w:rPr>
                <w:t xml:space="preserve"> Label</w:t>
              </w:r>
            </w:hyperlink>
            <w:r w:rsidR="009B3611" w:rsidRPr="007314B0">
              <w:t xml:space="preserve"> (Étiquette de l’</w:t>
            </w:r>
            <w:proofErr w:type="spellStart"/>
            <w:r w:rsidR="009B3611" w:rsidRPr="007314B0">
              <w:t>Apretude</w:t>
            </w:r>
            <w:proofErr w:type="spellEnd"/>
            <w:r w:rsidR="009B3611" w:rsidRPr="007314B0">
              <w:t xml:space="preserve"> de la Food and Drug Administration des États-Unis) (décembre 2021)</w:t>
            </w:r>
          </w:p>
          <w:p w14:paraId="38F7198C" w14:textId="6A019F56" w:rsidR="00BC1D21" w:rsidRPr="007314B0" w:rsidRDefault="007314B0" w:rsidP="008C5B8D">
            <w:pPr>
              <w:pStyle w:val="ListParagraph"/>
              <w:numPr>
                <w:ilvl w:val="0"/>
                <w:numId w:val="5"/>
              </w:numPr>
              <w:spacing w:after="0"/>
              <w:contextualSpacing w:val="0"/>
              <w:rPr>
                <w:rFonts w:cstheme="minorHAnsi"/>
              </w:rPr>
            </w:pPr>
            <w:hyperlink r:id="rId15">
              <w:proofErr w:type="spellStart"/>
              <w:r w:rsidR="009B3611" w:rsidRPr="007314B0">
                <w:rPr>
                  <w:color w:val="0563C1"/>
                  <w:u w:val="single"/>
                </w:rPr>
                <w:t>Consolidated</w:t>
              </w:r>
              <w:proofErr w:type="spellEnd"/>
              <w:r w:rsidR="009B3611" w:rsidRPr="007314B0">
                <w:rPr>
                  <w:color w:val="0563C1"/>
                  <w:u w:val="single"/>
                </w:rPr>
                <w:t xml:space="preserve"> Guidelines on HIV Prevention, </w:t>
              </w:r>
              <w:proofErr w:type="spellStart"/>
              <w:r w:rsidR="009B3611" w:rsidRPr="007314B0">
                <w:rPr>
                  <w:color w:val="0563C1"/>
                  <w:u w:val="single"/>
                </w:rPr>
                <w:t>Testing</w:t>
              </w:r>
              <w:proofErr w:type="spellEnd"/>
              <w:r w:rsidR="009B3611" w:rsidRPr="007314B0">
                <w:rPr>
                  <w:color w:val="0563C1"/>
                  <w:u w:val="single"/>
                </w:rPr>
                <w:t xml:space="preserve">, </w:t>
              </w:r>
              <w:proofErr w:type="spellStart"/>
              <w:r w:rsidR="009B3611" w:rsidRPr="007314B0">
                <w:rPr>
                  <w:color w:val="0563C1"/>
                  <w:u w:val="single"/>
                </w:rPr>
                <w:t>Treatment</w:t>
              </w:r>
              <w:proofErr w:type="spellEnd"/>
              <w:r w:rsidR="009B3611" w:rsidRPr="007314B0">
                <w:rPr>
                  <w:color w:val="0563C1"/>
                  <w:u w:val="single"/>
                </w:rPr>
                <w:t xml:space="preserve">, Service Delivery and </w:t>
              </w:r>
              <w:proofErr w:type="gramStart"/>
              <w:r w:rsidR="009B3611" w:rsidRPr="007314B0">
                <w:rPr>
                  <w:color w:val="0563C1"/>
                  <w:u w:val="single"/>
                </w:rPr>
                <w:t>Monitoring:</w:t>
              </w:r>
              <w:proofErr w:type="gramEnd"/>
            </w:hyperlink>
            <w:hyperlink r:id="rId16">
              <w:r w:rsidR="009B3611" w:rsidRPr="007314B0">
                <w:rPr>
                  <w:color w:val="0563C1"/>
                  <w:u w:val="single"/>
                </w:rPr>
                <w:t xml:space="preserve"> </w:t>
              </w:r>
              <w:proofErr w:type="spellStart"/>
              <w:r w:rsidR="009B3611" w:rsidRPr="007314B0">
                <w:rPr>
                  <w:color w:val="0563C1"/>
                  <w:u w:val="single"/>
                </w:rPr>
                <w:t>Recommendations</w:t>
              </w:r>
              <w:proofErr w:type="spellEnd"/>
              <w:r w:rsidR="009B3611" w:rsidRPr="007314B0">
                <w:rPr>
                  <w:color w:val="0563C1"/>
                  <w:u w:val="single"/>
                </w:rPr>
                <w:t xml:space="preserve"> for a Public Health </w:t>
              </w:r>
              <w:proofErr w:type="spellStart"/>
              <w:r w:rsidR="009B3611" w:rsidRPr="007314B0">
                <w:rPr>
                  <w:color w:val="0563C1"/>
                  <w:u w:val="single"/>
                </w:rPr>
                <w:t>Approach</w:t>
              </w:r>
              <w:proofErr w:type="spellEnd"/>
            </w:hyperlink>
            <w:r w:rsidR="009B3611" w:rsidRPr="007314B0">
              <w:rPr>
                <w:i/>
                <w:iCs/>
                <w:color w:val="0563C1"/>
                <w:u w:val="single"/>
              </w:rPr>
              <w:t xml:space="preserve"> </w:t>
            </w:r>
            <w:r w:rsidR="009B3611" w:rsidRPr="007314B0">
              <w:t xml:space="preserve">(Directives consolidées sur la prévention, le dépistage, le traitement, la prestation de services et le suivi en matière de VIH : Recommandations pour une approche de santé publique) de l’OMS (juillet 2022) </w:t>
            </w:r>
          </w:p>
          <w:p w14:paraId="63AAB62D" w14:textId="5406C93D" w:rsidR="00BC1D21" w:rsidRPr="007314B0" w:rsidRDefault="007314B0" w:rsidP="008C5B8D">
            <w:pPr>
              <w:pStyle w:val="ListParagraph"/>
              <w:numPr>
                <w:ilvl w:val="0"/>
                <w:numId w:val="5"/>
              </w:numPr>
              <w:spacing w:after="0"/>
              <w:contextualSpacing w:val="0"/>
              <w:rPr>
                <w:rFonts w:cstheme="minorHAnsi"/>
              </w:rPr>
            </w:pPr>
            <w:hyperlink r:id="rId17">
              <w:proofErr w:type="spellStart"/>
              <w:r w:rsidR="009B3611" w:rsidRPr="007314B0">
                <w:rPr>
                  <w:rStyle w:val="Hyperlink"/>
                </w:rPr>
                <w:t>Summary</w:t>
              </w:r>
              <w:proofErr w:type="spellEnd"/>
              <w:r w:rsidR="009B3611" w:rsidRPr="007314B0">
                <w:rPr>
                  <w:rStyle w:val="Hyperlink"/>
                </w:rPr>
                <w:t xml:space="preserve"> of Product </w:t>
              </w:r>
              <w:proofErr w:type="spellStart"/>
              <w:r w:rsidR="009B3611" w:rsidRPr="007314B0">
                <w:rPr>
                  <w:rStyle w:val="Hyperlink"/>
                </w:rPr>
                <w:t>Characteristics</w:t>
              </w:r>
              <w:proofErr w:type="spellEnd"/>
              <w:r w:rsidR="009B3611" w:rsidRPr="007314B0">
                <w:rPr>
                  <w:rStyle w:val="Hyperlink"/>
                </w:rPr>
                <w:t xml:space="preserve"> for PrEP Ring</w:t>
              </w:r>
            </w:hyperlink>
            <w:r w:rsidR="009B3611" w:rsidRPr="007314B0">
              <w:t xml:space="preserve"> (Résumé des caractéristiques du produit pour l’anneau de PrEP) de l’Agence européenne des médicaments (avril 2021)</w:t>
            </w:r>
          </w:p>
          <w:p w14:paraId="72EF1855" w14:textId="1F1DC271" w:rsidR="00BC1D21" w:rsidRPr="007314B0" w:rsidRDefault="007314B0" w:rsidP="008C5B8D">
            <w:pPr>
              <w:pStyle w:val="ListParagraph"/>
              <w:numPr>
                <w:ilvl w:val="0"/>
                <w:numId w:val="5"/>
              </w:numPr>
              <w:spacing w:after="0"/>
              <w:contextualSpacing w:val="0"/>
              <w:rPr>
                <w:rFonts w:cstheme="minorHAnsi"/>
              </w:rPr>
            </w:pPr>
            <w:hyperlink r:id="rId18">
              <w:proofErr w:type="spellStart"/>
              <w:r w:rsidR="009B3611" w:rsidRPr="007314B0">
                <w:rPr>
                  <w:rStyle w:val="Hyperlink"/>
                </w:rPr>
                <w:t>Updated</w:t>
              </w:r>
              <w:proofErr w:type="spellEnd"/>
              <w:r w:rsidR="009B3611" w:rsidRPr="007314B0">
                <w:rPr>
                  <w:rStyle w:val="Hyperlink"/>
                </w:rPr>
                <w:t xml:space="preserve"> </w:t>
              </w:r>
              <w:proofErr w:type="spellStart"/>
              <w:r w:rsidR="009B3611" w:rsidRPr="007314B0">
                <w:rPr>
                  <w:rStyle w:val="Hyperlink"/>
                </w:rPr>
                <w:t>Recommendations</w:t>
              </w:r>
              <w:proofErr w:type="spellEnd"/>
              <w:r w:rsidR="009B3611" w:rsidRPr="007314B0">
                <w:rPr>
                  <w:rStyle w:val="Hyperlink"/>
                </w:rPr>
                <w:t xml:space="preserve"> on HIV Prevention, Infant </w:t>
              </w:r>
              <w:proofErr w:type="spellStart"/>
              <w:r w:rsidR="009B3611" w:rsidRPr="007314B0">
                <w:rPr>
                  <w:rStyle w:val="Hyperlink"/>
                </w:rPr>
                <w:t>Diagnosis</w:t>
              </w:r>
              <w:proofErr w:type="spellEnd"/>
              <w:r w:rsidR="009B3611" w:rsidRPr="007314B0">
                <w:rPr>
                  <w:rStyle w:val="Hyperlink"/>
                </w:rPr>
                <w:t xml:space="preserve">, </w:t>
              </w:r>
              <w:proofErr w:type="spellStart"/>
              <w:r w:rsidR="009B3611" w:rsidRPr="007314B0">
                <w:rPr>
                  <w:rStyle w:val="Hyperlink"/>
                </w:rPr>
                <w:t>Antiretroviral</w:t>
              </w:r>
              <w:proofErr w:type="spellEnd"/>
              <w:r w:rsidR="009B3611" w:rsidRPr="007314B0">
                <w:rPr>
                  <w:rStyle w:val="Hyperlink"/>
                </w:rPr>
                <w:t xml:space="preserve"> Initiation and Monitoring Guidelines</w:t>
              </w:r>
            </w:hyperlink>
            <w:r w:rsidR="009B3611" w:rsidRPr="007314B0">
              <w:t xml:space="preserve"> (Recommandations mises à jour sur la prévention du VIH, le diagnostic du nourrisson, l’initiation aux antirétroviraux et les directives de suivi) de l’OMS (mars 2021)</w:t>
            </w:r>
          </w:p>
          <w:p w14:paraId="7BA847A2" w14:textId="77777777" w:rsidR="008C5B8D" w:rsidRPr="007314B0" w:rsidRDefault="008C5B8D" w:rsidP="00B60700">
            <w:pPr>
              <w:pStyle w:val="ListParagraph"/>
              <w:spacing w:after="0"/>
              <w:contextualSpacing w:val="0"/>
              <w:rPr>
                <w:rFonts w:cstheme="minorHAnsi"/>
              </w:rPr>
            </w:pPr>
          </w:p>
          <w:p w14:paraId="48A435E2" w14:textId="35D0492C" w:rsidR="0075207F" w:rsidRPr="007314B0" w:rsidRDefault="058A1269" w:rsidP="00DD508F">
            <w:pPr>
              <w:spacing w:after="120"/>
            </w:pPr>
            <w:r w:rsidRPr="007314B0">
              <w:t>Ce document a été élaboré par MOSAIC (</w:t>
            </w:r>
            <w:proofErr w:type="spellStart"/>
            <w:r w:rsidRPr="007314B0">
              <w:t>Maximizing</w:t>
            </w:r>
            <w:proofErr w:type="spellEnd"/>
            <w:r w:rsidRPr="007314B0">
              <w:t xml:space="preserve"> Options to Advance </w:t>
            </w:r>
            <w:proofErr w:type="spellStart"/>
            <w:r w:rsidRPr="007314B0">
              <w:t>Informed</w:t>
            </w:r>
            <w:proofErr w:type="spellEnd"/>
            <w:r w:rsidRPr="007314B0">
              <w:t xml:space="preserve"> </w:t>
            </w:r>
            <w:proofErr w:type="spellStart"/>
            <w:r w:rsidRPr="007314B0">
              <w:t>Choice</w:t>
            </w:r>
            <w:proofErr w:type="spellEnd"/>
            <w:r w:rsidRPr="007314B0">
              <w:t xml:space="preserve"> for HIV Prevention), en collaboration avec l’Agence américaine pour le développement international (USAID) et le Fonds mondial de lutte contre le sida, la tuberculose et le paludisme. Il a été rendu possible grâce au généreux soutien du peuple américain par le biais du Plan d’urgence du Président des États-Unis pour la lutte contre le sida (PEPFAR) et de l’USAID. Le contenu relève de la responsabilité du projet MOSAIC et ne reflète pas nécessairement les opinions du PEPFAR, de l’USAID ou du gouvernement des États-Unis. MOSAIC est un accord de coopération mondial (Accord de coopération 7200AA21CA00011) dirigé par FHI 360, avec l’appui de partenaires principaux : </w:t>
            </w:r>
            <w:proofErr w:type="spellStart"/>
            <w:r w:rsidRPr="007314B0">
              <w:t>Jhpiego</w:t>
            </w:r>
            <w:proofErr w:type="spellEnd"/>
            <w:r w:rsidRPr="007314B0">
              <w:t xml:space="preserve">, LVCT Health, </w:t>
            </w:r>
            <w:proofErr w:type="spellStart"/>
            <w:r w:rsidRPr="007314B0">
              <w:t>Pangaea</w:t>
            </w:r>
            <w:proofErr w:type="spellEnd"/>
            <w:r w:rsidRPr="007314B0">
              <w:t xml:space="preserve"> Zimbabwe AIDS Trust, </w:t>
            </w:r>
            <w:proofErr w:type="spellStart"/>
            <w:r w:rsidRPr="007314B0">
              <w:t>Wits</w:t>
            </w:r>
            <w:proofErr w:type="spellEnd"/>
            <w:r w:rsidRPr="007314B0">
              <w:t xml:space="preserve"> Reproductive Health and HIV Institute et AVAC.</w:t>
            </w:r>
          </w:p>
        </w:tc>
      </w:tr>
    </w:tbl>
    <w:p w14:paraId="0DD1F0D5" w14:textId="77777777" w:rsidR="0082095D" w:rsidRPr="007314B0" w:rsidRDefault="0082095D" w:rsidP="00DD508F">
      <w:pPr>
        <w:spacing w:after="120" w:line="240" w:lineRule="auto"/>
        <w:rPr>
          <w:rFonts w:cstheme="minorHAnsi"/>
          <w:b/>
          <w:sz w:val="28"/>
          <w:szCs w:val="28"/>
        </w:rPr>
      </w:pPr>
    </w:p>
    <w:p w14:paraId="1DD33B59" w14:textId="77777777" w:rsidR="009242E4" w:rsidRPr="007314B0" w:rsidRDefault="009242E4">
      <w:pPr>
        <w:rPr>
          <w:rFonts w:cstheme="minorHAnsi"/>
          <w:color w:val="2F5496"/>
          <w:sz w:val="32"/>
          <w:szCs w:val="32"/>
        </w:rPr>
      </w:pPr>
      <w:r w:rsidRPr="007314B0">
        <w:br w:type="page"/>
      </w:r>
    </w:p>
    <w:p w14:paraId="63853391" w14:textId="71A9E56B" w:rsidR="00BB5BA3" w:rsidRPr="007314B0" w:rsidRDefault="00BB5BA3" w:rsidP="00DD508F">
      <w:pPr>
        <w:keepNext/>
        <w:keepLines/>
        <w:pBdr>
          <w:top w:val="nil"/>
          <w:left w:val="nil"/>
          <w:bottom w:val="nil"/>
          <w:right w:val="nil"/>
          <w:between w:val="nil"/>
        </w:pBdr>
        <w:spacing w:after="120" w:line="240" w:lineRule="auto"/>
        <w:rPr>
          <w:rFonts w:cstheme="minorHAnsi"/>
          <w:color w:val="2F5496"/>
          <w:sz w:val="32"/>
          <w:szCs w:val="32"/>
        </w:rPr>
      </w:pPr>
      <w:r w:rsidRPr="007314B0">
        <w:rPr>
          <w:color w:val="2F5496"/>
          <w:sz w:val="32"/>
          <w:szCs w:val="32"/>
        </w:rPr>
        <w:lastRenderedPageBreak/>
        <w:t>Table des matières</w:t>
      </w:r>
    </w:p>
    <w:p w14:paraId="08181F0A" w14:textId="77777777" w:rsidR="00BB5BA3" w:rsidRPr="007314B0" w:rsidRDefault="00BB5BA3" w:rsidP="00DD508F">
      <w:pPr>
        <w:spacing w:after="120" w:line="240" w:lineRule="auto"/>
        <w:rPr>
          <w:rFonts w:cstheme="minorHAnsi"/>
        </w:rPr>
      </w:pPr>
    </w:p>
    <w:sdt>
      <w:sdtPr>
        <w:rPr>
          <w:rFonts w:asciiTheme="minorHAnsi" w:eastAsiaTheme="minorHAnsi" w:hAnsiTheme="minorHAnsi" w:cstheme="minorHAnsi"/>
        </w:rPr>
        <w:id w:val="-348175706"/>
        <w:docPartObj>
          <w:docPartGallery w:val="Table of Contents"/>
          <w:docPartUnique/>
        </w:docPartObj>
      </w:sdtPr>
      <w:sdtEndPr/>
      <w:sdtContent>
        <w:p w14:paraId="0714B534" w14:textId="4D72902A" w:rsidR="00385E41" w:rsidRPr="007314B0" w:rsidRDefault="00BB5BA3">
          <w:pPr>
            <w:pStyle w:val="TOC1"/>
            <w:rPr>
              <w:rFonts w:asciiTheme="minorHAnsi" w:eastAsiaTheme="minorEastAsia" w:hAnsiTheme="minorHAnsi" w:cstheme="minorBidi"/>
              <w:noProof/>
            </w:rPr>
          </w:pPr>
          <w:r w:rsidRPr="007314B0">
            <w:rPr>
              <w:rFonts w:asciiTheme="minorHAnsi" w:hAnsiTheme="minorHAnsi" w:cstheme="minorHAnsi"/>
            </w:rPr>
            <w:fldChar w:fldCharType="begin"/>
          </w:r>
          <w:r w:rsidRPr="007314B0">
            <w:rPr>
              <w:rFonts w:asciiTheme="minorHAnsi" w:hAnsiTheme="minorHAnsi" w:cstheme="minorHAnsi"/>
            </w:rPr>
            <w:instrText xml:space="preserve"> TOC \h \u \z </w:instrText>
          </w:r>
          <w:r w:rsidRPr="007314B0">
            <w:rPr>
              <w:rFonts w:asciiTheme="minorHAnsi" w:hAnsiTheme="minorHAnsi" w:cstheme="minorHAnsi"/>
            </w:rPr>
            <w:fldChar w:fldCharType="separate"/>
          </w:r>
          <w:hyperlink w:anchor="_Toc124428482" w:history="1">
            <w:r w:rsidR="00385E41" w:rsidRPr="007314B0">
              <w:rPr>
                <w:rStyle w:val="Hyperlink"/>
                <w:noProof/>
              </w:rPr>
              <w:t>Liste des acronymes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_Toc124428482 \h </w:instrText>
            </w:r>
            <w:r w:rsidR="00385E41" w:rsidRPr="007314B0">
              <w:rPr>
                <w:noProof/>
                <w:webHidden/>
              </w:rPr>
            </w:r>
            <w:r w:rsidR="00385E41" w:rsidRPr="007314B0">
              <w:rPr>
                <w:noProof/>
                <w:webHidden/>
              </w:rPr>
              <w:fldChar w:fldCharType="separate"/>
            </w:r>
            <w:r w:rsidR="00B92E6D" w:rsidRPr="007314B0">
              <w:rPr>
                <w:noProof/>
                <w:webHidden/>
              </w:rPr>
              <w:t>4</w:t>
            </w:r>
            <w:r w:rsidR="00385E41" w:rsidRPr="007314B0">
              <w:rPr>
                <w:noProof/>
                <w:webHidden/>
              </w:rPr>
              <w:fldChar w:fldCharType="end"/>
            </w:r>
          </w:hyperlink>
        </w:p>
        <w:p w14:paraId="40784510" w14:textId="4BA433F2" w:rsidR="00385E41" w:rsidRPr="007314B0" w:rsidRDefault="007314B0">
          <w:pPr>
            <w:pStyle w:val="TOC1"/>
            <w:rPr>
              <w:rFonts w:asciiTheme="minorHAnsi" w:eastAsiaTheme="minorEastAsia" w:hAnsiTheme="minorHAnsi" w:cstheme="minorBidi"/>
              <w:noProof/>
            </w:rPr>
          </w:pPr>
          <w:hyperlink w:anchor="_Toc124428483" w:history="1">
            <w:r w:rsidR="00385E41" w:rsidRPr="007314B0">
              <w:rPr>
                <w:rStyle w:val="Hyperlink"/>
                <w:noProof/>
              </w:rPr>
              <w:t>Présentation sommaire de la prophylaxie préexposition</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_Toc124428483 \h </w:instrText>
            </w:r>
            <w:r w:rsidR="00385E41" w:rsidRPr="007314B0">
              <w:rPr>
                <w:noProof/>
                <w:webHidden/>
              </w:rPr>
            </w:r>
            <w:r w:rsidR="00385E41" w:rsidRPr="007314B0">
              <w:rPr>
                <w:noProof/>
                <w:webHidden/>
              </w:rPr>
              <w:fldChar w:fldCharType="separate"/>
            </w:r>
            <w:r w:rsidR="00B92E6D" w:rsidRPr="007314B0">
              <w:rPr>
                <w:noProof/>
                <w:webHidden/>
              </w:rPr>
              <w:t>5</w:t>
            </w:r>
            <w:r w:rsidR="00385E41" w:rsidRPr="007314B0">
              <w:rPr>
                <w:noProof/>
                <w:webHidden/>
              </w:rPr>
              <w:fldChar w:fldCharType="end"/>
            </w:r>
          </w:hyperlink>
        </w:p>
        <w:p w14:paraId="60FE40FD" w14:textId="1B6F7CD0" w:rsidR="00385E41" w:rsidRPr="007314B0" w:rsidRDefault="007314B0">
          <w:pPr>
            <w:pStyle w:val="TOC2"/>
            <w:rPr>
              <w:rFonts w:asciiTheme="minorHAnsi" w:eastAsiaTheme="minorEastAsia" w:hAnsiTheme="minorHAnsi" w:cstheme="minorBidi"/>
              <w:noProof/>
            </w:rPr>
          </w:pPr>
          <w:hyperlink w:anchor="_Toc124428484" w:history="1">
            <w:r w:rsidR="00385E41" w:rsidRPr="007314B0">
              <w:rPr>
                <w:rStyle w:val="Hyperlink"/>
                <w:noProof/>
              </w:rPr>
              <w:t>Présentation de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_Toc124428484 \h </w:instrText>
            </w:r>
            <w:r w:rsidR="00385E41" w:rsidRPr="007314B0">
              <w:rPr>
                <w:noProof/>
                <w:webHidden/>
              </w:rPr>
            </w:r>
            <w:r w:rsidR="00385E41" w:rsidRPr="007314B0">
              <w:rPr>
                <w:noProof/>
                <w:webHidden/>
              </w:rPr>
              <w:fldChar w:fldCharType="separate"/>
            </w:r>
            <w:r w:rsidR="00B92E6D" w:rsidRPr="007314B0">
              <w:rPr>
                <w:noProof/>
                <w:webHidden/>
              </w:rPr>
              <w:t>5</w:t>
            </w:r>
            <w:r w:rsidR="00385E41" w:rsidRPr="007314B0">
              <w:rPr>
                <w:noProof/>
                <w:webHidden/>
              </w:rPr>
              <w:fldChar w:fldCharType="end"/>
            </w:r>
          </w:hyperlink>
        </w:p>
        <w:p w14:paraId="1510235F" w14:textId="4EDD04CE" w:rsidR="00385E41" w:rsidRPr="007314B0" w:rsidRDefault="007314B0">
          <w:pPr>
            <w:pStyle w:val="TOC3"/>
            <w:rPr>
              <w:rFonts w:eastAsiaTheme="minorEastAsia"/>
              <w:noProof/>
            </w:rPr>
          </w:pPr>
          <w:hyperlink w:anchor="_Toc124428485" w:history="1">
            <w:r w:rsidR="00385E41" w:rsidRPr="007314B0">
              <w:rPr>
                <w:rStyle w:val="Hyperlink"/>
                <w:noProof/>
              </w:rPr>
              <w:t>Médicaments approuvés pour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_Toc124428485 \h </w:instrText>
            </w:r>
            <w:r w:rsidR="00385E41" w:rsidRPr="007314B0">
              <w:rPr>
                <w:noProof/>
                <w:webHidden/>
              </w:rPr>
            </w:r>
            <w:r w:rsidR="00385E41" w:rsidRPr="007314B0">
              <w:rPr>
                <w:noProof/>
                <w:webHidden/>
              </w:rPr>
              <w:fldChar w:fldCharType="separate"/>
            </w:r>
            <w:r w:rsidR="00B92E6D" w:rsidRPr="007314B0">
              <w:rPr>
                <w:noProof/>
                <w:webHidden/>
              </w:rPr>
              <w:t>6</w:t>
            </w:r>
            <w:r w:rsidR="00385E41" w:rsidRPr="007314B0">
              <w:rPr>
                <w:noProof/>
                <w:webHidden/>
              </w:rPr>
              <w:fldChar w:fldCharType="end"/>
            </w:r>
          </w:hyperlink>
        </w:p>
        <w:p w14:paraId="2729B7D9" w14:textId="6FE0EF88" w:rsidR="00385E41" w:rsidRPr="007314B0" w:rsidRDefault="007314B0">
          <w:pPr>
            <w:pStyle w:val="TOC3"/>
            <w:rPr>
              <w:rFonts w:eastAsiaTheme="minorEastAsia"/>
              <w:noProof/>
            </w:rPr>
          </w:pPr>
          <w:hyperlink w:anchor="_Toc124428486" w:history="1">
            <w:r w:rsidR="00385E41" w:rsidRPr="007314B0">
              <w:rPr>
                <w:rStyle w:val="Hyperlink"/>
                <w:noProof/>
              </w:rPr>
              <w:t>Efficacité de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_Toc124428486 \h </w:instrText>
            </w:r>
            <w:r w:rsidR="00385E41" w:rsidRPr="007314B0">
              <w:rPr>
                <w:noProof/>
                <w:webHidden/>
              </w:rPr>
            </w:r>
            <w:r w:rsidR="00385E41" w:rsidRPr="007314B0">
              <w:rPr>
                <w:noProof/>
                <w:webHidden/>
              </w:rPr>
              <w:fldChar w:fldCharType="separate"/>
            </w:r>
            <w:r w:rsidR="00B92E6D" w:rsidRPr="007314B0">
              <w:rPr>
                <w:noProof/>
                <w:webHidden/>
              </w:rPr>
              <w:t>6</w:t>
            </w:r>
            <w:r w:rsidR="00385E41" w:rsidRPr="007314B0">
              <w:rPr>
                <w:noProof/>
                <w:webHidden/>
              </w:rPr>
              <w:fldChar w:fldCharType="end"/>
            </w:r>
          </w:hyperlink>
        </w:p>
        <w:p w14:paraId="067ECC7D" w14:textId="76E592AF" w:rsidR="00385E41" w:rsidRPr="007314B0" w:rsidRDefault="007314B0">
          <w:pPr>
            <w:pStyle w:val="TOC3"/>
            <w:rPr>
              <w:rFonts w:eastAsiaTheme="minorEastAsia"/>
              <w:noProof/>
            </w:rPr>
          </w:pPr>
          <w:hyperlink w:anchor="_Toc124428487" w:history="1">
            <w:r w:rsidR="00385E41" w:rsidRPr="007314B0">
              <w:rPr>
                <w:rStyle w:val="Hyperlink"/>
                <w:noProof/>
              </w:rPr>
              <w:t>Effets secondaires potentiels de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_Toc124428487 \h </w:instrText>
            </w:r>
            <w:r w:rsidR="00385E41" w:rsidRPr="007314B0">
              <w:rPr>
                <w:noProof/>
                <w:webHidden/>
              </w:rPr>
            </w:r>
            <w:r w:rsidR="00385E41" w:rsidRPr="007314B0">
              <w:rPr>
                <w:noProof/>
                <w:webHidden/>
              </w:rPr>
              <w:fldChar w:fldCharType="separate"/>
            </w:r>
            <w:r w:rsidR="00B92E6D" w:rsidRPr="007314B0">
              <w:rPr>
                <w:noProof/>
                <w:webHidden/>
              </w:rPr>
              <w:t>7</w:t>
            </w:r>
            <w:r w:rsidR="00385E41" w:rsidRPr="007314B0">
              <w:rPr>
                <w:noProof/>
                <w:webHidden/>
              </w:rPr>
              <w:fldChar w:fldCharType="end"/>
            </w:r>
          </w:hyperlink>
        </w:p>
        <w:p w14:paraId="497783EB" w14:textId="45CA2945" w:rsidR="00385E41" w:rsidRPr="007314B0" w:rsidRDefault="007314B0">
          <w:pPr>
            <w:pStyle w:val="TOC3"/>
            <w:rPr>
              <w:rFonts w:eastAsiaTheme="minorEastAsia"/>
              <w:noProof/>
            </w:rPr>
          </w:pPr>
          <w:hyperlink w:anchor="_Toc124428488" w:history="1">
            <w:r w:rsidR="00385E41" w:rsidRPr="007314B0">
              <w:rPr>
                <w:rStyle w:val="Hyperlink"/>
                <w:noProof/>
              </w:rPr>
              <w:t>Interactions entre la PrEP orale et d’autres médicaments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_Toc124428488 \h </w:instrText>
            </w:r>
            <w:r w:rsidR="00385E41" w:rsidRPr="007314B0">
              <w:rPr>
                <w:noProof/>
                <w:webHidden/>
              </w:rPr>
            </w:r>
            <w:r w:rsidR="00385E41" w:rsidRPr="007314B0">
              <w:rPr>
                <w:noProof/>
                <w:webHidden/>
              </w:rPr>
              <w:fldChar w:fldCharType="separate"/>
            </w:r>
            <w:r w:rsidR="00B92E6D" w:rsidRPr="007314B0">
              <w:rPr>
                <w:noProof/>
                <w:webHidden/>
              </w:rPr>
              <w:t>7</w:t>
            </w:r>
            <w:r w:rsidR="00385E41" w:rsidRPr="007314B0">
              <w:rPr>
                <w:noProof/>
                <w:webHidden/>
              </w:rPr>
              <w:fldChar w:fldCharType="end"/>
            </w:r>
          </w:hyperlink>
        </w:p>
        <w:p w14:paraId="090CA42B" w14:textId="4A6863C0" w:rsidR="00385E41" w:rsidRPr="007314B0" w:rsidRDefault="007314B0">
          <w:pPr>
            <w:pStyle w:val="TOC3"/>
            <w:rPr>
              <w:rFonts w:eastAsiaTheme="minorEastAsia"/>
              <w:noProof/>
            </w:rPr>
          </w:pPr>
          <w:hyperlink w:anchor="_Toc124428489" w:history="1">
            <w:r w:rsidR="00385E41" w:rsidRPr="007314B0">
              <w:rPr>
                <w:rStyle w:val="Hyperlink"/>
                <w:noProof/>
              </w:rPr>
              <w:t>Contrindications à l’utilisation de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_Toc124428489 \h </w:instrText>
            </w:r>
            <w:r w:rsidR="00385E41" w:rsidRPr="007314B0">
              <w:rPr>
                <w:noProof/>
                <w:webHidden/>
              </w:rPr>
            </w:r>
            <w:r w:rsidR="00385E41" w:rsidRPr="007314B0">
              <w:rPr>
                <w:noProof/>
                <w:webHidden/>
              </w:rPr>
              <w:fldChar w:fldCharType="separate"/>
            </w:r>
            <w:r w:rsidR="00B92E6D" w:rsidRPr="007314B0">
              <w:rPr>
                <w:noProof/>
                <w:webHidden/>
              </w:rPr>
              <w:t>7</w:t>
            </w:r>
            <w:r w:rsidR="00385E41" w:rsidRPr="007314B0">
              <w:rPr>
                <w:noProof/>
                <w:webHidden/>
              </w:rPr>
              <w:fldChar w:fldCharType="end"/>
            </w:r>
          </w:hyperlink>
        </w:p>
        <w:p w14:paraId="4502B846" w14:textId="614FA157" w:rsidR="00385E41" w:rsidRPr="007314B0" w:rsidRDefault="007314B0">
          <w:pPr>
            <w:pStyle w:val="TOC3"/>
            <w:rPr>
              <w:rFonts w:eastAsiaTheme="minorEastAsia"/>
              <w:noProof/>
            </w:rPr>
          </w:pPr>
          <w:hyperlink w:anchor="_Toc124428490" w:history="1">
            <w:r w:rsidR="00385E41" w:rsidRPr="007314B0">
              <w:rPr>
                <w:rStyle w:val="Hyperlink"/>
                <w:noProof/>
              </w:rPr>
              <w:t>Utilisation de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_Toc124428490 \h </w:instrText>
            </w:r>
            <w:r w:rsidR="00385E41" w:rsidRPr="007314B0">
              <w:rPr>
                <w:noProof/>
                <w:webHidden/>
              </w:rPr>
            </w:r>
            <w:r w:rsidR="00385E41" w:rsidRPr="007314B0">
              <w:rPr>
                <w:noProof/>
                <w:webHidden/>
              </w:rPr>
              <w:fldChar w:fldCharType="separate"/>
            </w:r>
            <w:r w:rsidR="00B92E6D" w:rsidRPr="007314B0">
              <w:rPr>
                <w:noProof/>
                <w:webHidden/>
              </w:rPr>
              <w:t>8</w:t>
            </w:r>
            <w:r w:rsidR="00385E41" w:rsidRPr="007314B0">
              <w:rPr>
                <w:noProof/>
                <w:webHidden/>
              </w:rPr>
              <w:fldChar w:fldCharType="end"/>
            </w:r>
          </w:hyperlink>
        </w:p>
        <w:p w14:paraId="1464272E" w14:textId="33416F8B" w:rsidR="00385E41" w:rsidRPr="007314B0" w:rsidRDefault="007314B0">
          <w:pPr>
            <w:pStyle w:val="TOC4"/>
            <w:rPr>
              <w:rFonts w:eastAsiaTheme="minorEastAsia"/>
              <w:noProof/>
            </w:rPr>
          </w:pPr>
          <w:hyperlink w:anchor="_Toc124428491" w:history="1">
            <w:r w:rsidR="00385E41" w:rsidRPr="007314B0">
              <w:rPr>
                <w:rStyle w:val="Hyperlink"/>
                <w:noProof/>
              </w:rPr>
              <w:t>Directives supplémentaires pour l’utilisation de la PrEP ponctuelle (ED-PrEP)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_Toc124428491 \h </w:instrText>
            </w:r>
            <w:r w:rsidR="00385E41" w:rsidRPr="007314B0">
              <w:rPr>
                <w:noProof/>
                <w:webHidden/>
              </w:rPr>
            </w:r>
            <w:r w:rsidR="00385E41" w:rsidRPr="007314B0">
              <w:rPr>
                <w:noProof/>
                <w:webHidden/>
              </w:rPr>
              <w:fldChar w:fldCharType="separate"/>
            </w:r>
            <w:r w:rsidR="00B92E6D" w:rsidRPr="007314B0">
              <w:rPr>
                <w:noProof/>
                <w:webHidden/>
              </w:rPr>
              <w:t>10</w:t>
            </w:r>
            <w:r w:rsidR="00385E41" w:rsidRPr="007314B0">
              <w:rPr>
                <w:noProof/>
                <w:webHidden/>
              </w:rPr>
              <w:fldChar w:fldCharType="end"/>
            </w:r>
          </w:hyperlink>
        </w:p>
        <w:p w14:paraId="613FC9B4" w14:textId="10DC5CA4" w:rsidR="00385E41" w:rsidRPr="007314B0" w:rsidRDefault="007314B0">
          <w:pPr>
            <w:pStyle w:val="TOC2"/>
            <w:rPr>
              <w:rFonts w:asciiTheme="minorHAnsi" w:eastAsiaTheme="minorEastAsia" w:hAnsiTheme="minorHAnsi" w:cstheme="minorBidi"/>
              <w:noProof/>
            </w:rPr>
          </w:pPr>
          <w:hyperlink w:anchor="_Toc124428492" w:history="1">
            <w:r w:rsidR="00385E41" w:rsidRPr="007314B0">
              <w:rPr>
                <w:rStyle w:val="Hyperlink"/>
                <w:noProof/>
              </w:rPr>
              <w:t>Présentation de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_Toc124428492 \h </w:instrText>
            </w:r>
            <w:r w:rsidR="00385E41" w:rsidRPr="007314B0">
              <w:rPr>
                <w:noProof/>
                <w:webHidden/>
              </w:rPr>
            </w:r>
            <w:r w:rsidR="00385E41" w:rsidRPr="007314B0">
              <w:rPr>
                <w:noProof/>
                <w:webHidden/>
              </w:rPr>
              <w:fldChar w:fldCharType="separate"/>
            </w:r>
            <w:r w:rsidR="00B92E6D" w:rsidRPr="007314B0">
              <w:rPr>
                <w:noProof/>
                <w:webHidden/>
              </w:rPr>
              <w:t>12</w:t>
            </w:r>
            <w:r w:rsidR="00385E41" w:rsidRPr="007314B0">
              <w:rPr>
                <w:noProof/>
                <w:webHidden/>
              </w:rPr>
              <w:fldChar w:fldCharType="end"/>
            </w:r>
          </w:hyperlink>
        </w:p>
        <w:p w14:paraId="6729EEDB" w14:textId="7C66DF55" w:rsidR="00385E41" w:rsidRPr="007314B0" w:rsidRDefault="007314B0">
          <w:pPr>
            <w:pStyle w:val="TOC3"/>
            <w:rPr>
              <w:rFonts w:eastAsiaTheme="minorEastAsia"/>
              <w:noProof/>
            </w:rPr>
          </w:pPr>
          <w:hyperlink w:anchor="_Toc124428493" w:history="1">
            <w:r w:rsidR="00385E41" w:rsidRPr="007314B0">
              <w:rPr>
                <w:rStyle w:val="Hyperlink"/>
                <w:noProof/>
              </w:rPr>
              <w:t>Formulation de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_Toc124428493 \h </w:instrText>
            </w:r>
            <w:r w:rsidR="00385E41" w:rsidRPr="007314B0">
              <w:rPr>
                <w:noProof/>
                <w:webHidden/>
              </w:rPr>
            </w:r>
            <w:r w:rsidR="00385E41" w:rsidRPr="007314B0">
              <w:rPr>
                <w:noProof/>
                <w:webHidden/>
              </w:rPr>
              <w:fldChar w:fldCharType="separate"/>
            </w:r>
            <w:r w:rsidR="00B92E6D" w:rsidRPr="007314B0">
              <w:rPr>
                <w:noProof/>
                <w:webHidden/>
              </w:rPr>
              <w:t>12</w:t>
            </w:r>
            <w:r w:rsidR="00385E41" w:rsidRPr="007314B0">
              <w:rPr>
                <w:noProof/>
                <w:webHidden/>
              </w:rPr>
              <w:fldChar w:fldCharType="end"/>
            </w:r>
          </w:hyperlink>
        </w:p>
        <w:p w14:paraId="4EBD3A0C" w14:textId="1920BF44" w:rsidR="00385E41" w:rsidRPr="007314B0" w:rsidRDefault="007314B0">
          <w:pPr>
            <w:pStyle w:val="TOC3"/>
            <w:rPr>
              <w:rFonts w:eastAsiaTheme="minorEastAsia"/>
              <w:noProof/>
            </w:rPr>
          </w:pPr>
          <w:hyperlink w:anchor="_Toc124428494" w:history="1">
            <w:r w:rsidR="00385E41" w:rsidRPr="007314B0">
              <w:rPr>
                <w:rStyle w:val="Hyperlink"/>
                <w:noProof/>
              </w:rPr>
              <w:t>Efficacité de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_Toc124428494 \h </w:instrText>
            </w:r>
            <w:r w:rsidR="00385E41" w:rsidRPr="007314B0">
              <w:rPr>
                <w:noProof/>
                <w:webHidden/>
              </w:rPr>
            </w:r>
            <w:r w:rsidR="00385E41" w:rsidRPr="007314B0">
              <w:rPr>
                <w:noProof/>
                <w:webHidden/>
              </w:rPr>
              <w:fldChar w:fldCharType="separate"/>
            </w:r>
            <w:r w:rsidR="00B92E6D" w:rsidRPr="007314B0">
              <w:rPr>
                <w:noProof/>
                <w:webHidden/>
              </w:rPr>
              <w:t>12</w:t>
            </w:r>
            <w:r w:rsidR="00385E41" w:rsidRPr="007314B0">
              <w:rPr>
                <w:noProof/>
                <w:webHidden/>
              </w:rPr>
              <w:fldChar w:fldCharType="end"/>
            </w:r>
          </w:hyperlink>
        </w:p>
        <w:p w14:paraId="4C68CD2E" w14:textId="06BFCDF9" w:rsidR="00385E41" w:rsidRPr="007314B0" w:rsidRDefault="007314B0">
          <w:pPr>
            <w:pStyle w:val="TOC3"/>
            <w:rPr>
              <w:rFonts w:eastAsiaTheme="minorEastAsia"/>
              <w:noProof/>
            </w:rPr>
          </w:pPr>
          <w:hyperlink w:anchor="_Toc124428495" w:history="1">
            <w:r w:rsidR="00385E41" w:rsidRPr="007314B0">
              <w:rPr>
                <w:rStyle w:val="Hyperlink"/>
                <w:noProof/>
              </w:rPr>
              <w:t>Effets secondaires potentiels de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_Toc124428495 \h </w:instrText>
            </w:r>
            <w:r w:rsidR="00385E41" w:rsidRPr="007314B0">
              <w:rPr>
                <w:noProof/>
                <w:webHidden/>
              </w:rPr>
            </w:r>
            <w:r w:rsidR="00385E41" w:rsidRPr="007314B0">
              <w:rPr>
                <w:noProof/>
                <w:webHidden/>
              </w:rPr>
              <w:fldChar w:fldCharType="separate"/>
            </w:r>
            <w:r w:rsidR="00B92E6D" w:rsidRPr="007314B0">
              <w:rPr>
                <w:noProof/>
                <w:webHidden/>
              </w:rPr>
              <w:t>13</w:t>
            </w:r>
            <w:r w:rsidR="00385E41" w:rsidRPr="007314B0">
              <w:rPr>
                <w:noProof/>
                <w:webHidden/>
              </w:rPr>
              <w:fldChar w:fldCharType="end"/>
            </w:r>
          </w:hyperlink>
        </w:p>
        <w:p w14:paraId="6B9429FC" w14:textId="66AD9F6B" w:rsidR="00385E41" w:rsidRPr="007314B0" w:rsidRDefault="007314B0">
          <w:pPr>
            <w:pStyle w:val="TOC3"/>
            <w:rPr>
              <w:rFonts w:eastAsiaTheme="minorEastAsia"/>
              <w:noProof/>
            </w:rPr>
          </w:pPr>
          <w:hyperlink w:anchor="_Toc124428496" w:history="1">
            <w:r w:rsidR="00385E41" w:rsidRPr="007314B0">
              <w:rPr>
                <w:rStyle w:val="Hyperlink"/>
                <w:noProof/>
              </w:rPr>
              <w:t>Interactions entre l’anneau de PrEP et d’autres médicaments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_Toc124428496 \h </w:instrText>
            </w:r>
            <w:r w:rsidR="00385E41" w:rsidRPr="007314B0">
              <w:rPr>
                <w:noProof/>
                <w:webHidden/>
              </w:rPr>
            </w:r>
            <w:r w:rsidR="00385E41" w:rsidRPr="007314B0">
              <w:rPr>
                <w:noProof/>
                <w:webHidden/>
              </w:rPr>
              <w:fldChar w:fldCharType="separate"/>
            </w:r>
            <w:r w:rsidR="00B92E6D" w:rsidRPr="007314B0">
              <w:rPr>
                <w:noProof/>
                <w:webHidden/>
              </w:rPr>
              <w:t>13</w:t>
            </w:r>
            <w:r w:rsidR="00385E41" w:rsidRPr="007314B0">
              <w:rPr>
                <w:noProof/>
                <w:webHidden/>
              </w:rPr>
              <w:fldChar w:fldCharType="end"/>
            </w:r>
          </w:hyperlink>
        </w:p>
        <w:p w14:paraId="2E1BA54E" w14:textId="3BB754C8" w:rsidR="00385E41" w:rsidRPr="007314B0" w:rsidRDefault="007314B0">
          <w:pPr>
            <w:pStyle w:val="TOC3"/>
            <w:rPr>
              <w:rFonts w:eastAsiaTheme="minorEastAsia"/>
              <w:noProof/>
            </w:rPr>
          </w:pPr>
          <w:hyperlink w:anchor="_Toc124428497" w:history="1">
            <w:r w:rsidR="00385E41" w:rsidRPr="007314B0">
              <w:rPr>
                <w:rStyle w:val="Hyperlink"/>
                <w:noProof/>
              </w:rPr>
              <w:t>Contre-indications à l’utilisation de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_Toc124428497 \h </w:instrText>
            </w:r>
            <w:r w:rsidR="00385E41" w:rsidRPr="007314B0">
              <w:rPr>
                <w:noProof/>
                <w:webHidden/>
              </w:rPr>
            </w:r>
            <w:r w:rsidR="00385E41" w:rsidRPr="007314B0">
              <w:rPr>
                <w:noProof/>
                <w:webHidden/>
              </w:rPr>
              <w:fldChar w:fldCharType="separate"/>
            </w:r>
            <w:r w:rsidR="00B92E6D" w:rsidRPr="007314B0">
              <w:rPr>
                <w:noProof/>
                <w:webHidden/>
              </w:rPr>
              <w:t>14</w:t>
            </w:r>
            <w:r w:rsidR="00385E41" w:rsidRPr="007314B0">
              <w:rPr>
                <w:noProof/>
                <w:webHidden/>
              </w:rPr>
              <w:fldChar w:fldCharType="end"/>
            </w:r>
          </w:hyperlink>
        </w:p>
        <w:p w14:paraId="75A16571" w14:textId="01ECFE5A" w:rsidR="00385E41" w:rsidRPr="007314B0" w:rsidRDefault="007314B0">
          <w:pPr>
            <w:pStyle w:val="TOC3"/>
            <w:rPr>
              <w:rFonts w:eastAsiaTheme="minorEastAsia"/>
              <w:noProof/>
            </w:rPr>
          </w:pPr>
          <w:hyperlink w:anchor="_Toc124428498" w:history="1">
            <w:r w:rsidR="00385E41" w:rsidRPr="007314B0">
              <w:rPr>
                <w:rStyle w:val="Hyperlink"/>
                <w:noProof/>
              </w:rPr>
              <w:t>Utilisation de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_Toc124428498 \h </w:instrText>
            </w:r>
            <w:r w:rsidR="00385E41" w:rsidRPr="007314B0">
              <w:rPr>
                <w:noProof/>
                <w:webHidden/>
              </w:rPr>
            </w:r>
            <w:r w:rsidR="00385E41" w:rsidRPr="007314B0">
              <w:rPr>
                <w:noProof/>
                <w:webHidden/>
              </w:rPr>
              <w:fldChar w:fldCharType="separate"/>
            </w:r>
            <w:r w:rsidR="00B92E6D" w:rsidRPr="007314B0">
              <w:rPr>
                <w:noProof/>
                <w:webHidden/>
              </w:rPr>
              <w:t>14</w:t>
            </w:r>
            <w:r w:rsidR="00385E41" w:rsidRPr="007314B0">
              <w:rPr>
                <w:noProof/>
                <w:webHidden/>
              </w:rPr>
              <w:fldChar w:fldCharType="end"/>
            </w:r>
          </w:hyperlink>
        </w:p>
        <w:p w14:paraId="4BBDA486" w14:textId="243D40F8" w:rsidR="00385E41" w:rsidRPr="007314B0" w:rsidRDefault="007314B0">
          <w:pPr>
            <w:pStyle w:val="TOC4"/>
            <w:rPr>
              <w:rFonts w:eastAsiaTheme="minorEastAsia"/>
              <w:noProof/>
            </w:rPr>
          </w:pPr>
          <w:hyperlink w:anchor="_Toc124428499" w:history="1">
            <w:r w:rsidR="00385E41" w:rsidRPr="007314B0">
              <w:rPr>
                <w:rStyle w:val="Hyperlink"/>
                <w:noProof/>
              </w:rPr>
              <w:t>Insérer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_Toc124428499 \h </w:instrText>
            </w:r>
            <w:r w:rsidR="00385E41" w:rsidRPr="007314B0">
              <w:rPr>
                <w:noProof/>
                <w:webHidden/>
              </w:rPr>
            </w:r>
            <w:r w:rsidR="00385E41" w:rsidRPr="007314B0">
              <w:rPr>
                <w:noProof/>
                <w:webHidden/>
              </w:rPr>
              <w:fldChar w:fldCharType="separate"/>
            </w:r>
            <w:r w:rsidR="00B92E6D" w:rsidRPr="007314B0">
              <w:rPr>
                <w:noProof/>
                <w:webHidden/>
              </w:rPr>
              <w:t>15</w:t>
            </w:r>
            <w:r w:rsidR="00385E41" w:rsidRPr="007314B0">
              <w:rPr>
                <w:noProof/>
                <w:webHidden/>
              </w:rPr>
              <w:fldChar w:fldCharType="end"/>
            </w:r>
          </w:hyperlink>
        </w:p>
        <w:p w14:paraId="455D87EA" w14:textId="332DD0F7" w:rsidR="00385E41" w:rsidRPr="007314B0" w:rsidRDefault="007314B0">
          <w:pPr>
            <w:pStyle w:val="TOC4"/>
            <w:rPr>
              <w:rFonts w:eastAsiaTheme="minorEastAsia"/>
              <w:noProof/>
            </w:rPr>
          </w:pPr>
          <w:hyperlink w:anchor="_Toc124428500" w:history="1">
            <w:r w:rsidR="00385E41" w:rsidRPr="007314B0">
              <w:rPr>
                <w:rStyle w:val="Hyperlink"/>
                <w:noProof/>
              </w:rPr>
              <w:t>Retirer l’anneau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_Toc124428500 \h </w:instrText>
            </w:r>
            <w:r w:rsidR="00385E41" w:rsidRPr="007314B0">
              <w:rPr>
                <w:noProof/>
                <w:webHidden/>
              </w:rPr>
            </w:r>
            <w:r w:rsidR="00385E41" w:rsidRPr="007314B0">
              <w:rPr>
                <w:noProof/>
                <w:webHidden/>
              </w:rPr>
              <w:fldChar w:fldCharType="separate"/>
            </w:r>
            <w:r w:rsidR="00B92E6D" w:rsidRPr="007314B0">
              <w:rPr>
                <w:noProof/>
                <w:webHidden/>
              </w:rPr>
              <w:t>15</w:t>
            </w:r>
            <w:r w:rsidR="00385E41" w:rsidRPr="007314B0">
              <w:rPr>
                <w:noProof/>
                <w:webHidden/>
              </w:rPr>
              <w:fldChar w:fldCharType="end"/>
            </w:r>
          </w:hyperlink>
        </w:p>
        <w:p w14:paraId="3033F0AE" w14:textId="3A8A3378" w:rsidR="00385E41" w:rsidRPr="007314B0" w:rsidRDefault="007314B0">
          <w:pPr>
            <w:pStyle w:val="TOC2"/>
            <w:rPr>
              <w:rFonts w:asciiTheme="minorHAnsi" w:eastAsiaTheme="minorEastAsia" w:hAnsiTheme="minorHAnsi" w:cstheme="minorBidi"/>
              <w:noProof/>
            </w:rPr>
          </w:pPr>
          <w:hyperlink w:anchor="_Toc124428501" w:history="1">
            <w:r w:rsidR="00385E41" w:rsidRPr="007314B0">
              <w:rPr>
                <w:rStyle w:val="Hyperlink"/>
                <w:noProof/>
              </w:rPr>
              <w:t>Présentation de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_Toc124428501 \h </w:instrText>
            </w:r>
            <w:r w:rsidR="00385E41" w:rsidRPr="007314B0">
              <w:rPr>
                <w:noProof/>
                <w:webHidden/>
              </w:rPr>
            </w:r>
            <w:r w:rsidR="00385E41" w:rsidRPr="007314B0">
              <w:rPr>
                <w:noProof/>
                <w:webHidden/>
              </w:rPr>
              <w:fldChar w:fldCharType="separate"/>
            </w:r>
            <w:r w:rsidR="00B92E6D" w:rsidRPr="007314B0">
              <w:rPr>
                <w:noProof/>
                <w:webHidden/>
              </w:rPr>
              <w:t>16</w:t>
            </w:r>
            <w:r w:rsidR="00385E41" w:rsidRPr="007314B0">
              <w:rPr>
                <w:noProof/>
                <w:webHidden/>
              </w:rPr>
              <w:fldChar w:fldCharType="end"/>
            </w:r>
          </w:hyperlink>
        </w:p>
        <w:p w14:paraId="53A5006D" w14:textId="5ADCA166" w:rsidR="00385E41" w:rsidRPr="007314B0" w:rsidRDefault="007314B0">
          <w:pPr>
            <w:pStyle w:val="TOC3"/>
            <w:rPr>
              <w:rFonts w:eastAsiaTheme="minorEastAsia"/>
              <w:noProof/>
            </w:rPr>
          </w:pPr>
          <w:hyperlink w:anchor="_Toc124428502" w:history="1">
            <w:r w:rsidR="00385E41" w:rsidRPr="007314B0">
              <w:rPr>
                <w:rStyle w:val="Hyperlink"/>
                <w:noProof/>
              </w:rPr>
              <w:t>Formulation de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_Toc124428502 \h </w:instrText>
            </w:r>
            <w:r w:rsidR="00385E41" w:rsidRPr="007314B0">
              <w:rPr>
                <w:noProof/>
                <w:webHidden/>
              </w:rPr>
            </w:r>
            <w:r w:rsidR="00385E41" w:rsidRPr="007314B0">
              <w:rPr>
                <w:noProof/>
                <w:webHidden/>
              </w:rPr>
              <w:fldChar w:fldCharType="separate"/>
            </w:r>
            <w:r w:rsidR="00B92E6D" w:rsidRPr="007314B0">
              <w:rPr>
                <w:noProof/>
                <w:webHidden/>
              </w:rPr>
              <w:t>16</w:t>
            </w:r>
            <w:r w:rsidR="00385E41" w:rsidRPr="007314B0">
              <w:rPr>
                <w:noProof/>
                <w:webHidden/>
              </w:rPr>
              <w:fldChar w:fldCharType="end"/>
            </w:r>
          </w:hyperlink>
        </w:p>
        <w:p w14:paraId="7C0E3ECB" w14:textId="7A546396" w:rsidR="00385E41" w:rsidRPr="007314B0" w:rsidRDefault="007314B0">
          <w:pPr>
            <w:pStyle w:val="TOC3"/>
            <w:rPr>
              <w:rFonts w:eastAsiaTheme="minorEastAsia"/>
              <w:noProof/>
            </w:rPr>
          </w:pPr>
          <w:hyperlink w:anchor="_Toc124428503" w:history="1">
            <w:r w:rsidR="00385E41" w:rsidRPr="007314B0">
              <w:rPr>
                <w:rStyle w:val="Hyperlink"/>
                <w:noProof/>
              </w:rPr>
              <w:t>Efficacité de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_Toc124428503 \h </w:instrText>
            </w:r>
            <w:r w:rsidR="00385E41" w:rsidRPr="007314B0">
              <w:rPr>
                <w:noProof/>
                <w:webHidden/>
              </w:rPr>
            </w:r>
            <w:r w:rsidR="00385E41" w:rsidRPr="007314B0">
              <w:rPr>
                <w:noProof/>
                <w:webHidden/>
              </w:rPr>
              <w:fldChar w:fldCharType="separate"/>
            </w:r>
            <w:r w:rsidR="00B92E6D" w:rsidRPr="007314B0">
              <w:rPr>
                <w:noProof/>
                <w:webHidden/>
              </w:rPr>
              <w:t>16</w:t>
            </w:r>
            <w:r w:rsidR="00385E41" w:rsidRPr="007314B0">
              <w:rPr>
                <w:noProof/>
                <w:webHidden/>
              </w:rPr>
              <w:fldChar w:fldCharType="end"/>
            </w:r>
          </w:hyperlink>
        </w:p>
        <w:p w14:paraId="498BF2D9" w14:textId="1789E169" w:rsidR="00385E41" w:rsidRPr="007314B0" w:rsidRDefault="007314B0">
          <w:pPr>
            <w:pStyle w:val="TOC3"/>
            <w:rPr>
              <w:rFonts w:eastAsiaTheme="minorEastAsia"/>
              <w:noProof/>
            </w:rPr>
          </w:pPr>
          <w:hyperlink w:anchor="_Toc124428504" w:history="1">
            <w:r w:rsidR="00385E41" w:rsidRPr="007314B0">
              <w:rPr>
                <w:rStyle w:val="Hyperlink"/>
                <w:noProof/>
              </w:rPr>
              <w:t>Effets secondaires potentiels de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_Toc124428504 \h </w:instrText>
            </w:r>
            <w:r w:rsidR="00385E41" w:rsidRPr="007314B0">
              <w:rPr>
                <w:noProof/>
                <w:webHidden/>
              </w:rPr>
            </w:r>
            <w:r w:rsidR="00385E41" w:rsidRPr="007314B0">
              <w:rPr>
                <w:noProof/>
                <w:webHidden/>
              </w:rPr>
              <w:fldChar w:fldCharType="separate"/>
            </w:r>
            <w:r w:rsidR="00B92E6D" w:rsidRPr="007314B0">
              <w:rPr>
                <w:noProof/>
                <w:webHidden/>
              </w:rPr>
              <w:t>16</w:t>
            </w:r>
            <w:r w:rsidR="00385E41" w:rsidRPr="007314B0">
              <w:rPr>
                <w:noProof/>
                <w:webHidden/>
              </w:rPr>
              <w:fldChar w:fldCharType="end"/>
            </w:r>
          </w:hyperlink>
        </w:p>
        <w:p w14:paraId="18F0477A" w14:textId="0B8D05C0" w:rsidR="00385E41" w:rsidRPr="007314B0" w:rsidRDefault="007314B0">
          <w:pPr>
            <w:pStyle w:val="TOC3"/>
            <w:rPr>
              <w:rFonts w:eastAsiaTheme="minorEastAsia"/>
              <w:noProof/>
            </w:rPr>
          </w:pPr>
          <w:hyperlink w:anchor="_Toc124428505" w:history="1">
            <w:r w:rsidR="00385E41" w:rsidRPr="007314B0">
              <w:rPr>
                <w:rStyle w:val="Hyperlink"/>
                <w:noProof/>
              </w:rPr>
              <w:t>Interactions entre la CAB PrEP et d’autres médicaments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_Toc124428505 \h </w:instrText>
            </w:r>
            <w:r w:rsidR="00385E41" w:rsidRPr="007314B0">
              <w:rPr>
                <w:noProof/>
                <w:webHidden/>
              </w:rPr>
            </w:r>
            <w:r w:rsidR="00385E41" w:rsidRPr="007314B0">
              <w:rPr>
                <w:noProof/>
                <w:webHidden/>
              </w:rPr>
              <w:fldChar w:fldCharType="separate"/>
            </w:r>
            <w:r w:rsidR="00B92E6D" w:rsidRPr="007314B0">
              <w:rPr>
                <w:noProof/>
                <w:webHidden/>
              </w:rPr>
              <w:t>17</w:t>
            </w:r>
            <w:r w:rsidR="00385E41" w:rsidRPr="007314B0">
              <w:rPr>
                <w:noProof/>
                <w:webHidden/>
              </w:rPr>
              <w:fldChar w:fldCharType="end"/>
            </w:r>
          </w:hyperlink>
        </w:p>
        <w:p w14:paraId="54F2C239" w14:textId="62B1094B" w:rsidR="00385E41" w:rsidRPr="007314B0" w:rsidRDefault="007314B0">
          <w:pPr>
            <w:pStyle w:val="TOC3"/>
            <w:rPr>
              <w:rFonts w:eastAsiaTheme="minorEastAsia"/>
              <w:noProof/>
            </w:rPr>
          </w:pPr>
          <w:hyperlink w:anchor="_Toc124428506" w:history="1">
            <w:r w:rsidR="00385E41" w:rsidRPr="007314B0">
              <w:rPr>
                <w:rStyle w:val="Hyperlink"/>
                <w:noProof/>
              </w:rPr>
              <w:t>Contrindications à l’utilisation de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_Toc124428506 \h </w:instrText>
            </w:r>
            <w:r w:rsidR="00385E41" w:rsidRPr="007314B0">
              <w:rPr>
                <w:noProof/>
                <w:webHidden/>
              </w:rPr>
            </w:r>
            <w:r w:rsidR="00385E41" w:rsidRPr="007314B0">
              <w:rPr>
                <w:noProof/>
                <w:webHidden/>
              </w:rPr>
              <w:fldChar w:fldCharType="separate"/>
            </w:r>
            <w:r w:rsidR="00B92E6D" w:rsidRPr="007314B0">
              <w:rPr>
                <w:noProof/>
                <w:webHidden/>
              </w:rPr>
              <w:t>18</w:t>
            </w:r>
            <w:r w:rsidR="00385E41" w:rsidRPr="007314B0">
              <w:rPr>
                <w:noProof/>
                <w:webHidden/>
              </w:rPr>
              <w:fldChar w:fldCharType="end"/>
            </w:r>
          </w:hyperlink>
        </w:p>
        <w:p w14:paraId="0011F9AD" w14:textId="2DADA717" w:rsidR="00385E41" w:rsidRPr="007314B0" w:rsidRDefault="007314B0">
          <w:pPr>
            <w:pStyle w:val="TOC3"/>
            <w:rPr>
              <w:rFonts w:eastAsiaTheme="minorEastAsia"/>
              <w:noProof/>
            </w:rPr>
          </w:pPr>
          <w:hyperlink w:anchor="_Toc124428507" w:history="1">
            <w:r w:rsidR="00385E41" w:rsidRPr="007314B0">
              <w:rPr>
                <w:rStyle w:val="Hyperlink"/>
                <w:noProof/>
              </w:rPr>
              <w:t>Utilisation de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_Toc124428507 \h </w:instrText>
            </w:r>
            <w:r w:rsidR="00385E41" w:rsidRPr="007314B0">
              <w:rPr>
                <w:noProof/>
                <w:webHidden/>
              </w:rPr>
            </w:r>
            <w:r w:rsidR="00385E41" w:rsidRPr="007314B0">
              <w:rPr>
                <w:noProof/>
                <w:webHidden/>
              </w:rPr>
              <w:fldChar w:fldCharType="separate"/>
            </w:r>
            <w:r w:rsidR="00B92E6D" w:rsidRPr="007314B0">
              <w:rPr>
                <w:noProof/>
                <w:webHidden/>
              </w:rPr>
              <w:t>18</w:t>
            </w:r>
            <w:r w:rsidR="00385E41" w:rsidRPr="007314B0">
              <w:rPr>
                <w:noProof/>
                <w:webHidden/>
              </w:rPr>
              <w:fldChar w:fldCharType="end"/>
            </w:r>
          </w:hyperlink>
        </w:p>
        <w:p w14:paraId="4CA403B7" w14:textId="5506782A" w:rsidR="00385E41" w:rsidRPr="007314B0" w:rsidRDefault="007314B0">
          <w:pPr>
            <w:pStyle w:val="TOC4"/>
            <w:rPr>
              <w:rFonts w:eastAsiaTheme="minorEastAsia"/>
              <w:noProof/>
            </w:rPr>
          </w:pPr>
          <w:hyperlink w:anchor="_Toc124428508" w:history="1">
            <w:r w:rsidR="00385E41" w:rsidRPr="007314B0">
              <w:rPr>
                <w:rStyle w:val="Hyperlink"/>
                <w:noProof/>
              </w:rPr>
              <w:t>Commencer à utiliser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_Toc124428508 \h </w:instrText>
            </w:r>
            <w:r w:rsidR="00385E41" w:rsidRPr="007314B0">
              <w:rPr>
                <w:noProof/>
                <w:webHidden/>
              </w:rPr>
            </w:r>
            <w:r w:rsidR="00385E41" w:rsidRPr="007314B0">
              <w:rPr>
                <w:noProof/>
                <w:webHidden/>
              </w:rPr>
              <w:fldChar w:fldCharType="separate"/>
            </w:r>
            <w:r w:rsidR="00B92E6D" w:rsidRPr="007314B0">
              <w:rPr>
                <w:noProof/>
                <w:webHidden/>
              </w:rPr>
              <w:t>18</w:t>
            </w:r>
            <w:r w:rsidR="00385E41" w:rsidRPr="007314B0">
              <w:rPr>
                <w:noProof/>
                <w:webHidden/>
              </w:rPr>
              <w:fldChar w:fldCharType="end"/>
            </w:r>
          </w:hyperlink>
        </w:p>
        <w:p w14:paraId="4B2F6137" w14:textId="66F5F0D9" w:rsidR="00385E41" w:rsidRPr="007314B0" w:rsidRDefault="007314B0">
          <w:pPr>
            <w:pStyle w:val="TOC4"/>
            <w:rPr>
              <w:rFonts w:eastAsiaTheme="minorEastAsia"/>
              <w:noProof/>
            </w:rPr>
          </w:pPr>
          <w:hyperlink w:anchor="_Toc124428509" w:history="1">
            <w:r w:rsidR="00385E41" w:rsidRPr="007314B0">
              <w:rPr>
                <w:rStyle w:val="Hyperlink"/>
                <w:noProof/>
              </w:rPr>
              <w:t>Arrêter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_Toc124428509 \h </w:instrText>
            </w:r>
            <w:r w:rsidR="00385E41" w:rsidRPr="007314B0">
              <w:rPr>
                <w:noProof/>
                <w:webHidden/>
              </w:rPr>
            </w:r>
            <w:r w:rsidR="00385E41" w:rsidRPr="007314B0">
              <w:rPr>
                <w:noProof/>
                <w:webHidden/>
              </w:rPr>
              <w:fldChar w:fldCharType="separate"/>
            </w:r>
            <w:r w:rsidR="00B92E6D" w:rsidRPr="007314B0">
              <w:rPr>
                <w:noProof/>
                <w:webHidden/>
              </w:rPr>
              <w:t>19</w:t>
            </w:r>
            <w:r w:rsidR="00385E41" w:rsidRPr="007314B0">
              <w:rPr>
                <w:noProof/>
                <w:webHidden/>
              </w:rPr>
              <w:fldChar w:fldCharType="end"/>
            </w:r>
          </w:hyperlink>
        </w:p>
        <w:p w14:paraId="73B16B5F" w14:textId="09B2DE83" w:rsidR="00385E41" w:rsidRPr="007314B0" w:rsidRDefault="007314B0">
          <w:pPr>
            <w:pStyle w:val="TOC4"/>
            <w:rPr>
              <w:rFonts w:eastAsiaTheme="minorEastAsia"/>
              <w:noProof/>
            </w:rPr>
          </w:pPr>
          <w:hyperlink w:anchor="_Toc124428510" w:history="1">
            <w:r w:rsidR="00385E41" w:rsidRPr="007314B0">
              <w:rPr>
                <w:rStyle w:val="Hyperlink"/>
                <w:noProof/>
              </w:rPr>
              <w:t>Oublier une injection</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_Toc124428510 \h </w:instrText>
            </w:r>
            <w:r w:rsidR="00385E41" w:rsidRPr="007314B0">
              <w:rPr>
                <w:noProof/>
                <w:webHidden/>
              </w:rPr>
            </w:r>
            <w:r w:rsidR="00385E41" w:rsidRPr="007314B0">
              <w:rPr>
                <w:noProof/>
                <w:webHidden/>
              </w:rPr>
              <w:fldChar w:fldCharType="separate"/>
            </w:r>
            <w:r w:rsidR="00B92E6D" w:rsidRPr="007314B0">
              <w:rPr>
                <w:noProof/>
                <w:webHidden/>
              </w:rPr>
              <w:t>20</w:t>
            </w:r>
            <w:r w:rsidR="00385E41" w:rsidRPr="007314B0">
              <w:rPr>
                <w:noProof/>
                <w:webHidden/>
              </w:rPr>
              <w:fldChar w:fldCharType="end"/>
            </w:r>
          </w:hyperlink>
        </w:p>
        <w:p w14:paraId="78710708" w14:textId="1BC311D4" w:rsidR="00385E41" w:rsidRPr="007314B0" w:rsidRDefault="007314B0">
          <w:pPr>
            <w:pStyle w:val="TOC4"/>
            <w:rPr>
              <w:rFonts w:eastAsiaTheme="minorEastAsia"/>
              <w:noProof/>
            </w:rPr>
          </w:pPr>
          <w:hyperlink w:anchor="_Toc124428511" w:history="1">
            <w:r w:rsidR="00385E41" w:rsidRPr="007314B0">
              <w:rPr>
                <w:rStyle w:val="Hyperlink"/>
                <w:noProof/>
              </w:rPr>
              <w:t>Recommencer à utiliser la CAB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_Toc124428511 \h </w:instrText>
            </w:r>
            <w:r w:rsidR="00385E41" w:rsidRPr="007314B0">
              <w:rPr>
                <w:noProof/>
                <w:webHidden/>
              </w:rPr>
            </w:r>
            <w:r w:rsidR="00385E41" w:rsidRPr="007314B0">
              <w:rPr>
                <w:noProof/>
                <w:webHidden/>
              </w:rPr>
              <w:fldChar w:fldCharType="separate"/>
            </w:r>
            <w:r w:rsidR="00B92E6D" w:rsidRPr="007314B0">
              <w:rPr>
                <w:noProof/>
                <w:webHidden/>
              </w:rPr>
              <w:t>20</w:t>
            </w:r>
            <w:r w:rsidR="00385E41" w:rsidRPr="007314B0">
              <w:rPr>
                <w:noProof/>
                <w:webHidden/>
              </w:rPr>
              <w:fldChar w:fldCharType="end"/>
            </w:r>
          </w:hyperlink>
        </w:p>
        <w:p w14:paraId="2327B0EC" w14:textId="7A39FC2F" w:rsidR="00385E41" w:rsidRPr="007314B0" w:rsidRDefault="007314B0">
          <w:pPr>
            <w:pStyle w:val="TOC2"/>
            <w:rPr>
              <w:rFonts w:asciiTheme="minorHAnsi" w:eastAsiaTheme="minorEastAsia" w:hAnsiTheme="minorHAnsi" w:cstheme="minorBidi"/>
              <w:noProof/>
            </w:rPr>
          </w:pPr>
          <w:hyperlink w:anchor="_Toc124428512" w:history="1">
            <w:r w:rsidR="00385E41" w:rsidRPr="007314B0">
              <w:rPr>
                <w:rStyle w:val="Hyperlink"/>
                <w:noProof/>
              </w:rPr>
              <w:t>Passer d’une méthode de PrEP à une autre et utilisation simultanée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_Toc124428512 \h </w:instrText>
            </w:r>
            <w:r w:rsidR="00385E41" w:rsidRPr="007314B0">
              <w:rPr>
                <w:noProof/>
                <w:webHidden/>
              </w:rPr>
            </w:r>
            <w:r w:rsidR="00385E41" w:rsidRPr="007314B0">
              <w:rPr>
                <w:noProof/>
                <w:webHidden/>
              </w:rPr>
              <w:fldChar w:fldCharType="separate"/>
            </w:r>
            <w:r w:rsidR="00B92E6D" w:rsidRPr="007314B0">
              <w:rPr>
                <w:noProof/>
                <w:webHidden/>
              </w:rPr>
              <w:t>21</w:t>
            </w:r>
            <w:r w:rsidR="00385E41" w:rsidRPr="007314B0">
              <w:rPr>
                <w:noProof/>
                <w:webHidden/>
              </w:rPr>
              <w:fldChar w:fldCharType="end"/>
            </w:r>
          </w:hyperlink>
        </w:p>
        <w:p w14:paraId="44BB20AE" w14:textId="701C067C" w:rsidR="00385E41" w:rsidRPr="007314B0" w:rsidRDefault="007314B0">
          <w:pPr>
            <w:pStyle w:val="TOC1"/>
            <w:rPr>
              <w:rFonts w:asciiTheme="minorHAnsi" w:eastAsiaTheme="minorEastAsia" w:hAnsiTheme="minorHAnsi" w:cstheme="minorBidi"/>
              <w:noProof/>
            </w:rPr>
          </w:pPr>
          <w:hyperlink w:anchor="_Toc124428513" w:history="1">
            <w:r w:rsidR="00385E41" w:rsidRPr="007314B0">
              <w:rPr>
                <w:rStyle w:val="Hyperlink"/>
                <w:noProof/>
              </w:rPr>
              <w:t>Visite d’initiation à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_Toc124428513 \h </w:instrText>
            </w:r>
            <w:r w:rsidR="00385E41" w:rsidRPr="007314B0">
              <w:rPr>
                <w:noProof/>
                <w:webHidden/>
              </w:rPr>
            </w:r>
            <w:r w:rsidR="00385E41" w:rsidRPr="007314B0">
              <w:rPr>
                <w:noProof/>
                <w:webHidden/>
              </w:rPr>
              <w:fldChar w:fldCharType="separate"/>
            </w:r>
            <w:r w:rsidR="00B92E6D" w:rsidRPr="007314B0">
              <w:rPr>
                <w:noProof/>
                <w:webHidden/>
              </w:rPr>
              <w:t>21</w:t>
            </w:r>
            <w:r w:rsidR="00385E41" w:rsidRPr="007314B0">
              <w:rPr>
                <w:noProof/>
                <w:webHidden/>
              </w:rPr>
              <w:fldChar w:fldCharType="end"/>
            </w:r>
          </w:hyperlink>
        </w:p>
        <w:p w14:paraId="59E18FF9" w14:textId="4431657E" w:rsidR="00385E41" w:rsidRPr="007314B0" w:rsidRDefault="007314B0">
          <w:pPr>
            <w:pStyle w:val="TOC2"/>
            <w:rPr>
              <w:rFonts w:asciiTheme="minorHAnsi" w:eastAsiaTheme="minorEastAsia" w:hAnsiTheme="minorHAnsi" w:cstheme="minorBidi"/>
              <w:noProof/>
            </w:rPr>
          </w:pPr>
          <w:hyperlink w:anchor="_Toc124428514" w:history="1">
            <w:r w:rsidR="00385E41" w:rsidRPr="007314B0">
              <w:rPr>
                <w:rStyle w:val="Hyperlink"/>
                <w:bCs/>
                <w:noProof/>
              </w:rPr>
              <w:t>Composante 1 : Dépistage du VIH et counseling</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_Toc124428514 \h </w:instrText>
            </w:r>
            <w:r w:rsidR="00385E41" w:rsidRPr="007314B0">
              <w:rPr>
                <w:noProof/>
                <w:webHidden/>
              </w:rPr>
            </w:r>
            <w:r w:rsidR="00385E41" w:rsidRPr="007314B0">
              <w:rPr>
                <w:noProof/>
                <w:webHidden/>
              </w:rPr>
              <w:fldChar w:fldCharType="separate"/>
            </w:r>
            <w:r w:rsidR="00B92E6D" w:rsidRPr="007314B0">
              <w:rPr>
                <w:noProof/>
                <w:webHidden/>
              </w:rPr>
              <w:t>21</w:t>
            </w:r>
            <w:r w:rsidR="00385E41" w:rsidRPr="007314B0">
              <w:rPr>
                <w:noProof/>
                <w:webHidden/>
              </w:rPr>
              <w:fldChar w:fldCharType="end"/>
            </w:r>
          </w:hyperlink>
        </w:p>
        <w:p w14:paraId="3D5D185A" w14:textId="287C27F1" w:rsidR="00385E41" w:rsidRPr="007314B0" w:rsidRDefault="007314B0">
          <w:pPr>
            <w:pStyle w:val="TOC2"/>
            <w:rPr>
              <w:rFonts w:asciiTheme="minorHAnsi" w:eastAsiaTheme="minorEastAsia" w:hAnsiTheme="minorHAnsi" w:cstheme="minorBidi"/>
              <w:noProof/>
            </w:rPr>
          </w:pPr>
          <w:hyperlink w:anchor="_Toc124428515" w:history="1">
            <w:r w:rsidR="00385E41" w:rsidRPr="007314B0">
              <w:rPr>
                <w:rStyle w:val="Hyperlink"/>
                <w:noProof/>
              </w:rPr>
              <w:t>Composante 2 : Évaluations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_Toc124428515 \h </w:instrText>
            </w:r>
            <w:r w:rsidR="00385E41" w:rsidRPr="007314B0">
              <w:rPr>
                <w:noProof/>
                <w:webHidden/>
              </w:rPr>
            </w:r>
            <w:r w:rsidR="00385E41" w:rsidRPr="007314B0">
              <w:rPr>
                <w:noProof/>
                <w:webHidden/>
              </w:rPr>
              <w:fldChar w:fldCharType="separate"/>
            </w:r>
            <w:r w:rsidR="00B92E6D" w:rsidRPr="007314B0">
              <w:rPr>
                <w:noProof/>
                <w:webHidden/>
              </w:rPr>
              <w:t>22</w:t>
            </w:r>
            <w:r w:rsidR="00385E41" w:rsidRPr="007314B0">
              <w:rPr>
                <w:noProof/>
                <w:webHidden/>
              </w:rPr>
              <w:fldChar w:fldCharType="end"/>
            </w:r>
          </w:hyperlink>
        </w:p>
        <w:p w14:paraId="377C06D1" w14:textId="2568B9B1" w:rsidR="00385E41" w:rsidRPr="007314B0" w:rsidRDefault="007314B0">
          <w:pPr>
            <w:pStyle w:val="TOC2"/>
            <w:rPr>
              <w:rFonts w:asciiTheme="minorHAnsi" w:eastAsiaTheme="minorEastAsia" w:hAnsiTheme="minorHAnsi" w:cstheme="minorBidi"/>
              <w:noProof/>
            </w:rPr>
          </w:pPr>
          <w:hyperlink w:anchor="_Toc124428516" w:history="1">
            <w:r w:rsidR="00385E41" w:rsidRPr="007314B0">
              <w:rPr>
                <w:rStyle w:val="Hyperlink"/>
                <w:noProof/>
              </w:rPr>
              <w:t>Composante 3 : Counseling en matière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_Toc124428516 \h </w:instrText>
            </w:r>
            <w:r w:rsidR="00385E41" w:rsidRPr="007314B0">
              <w:rPr>
                <w:noProof/>
                <w:webHidden/>
              </w:rPr>
            </w:r>
            <w:r w:rsidR="00385E41" w:rsidRPr="007314B0">
              <w:rPr>
                <w:noProof/>
                <w:webHidden/>
              </w:rPr>
              <w:fldChar w:fldCharType="separate"/>
            </w:r>
            <w:r w:rsidR="00B92E6D" w:rsidRPr="007314B0">
              <w:rPr>
                <w:noProof/>
                <w:webHidden/>
              </w:rPr>
              <w:t>24</w:t>
            </w:r>
            <w:r w:rsidR="00385E41" w:rsidRPr="007314B0">
              <w:rPr>
                <w:noProof/>
                <w:webHidden/>
              </w:rPr>
              <w:fldChar w:fldCharType="end"/>
            </w:r>
          </w:hyperlink>
        </w:p>
        <w:p w14:paraId="2C1E5CC3" w14:textId="15C57924" w:rsidR="00385E41" w:rsidRPr="007314B0" w:rsidRDefault="007314B0">
          <w:pPr>
            <w:pStyle w:val="TOC2"/>
            <w:rPr>
              <w:rFonts w:asciiTheme="minorHAnsi" w:eastAsiaTheme="minorEastAsia" w:hAnsiTheme="minorHAnsi" w:cstheme="minorBidi"/>
              <w:noProof/>
            </w:rPr>
          </w:pPr>
          <w:hyperlink w:anchor="_Toc124428517" w:history="1">
            <w:r w:rsidR="00385E41" w:rsidRPr="007314B0">
              <w:rPr>
                <w:rStyle w:val="Hyperlink"/>
                <w:noProof/>
              </w:rPr>
              <w:t>Composante 4 : Prescription de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_Toc124428517 \h </w:instrText>
            </w:r>
            <w:r w:rsidR="00385E41" w:rsidRPr="007314B0">
              <w:rPr>
                <w:noProof/>
                <w:webHidden/>
              </w:rPr>
            </w:r>
            <w:r w:rsidR="00385E41" w:rsidRPr="007314B0">
              <w:rPr>
                <w:noProof/>
                <w:webHidden/>
              </w:rPr>
              <w:fldChar w:fldCharType="separate"/>
            </w:r>
            <w:r w:rsidR="00B92E6D" w:rsidRPr="007314B0">
              <w:rPr>
                <w:noProof/>
                <w:webHidden/>
              </w:rPr>
              <w:t>25</w:t>
            </w:r>
            <w:r w:rsidR="00385E41" w:rsidRPr="007314B0">
              <w:rPr>
                <w:noProof/>
                <w:webHidden/>
              </w:rPr>
              <w:fldChar w:fldCharType="end"/>
            </w:r>
          </w:hyperlink>
        </w:p>
        <w:p w14:paraId="23D980B4" w14:textId="2D1DFDF9" w:rsidR="00385E41" w:rsidRPr="007314B0" w:rsidRDefault="007314B0">
          <w:pPr>
            <w:pStyle w:val="TOC2"/>
            <w:rPr>
              <w:rFonts w:asciiTheme="minorHAnsi" w:eastAsiaTheme="minorEastAsia" w:hAnsiTheme="minorHAnsi" w:cstheme="minorBidi"/>
              <w:noProof/>
            </w:rPr>
          </w:pPr>
          <w:hyperlink w:anchor="_Toc124428518" w:history="1">
            <w:r w:rsidR="00385E41" w:rsidRPr="007314B0">
              <w:rPr>
                <w:rStyle w:val="Hyperlink"/>
                <w:noProof/>
              </w:rPr>
              <w:t>Composantes supplémentaires de la visite d’initiation à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_Toc124428518 \h </w:instrText>
            </w:r>
            <w:r w:rsidR="00385E41" w:rsidRPr="007314B0">
              <w:rPr>
                <w:noProof/>
                <w:webHidden/>
              </w:rPr>
            </w:r>
            <w:r w:rsidR="00385E41" w:rsidRPr="007314B0">
              <w:rPr>
                <w:noProof/>
                <w:webHidden/>
              </w:rPr>
              <w:fldChar w:fldCharType="separate"/>
            </w:r>
            <w:r w:rsidR="00B92E6D" w:rsidRPr="007314B0">
              <w:rPr>
                <w:noProof/>
                <w:webHidden/>
              </w:rPr>
              <w:t>25</w:t>
            </w:r>
            <w:r w:rsidR="00385E41" w:rsidRPr="007314B0">
              <w:rPr>
                <w:noProof/>
                <w:webHidden/>
              </w:rPr>
              <w:fldChar w:fldCharType="end"/>
            </w:r>
          </w:hyperlink>
        </w:p>
        <w:p w14:paraId="6A2B4764" w14:textId="29B77E43" w:rsidR="00385E41" w:rsidRPr="007314B0" w:rsidRDefault="007314B0">
          <w:pPr>
            <w:pStyle w:val="TOC1"/>
            <w:rPr>
              <w:rFonts w:asciiTheme="minorHAnsi" w:eastAsiaTheme="minorEastAsia" w:hAnsiTheme="minorHAnsi" w:cstheme="minorBidi"/>
              <w:noProof/>
            </w:rPr>
          </w:pPr>
          <w:hyperlink w:anchor="_Toc124428519" w:history="1">
            <w:r w:rsidR="00385E41" w:rsidRPr="007314B0">
              <w:rPr>
                <w:rStyle w:val="Hyperlink"/>
                <w:noProof/>
              </w:rPr>
              <w:t>Visites de suivi de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_Toc124428519 \h </w:instrText>
            </w:r>
            <w:r w:rsidR="00385E41" w:rsidRPr="007314B0">
              <w:rPr>
                <w:noProof/>
                <w:webHidden/>
              </w:rPr>
            </w:r>
            <w:r w:rsidR="00385E41" w:rsidRPr="007314B0">
              <w:rPr>
                <w:noProof/>
                <w:webHidden/>
              </w:rPr>
              <w:fldChar w:fldCharType="separate"/>
            </w:r>
            <w:r w:rsidR="00B92E6D" w:rsidRPr="007314B0">
              <w:rPr>
                <w:noProof/>
                <w:webHidden/>
              </w:rPr>
              <w:t>31</w:t>
            </w:r>
            <w:r w:rsidR="00385E41" w:rsidRPr="007314B0">
              <w:rPr>
                <w:noProof/>
                <w:webHidden/>
              </w:rPr>
              <w:fldChar w:fldCharType="end"/>
            </w:r>
          </w:hyperlink>
        </w:p>
        <w:p w14:paraId="195EA48B" w14:textId="19F7D788" w:rsidR="00385E41" w:rsidRPr="007314B0" w:rsidRDefault="007314B0">
          <w:pPr>
            <w:pStyle w:val="TOC2"/>
            <w:rPr>
              <w:rFonts w:asciiTheme="minorHAnsi" w:eastAsiaTheme="minorEastAsia" w:hAnsiTheme="minorHAnsi" w:cstheme="minorBidi"/>
              <w:noProof/>
            </w:rPr>
          </w:pPr>
          <w:hyperlink w:anchor="_Toc124428520" w:history="1">
            <w:r w:rsidR="00385E41" w:rsidRPr="007314B0">
              <w:rPr>
                <w:rStyle w:val="Hyperlink"/>
                <w:noProof/>
              </w:rPr>
              <w:t>Composante 1 : Dépistage du VIH et counseling</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_Toc124428520 \h </w:instrText>
            </w:r>
            <w:r w:rsidR="00385E41" w:rsidRPr="007314B0">
              <w:rPr>
                <w:noProof/>
                <w:webHidden/>
              </w:rPr>
            </w:r>
            <w:r w:rsidR="00385E41" w:rsidRPr="007314B0">
              <w:rPr>
                <w:noProof/>
                <w:webHidden/>
              </w:rPr>
              <w:fldChar w:fldCharType="separate"/>
            </w:r>
            <w:r w:rsidR="00B92E6D" w:rsidRPr="007314B0">
              <w:rPr>
                <w:noProof/>
                <w:webHidden/>
              </w:rPr>
              <w:t>31</w:t>
            </w:r>
            <w:r w:rsidR="00385E41" w:rsidRPr="007314B0">
              <w:rPr>
                <w:noProof/>
                <w:webHidden/>
              </w:rPr>
              <w:fldChar w:fldCharType="end"/>
            </w:r>
          </w:hyperlink>
        </w:p>
        <w:p w14:paraId="5EDB1A79" w14:textId="5582EA18" w:rsidR="00385E41" w:rsidRPr="007314B0" w:rsidRDefault="007314B0">
          <w:pPr>
            <w:pStyle w:val="TOC2"/>
            <w:rPr>
              <w:rFonts w:asciiTheme="minorHAnsi" w:eastAsiaTheme="minorEastAsia" w:hAnsiTheme="minorHAnsi" w:cstheme="minorBidi"/>
              <w:noProof/>
            </w:rPr>
          </w:pPr>
          <w:hyperlink w:anchor="_Toc124428521" w:history="1">
            <w:r w:rsidR="00385E41" w:rsidRPr="007314B0">
              <w:rPr>
                <w:rStyle w:val="Hyperlink"/>
                <w:noProof/>
              </w:rPr>
              <w:t>Composante 2 : Évaluations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_Toc124428521 \h </w:instrText>
            </w:r>
            <w:r w:rsidR="00385E41" w:rsidRPr="007314B0">
              <w:rPr>
                <w:noProof/>
                <w:webHidden/>
              </w:rPr>
            </w:r>
            <w:r w:rsidR="00385E41" w:rsidRPr="007314B0">
              <w:rPr>
                <w:noProof/>
                <w:webHidden/>
              </w:rPr>
              <w:fldChar w:fldCharType="separate"/>
            </w:r>
            <w:r w:rsidR="00B92E6D" w:rsidRPr="007314B0">
              <w:rPr>
                <w:noProof/>
                <w:webHidden/>
              </w:rPr>
              <w:t>31</w:t>
            </w:r>
            <w:r w:rsidR="00385E41" w:rsidRPr="007314B0">
              <w:rPr>
                <w:noProof/>
                <w:webHidden/>
              </w:rPr>
              <w:fldChar w:fldCharType="end"/>
            </w:r>
          </w:hyperlink>
        </w:p>
        <w:p w14:paraId="169373B8" w14:textId="774048F4" w:rsidR="00385E41" w:rsidRPr="007314B0" w:rsidRDefault="007314B0">
          <w:pPr>
            <w:pStyle w:val="TOC2"/>
            <w:rPr>
              <w:rFonts w:asciiTheme="minorHAnsi" w:eastAsiaTheme="minorEastAsia" w:hAnsiTheme="minorHAnsi" w:cstheme="minorBidi"/>
              <w:noProof/>
            </w:rPr>
          </w:pPr>
          <w:hyperlink w:anchor="_Toc124428522" w:history="1">
            <w:r w:rsidR="00385E41" w:rsidRPr="007314B0">
              <w:rPr>
                <w:rStyle w:val="Hyperlink"/>
                <w:noProof/>
              </w:rPr>
              <w:t>Composante 3 : Counseling en matière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_Toc124428522 \h </w:instrText>
            </w:r>
            <w:r w:rsidR="00385E41" w:rsidRPr="007314B0">
              <w:rPr>
                <w:noProof/>
                <w:webHidden/>
              </w:rPr>
            </w:r>
            <w:r w:rsidR="00385E41" w:rsidRPr="007314B0">
              <w:rPr>
                <w:noProof/>
                <w:webHidden/>
              </w:rPr>
              <w:fldChar w:fldCharType="separate"/>
            </w:r>
            <w:r w:rsidR="00B92E6D" w:rsidRPr="007314B0">
              <w:rPr>
                <w:noProof/>
                <w:webHidden/>
              </w:rPr>
              <w:t>33</w:t>
            </w:r>
            <w:r w:rsidR="00385E41" w:rsidRPr="007314B0">
              <w:rPr>
                <w:noProof/>
                <w:webHidden/>
              </w:rPr>
              <w:fldChar w:fldCharType="end"/>
            </w:r>
          </w:hyperlink>
        </w:p>
        <w:p w14:paraId="31CB1291" w14:textId="21EE1083" w:rsidR="00385E41" w:rsidRPr="007314B0" w:rsidRDefault="007314B0">
          <w:pPr>
            <w:pStyle w:val="TOC2"/>
            <w:rPr>
              <w:rFonts w:asciiTheme="minorHAnsi" w:eastAsiaTheme="minorEastAsia" w:hAnsiTheme="minorHAnsi" w:cstheme="minorBidi"/>
              <w:noProof/>
            </w:rPr>
          </w:pPr>
          <w:hyperlink w:anchor="_Toc124428523" w:history="1">
            <w:r w:rsidR="00385E41" w:rsidRPr="007314B0">
              <w:rPr>
                <w:rStyle w:val="Hyperlink"/>
                <w:noProof/>
              </w:rPr>
              <w:t>Composante 4 : Renouvellement de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_Toc124428523 \h </w:instrText>
            </w:r>
            <w:r w:rsidR="00385E41" w:rsidRPr="007314B0">
              <w:rPr>
                <w:noProof/>
                <w:webHidden/>
              </w:rPr>
            </w:r>
            <w:r w:rsidR="00385E41" w:rsidRPr="007314B0">
              <w:rPr>
                <w:noProof/>
                <w:webHidden/>
              </w:rPr>
              <w:fldChar w:fldCharType="separate"/>
            </w:r>
            <w:r w:rsidR="00B92E6D" w:rsidRPr="007314B0">
              <w:rPr>
                <w:noProof/>
                <w:webHidden/>
              </w:rPr>
              <w:t>33</w:t>
            </w:r>
            <w:r w:rsidR="00385E41" w:rsidRPr="007314B0">
              <w:rPr>
                <w:noProof/>
                <w:webHidden/>
              </w:rPr>
              <w:fldChar w:fldCharType="end"/>
            </w:r>
          </w:hyperlink>
        </w:p>
        <w:p w14:paraId="56940B68" w14:textId="778A8ACB" w:rsidR="00385E41" w:rsidRPr="007314B0" w:rsidRDefault="007314B0">
          <w:pPr>
            <w:pStyle w:val="TOC2"/>
            <w:rPr>
              <w:rFonts w:asciiTheme="minorHAnsi" w:eastAsiaTheme="minorEastAsia" w:hAnsiTheme="minorHAnsi" w:cstheme="minorBidi"/>
              <w:noProof/>
            </w:rPr>
          </w:pPr>
          <w:hyperlink w:anchor="_Toc124428524" w:history="1">
            <w:r w:rsidR="00385E41" w:rsidRPr="007314B0">
              <w:rPr>
                <w:rStyle w:val="Hyperlink"/>
                <w:noProof/>
              </w:rPr>
              <w:t>Composantes potentielles des visites de suivi de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_Toc124428524 \h </w:instrText>
            </w:r>
            <w:r w:rsidR="00385E41" w:rsidRPr="007314B0">
              <w:rPr>
                <w:noProof/>
                <w:webHidden/>
              </w:rPr>
            </w:r>
            <w:r w:rsidR="00385E41" w:rsidRPr="007314B0">
              <w:rPr>
                <w:noProof/>
                <w:webHidden/>
              </w:rPr>
              <w:fldChar w:fldCharType="separate"/>
            </w:r>
            <w:r w:rsidR="00B92E6D" w:rsidRPr="007314B0">
              <w:rPr>
                <w:noProof/>
                <w:webHidden/>
              </w:rPr>
              <w:t>33</w:t>
            </w:r>
            <w:r w:rsidR="00385E41" w:rsidRPr="007314B0">
              <w:rPr>
                <w:noProof/>
                <w:webHidden/>
              </w:rPr>
              <w:fldChar w:fldCharType="end"/>
            </w:r>
          </w:hyperlink>
        </w:p>
        <w:p w14:paraId="0886809B" w14:textId="1959432B" w:rsidR="00385E41" w:rsidRPr="007314B0" w:rsidRDefault="007314B0">
          <w:pPr>
            <w:pStyle w:val="TOC1"/>
            <w:rPr>
              <w:rFonts w:asciiTheme="minorHAnsi" w:eastAsiaTheme="minorEastAsia" w:hAnsiTheme="minorHAnsi" w:cstheme="minorBidi"/>
              <w:noProof/>
            </w:rPr>
          </w:pPr>
          <w:hyperlink w:anchor="_Toc124428525" w:history="1">
            <w:r w:rsidR="00385E41" w:rsidRPr="007314B0">
              <w:rPr>
                <w:rStyle w:val="Hyperlink"/>
                <w:noProof/>
              </w:rPr>
              <w:t>Visites non programmées de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_Toc124428525 \h </w:instrText>
            </w:r>
            <w:r w:rsidR="00385E41" w:rsidRPr="007314B0">
              <w:rPr>
                <w:noProof/>
                <w:webHidden/>
              </w:rPr>
            </w:r>
            <w:r w:rsidR="00385E41" w:rsidRPr="007314B0">
              <w:rPr>
                <w:noProof/>
                <w:webHidden/>
              </w:rPr>
              <w:fldChar w:fldCharType="separate"/>
            </w:r>
            <w:r w:rsidR="00B92E6D" w:rsidRPr="007314B0">
              <w:rPr>
                <w:noProof/>
                <w:webHidden/>
              </w:rPr>
              <w:t>33</w:t>
            </w:r>
            <w:r w:rsidR="00385E41" w:rsidRPr="007314B0">
              <w:rPr>
                <w:noProof/>
                <w:webHidden/>
              </w:rPr>
              <w:fldChar w:fldCharType="end"/>
            </w:r>
          </w:hyperlink>
        </w:p>
        <w:p w14:paraId="2B007C66" w14:textId="34204A0B" w:rsidR="00385E41" w:rsidRPr="007314B0" w:rsidRDefault="007314B0">
          <w:pPr>
            <w:pStyle w:val="TOC1"/>
            <w:rPr>
              <w:rFonts w:asciiTheme="minorHAnsi" w:eastAsiaTheme="minorEastAsia" w:hAnsiTheme="minorHAnsi" w:cstheme="minorBidi"/>
              <w:noProof/>
            </w:rPr>
          </w:pPr>
          <w:hyperlink w:anchor="_Toc124428526" w:history="1">
            <w:r w:rsidR="00385E41" w:rsidRPr="007314B0">
              <w:rPr>
                <w:rStyle w:val="Hyperlink"/>
                <w:noProof/>
              </w:rPr>
              <w:t>Arrêter d’utiliser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_Toc124428526 \h </w:instrText>
            </w:r>
            <w:r w:rsidR="00385E41" w:rsidRPr="007314B0">
              <w:rPr>
                <w:noProof/>
                <w:webHidden/>
              </w:rPr>
            </w:r>
            <w:r w:rsidR="00385E41" w:rsidRPr="007314B0">
              <w:rPr>
                <w:noProof/>
                <w:webHidden/>
              </w:rPr>
              <w:fldChar w:fldCharType="separate"/>
            </w:r>
            <w:r w:rsidR="00B92E6D" w:rsidRPr="007314B0">
              <w:rPr>
                <w:noProof/>
                <w:webHidden/>
              </w:rPr>
              <w:t>33</w:t>
            </w:r>
            <w:r w:rsidR="00385E41" w:rsidRPr="007314B0">
              <w:rPr>
                <w:noProof/>
                <w:webHidden/>
              </w:rPr>
              <w:fldChar w:fldCharType="end"/>
            </w:r>
          </w:hyperlink>
        </w:p>
        <w:p w14:paraId="4CB11079" w14:textId="1CF6889E" w:rsidR="00385E41" w:rsidRPr="007314B0" w:rsidRDefault="007314B0">
          <w:pPr>
            <w:pStyle w:val="TOC1"/>
            <w:rPr>
              <w:rFonts w:asciiTheme="minorHAnsi" w:eastAsiaTheme="minorEastAsia" w:hAnsiTheme="minorHAnsi" w:cstheme="minorBidi"/>
              <w:noProof/>
            </w:rPr>
          </w:pPr>
          <w:hyperlink w:anchor="_Toc124428527" w:history="1">
            <w:r w:rsidR="00385E41" w:rsidRPr="007314B0">
              <w:rPr>
                <w:rStyle w:val="Hyperlink"/>
                <w:noProof/>
              </w:rPr>
              <w:t>Recommencer à utiliser la PrEP</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_Toc124428527 \h </w:instrText>
            </w:r>
            <w:r w:rsidR="00385E41" w:rsidRPr="007314B0">
              <w:rPr>
                <w:noProof/>
                <w:webHidden/>
              </w:rPr>
            </w:r>
            <w:r w:rsidR="00385E41" w:rsidRPr="007314B0">
              <w:rPr>
                <w:noProof/>
                <w:webHidden/>
              </w:rPr>
              <w:fldChar w:fldCharType="separate"/>
            </w:r>
            <w:r w:rsidR="00B92E6D" w:rsidRPr="007314B0">
              <w:rPr>
                <w:noProof/>
                <w:webHidden/>
              </w:rPr>
              <w:t>34</w:t>
            </w:r>
            <w:r w:rsidR="00385E41" w:rsidRPr="007314B0">
              <w:rPr>
                <w:noProof/>
                <w:webHidden/>
              </w:rPr>
              <w:fldChar w:fldCharType="end"/>
            </w:r>
          </w:hyperlink>
        </w:p>
        <w:p w14:paraId="3FD1CD5F" w14:textId="65A5B693" w:rsidR="00385E41" w:rsidRPr="007314B0" w:rsidRDefault="007314B0">
          <w:pPr>
            <w:pStyle w:val="TOC1"/>
            <w:rPr>
              <w:rFonts w:asciiTheme="minorHAnsi" w:eastAsiaTheme="minorEastAsia" w:hAnsiTheme="minorHAnsi" w:cstheme="minorBidi"/>
              <w:noProof/>
            </w:rPr>
          </w:pPr>
          <w:hyperlink w:anchor="_Toc124428528" w:history="1">
            <w:r w:rsidR="00385E41" w:rsidRPr="007314B0">
              <w:rPr>
                <w:rStyle w:val="Hyperlink"/>
                <w:noProof/>
              </w:rPr>
              <w:t>Prise en charge des patients dans des situations spécifiques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_Toc124428528 \h </w:instrText>
            </w:r>
            <w:r w:rsidR="00385E41" w:rsidRPr="007314B0">
              <w:rPr>
                <w:noProof/>
                <w:webHidden/>
              </w:rPr>
            </w:r>
            <w:r w:rsidR="00385E41" w:rsidRPr="007314B0">
              <w:rPr>
                <w:noProof/>
                <w:webHidden/>
              </w:rPr>
              <w:fldChar w:fldCharType="separate"/>
            </w:r>
            <w:r w:rsidR="00B92E6D" w:rsidRPr="007314B0">
              <w:rPr>
                <w:noProof/>
                <w:webHidden/>
              </w:rPr>
              <w:t>34</w:t>
            </w:r>
            <w:r w:rsidR="00385E41" w:rsidRPr="007314B0">
              <w:rPr>
                <w:noProof/>
                <w:webHidden/>
              </w:rPr>
              <w:fldChar w:fldCharType="end"/>
            </w:r>
          </w:hyperlink>
        </w:p>
        <w:p w14:paraId="6EC08010" w14:textId="3C056A3F" w:rsidR="00385E41" w:rsidRPr="007314B0" w:rsidRDefault="007314B0">
          <w:pPr>
            <w:pStyle w:val="TOC2"/>
            <w:rPr>
              <w:rFonts w:asciiTheme="minorHAnsi" w:eastAsiaTheme="minorEastAsia" w:hAnsiTheme="minorHAnsi" w:cstheme="minorBidi"/>
              <w:noProof/>
            </w:rPr>
          </w:pPr>
          <w:hyperlink w:anchor="_Toc124428529" w:history="1">
            <w:r w:rsidR="00385E41" w:rsidRPr="007314B0">
              <w:rPr>
                <w:rStyle w:val="Hyperlink"/>
                <w:noProof/>
              </w:rPr>
              <w:t>Prise en charge d’une élévation du taux de créatinine chez les patients qui utilisent la PrEP orale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_Toc124428529 \h </w:instrText>
            </w:r>
            <w:r w:rsidR="00385E41" w:rsidRPr="007314B0">
              <w:rPr>
                <w:noProof/>
                <w:webHidden/>
              </w:rPr>
            </w:r>
            <w:r w:rsidR="00385E41" w:rsidRPr="007314B0">
              <w:rPr>
                <w:noProof/>
                <w:webHidden/>
              </w:rPr>
              <w:fldChar w:fldCharType="separate"/>
            </w:r>
            <w:r w:rsidR="00B92E6D" w:rsidRPr="007314B0">
              <w:rPr>
                <w:noProof/>
                <w:webHidden/>
              </w:rPr>
              <w:t>34</w:t>
            </w:r>
            <w:r w:rsidR="00385E41" w:rsidRPr="007314B0">
              <w:rPr>
                <w:noProof/>
                <w:webHidden/>
              </w:rPr>
              <w:fldChar w:fldCharType="end"/>
            </w:r>
          </w:hyperlink>
        </w:p>
        <w:p w14:paraId="69FDDBBF" w14:textId="6DD25AA4" w:rsidR="00385E41" w:rsidRPr="007314B0" w:rsidRDefault="007314B0">
          <w:pPr>
            <w:pStyle w:val="TOC2"/>
            <w:rPr>
              <w:rFonts w:asciiTheme="minorHAnsi" w:eastAsiaTheme="minorEastAsia" w:hAnsiTheme="minorHAnsi" w:cstheme="minorBidi"/>
              <w:noProof/>
            </w:rPr>
          </w:pPr>
          <w:hyperlink w:anchor="_Toc124428530" w:history="1">
            <w:r w:rsidR="00385E41" w:rsidRPr="007314B0">
              <w:rPr>
                <w:rStyle w:val="Hyperlink"/>
                <w:noProof/>
              </w:rPr>
              <w:t>Prise en charge de la séroconversion au VIH</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_Toc124428530 \h </w:instrText>
            </w:r>
            <w:r w:rsidR="00385E41" w:rsidRPr="007314B0">
              <w:rPr>
                <w:noProof/>
                <w:webHidden/>
              </w:rPr>
            </w:r>
            <w:r w:rsidR="00385E41" w:rsidRPr="007314B0">
              <w:rPr>
                <w:noProof/>
                <w:webHidden/>
              </w:rPr>
              <w:fldChar w:fldCharType="separate"/>
            </w:r>
            <w:r w:rsidR="00B92E6D" w:rsidRPr="007314B0">
              <w:rPr>
                <w:noProof/>
                <w:webHidden/>
              </w:rPr>
              <w:t>35</w:t>
            </w:r>
            <w:r w:rsidR="00385E41" w:rsidRPr="007314B0">
              <w:rPr>
                <w:noProof/>
                <w:webHidden/>
              </w:rPr>
              <w:fldChar w:fldCharType="end"/>
            </w:r>
          </w:hyperlink>
        </w:p>
        <w:p w14:paraId="4AE42AFE" w14:textId="6D9A187C" w:rsidR="00385E41" w:rsidRPr="007314B0" w:rsidRDefault="007314B0">
          <w:pPr>
            <w:pStyle w:val="TOC2"/>
            <w:rPr>
              <w:rFonts w:asciiTheme="minorHAnsi" w:eastAsiaTheme="minorEastAsia" w:hAnsiTheme="minorHAnsi" w:cstheme="minorBidi"/>
              <w:noProof/>
            </w:rPr>
          </w:pPr>
          <w:hyperlink w:anchor="_Toc124428531" w:history="1">
            <w:r w:rsidR="00385E41" w:rsidRPr="007314B0">
              <w:rPr>
                <w:rStyle w:val="Hyperlink"/>
                <w:noProof/>
              </w:rPr>
              <w:t>Gestion des effets secondaires et des effets indésirables</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_Toc124428531 \h </w:instrText>
            </w:r>
            <w:r w:rsidR="00385E41" w:rsidRPr="007314B0">
              <w:rPr>
                <w:noProof/>
                <w:webHidden/>
              </w:rPr>
            </w:r>
            <w:r w:rsidR="00385E41" w:rsidRPr="007314B0">
              <w:rPr>
                <w:noProof/>
                <w:webHidden/>
              </w:rPr>
              <w:fldChar w:fldCharType="separate"/>
            </w:r>
            <w:r w:rsidR="00B92E6D" w:rsidRPr="007314B0">
              <w:rPr>
                <w:noProof/>
                <w:webHidden/>
              </w:rPr>
              <w:t>35</w:t>
            </w:r>
            <w:r w:rsidR="00385E41" w:rsidRPr="007314B0">
              <w:rPr>
                <w:noProof/>
                <w:webHidden/>
              </w:rPr>
              <w:fldChar w:fldCharType="end"/>
            </w:r>
          </w:hyperlink>
        </w:p>
        <w:p w14:paraId="2E522EBD" w14:textId="460441E3" w:rsidR="00385E41" w:rsidRPr="007314B0" w:rsidRDefault="007314B0">
          <w:pPr>
            <w:pStyle w:val="TOC2"/>
            <w:rPr>
              <w:rFonts w:asciiTheme="minorHAnsi" w:eastAsiaTheme="minorEastAsia" w:hAnsiTheme="minorHAnsi" w:cstheme="minorBidi"/>
              <w:noProof/>
            </w:rPr>
          </w:pPr>
          <w:hyperlink w:anchor="_Toc124428532" w:history="1">
            <w:r w:rsidR="00385E41" w:rsidRPr="007314B0">
              <w:rPr>
                <w:rStyle w:val="Hyperlink"/>
                <w:noProof/>
              </w:rPr>
              <w:t>Grossesse et allaitement</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_Toc124428532 \h </w:instrText>
            </w:r>
            <w:r w:rsidR="00385E41" w:rsidRPr="007314B0">
              <w:rPr>
                <w:noProof/>
                <w:webHidden/>
              </w:rPr>
            </w:r>
            <w:r w:rsidR="00385E41" w:rsidRPr="007314B0">
              <w:rPr>
                <w:noProof/>
                <w:webHidden/>
              </w:rPr>
              <w:fldChar w:fldCharType="separate"/>
            </w:r>
            <w:r w:rsidR="00B92E6D" w:rsidRPr="007314B0">
              <w:rPr>
                <w:noProof/>
                <w:webHidden/>
              </w:rPr>
              <w:t>35</w:t>
            </w:r>
            <w:r w:rsidR="00385E41" w:rsidRPr="007314B0">
              <w:rPr>
                <w:noProof/>
                <w:webHidden/>
              </w:rPr>
              <w:fldChar w:fldCharType="end"/>
            </w:r>
          </w:hyperlink>
        </w:p>
        <w:p w14:paraId="21D7C1AF" w14:textId="336EB966" w:rsidR="00385E41" w:rsidRPr="007314B0" w:rsidRDefault="007314B0">
          <w:pPr>
            <w:pStyle w:val="TOC1"/>
            <w:rPr>
              <w:rFonts w:asciiTheme="minorHAnsi" w:eastAsiaTheme="minorEastAsia" w:hAnsiTheme="minorHAnsi" w:cstheme="minorBidi"/>
              <w:noProof/>
            </w:rPr>
          </w:pPr>
          <w:hyperlink w:anchor="_Toc124428533" w:history="1">
            <w:r w:rsidR="00385E41" w:rsidRPr="007314B0">
              <w:rPr>
                <w:rStyle w:val="Hyperlink"/>
                <w:noProof/>
              </w:rPr>
              <w:t>Qui peut fournir la PrEP et où ?</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_Toc124428533 \h </w:instrText>
            </w:r>
            <w:r w:rsidR="00385E41" w:rsidRPr="007314B0">
              <w:rPr>
                <w:noProof/>
                <w:webHidden/>
              </w:rPr>
            </w:r>
            <w:r w:rsidR="00385E41" w:rsidRPr="007314B0">
              <w:rPr>
                <w:noProof/>
                <w:webHidden/>
              </w:rPr>
              <w:fldChar w:fldCharType="separate"/>
            </w:r>
            <w:r w:rsidR="00B92E6D" w:rsidRPr="007314B0">
              <w:rPr>
                <w:noProof/>
                <w:webHidden/>
              </w:rPr>
              <w:t>36</w:t>
            </w:r>
            <w:r w:rsidR="00385E41" w:rsidRPr="007314B0">
              <w:rPr>
                <w:noProof/>
                <w:webHidden/>
              </w:rPr>
              <w:fldChar w:fldCharType="end"/>
            </w:r>
          </w:hyperlink>
        </w:p>
        <w:p w14:paraId="6D2E12D0" w14:textId="087EECCF" w:rsidR="00385E41" w:rsidRPr="007314B0" w:rsidRDefault="007314B0">
          <w:pPr>
            <w:pStyle w:val="TOC1"/>
            <w:rPr>
              <w:rFonts w:asciiTheme="minorHAnsi" w:eastAsiaTheme="minorEastAsia" w:hAnsiTheme="minorHAnsi" w:cstheme="minorBidi"/>
              <w:noProof/>
            </w:rPr>
          </w:pPr>
          <w:hyperlink w:anchor="_Toc124428534" w:history="1">
            <w:r w:rsidR="00385E41" w:rsidRPr="007314B0">
              <w:rPr>
                <w:rStyle w:val="Hyperlink"/>
                <w:noProof/>
              </w:rPr>
              <w:t>Annexe</w:t>
            </w:r>
            <w:r w:rsidR="00385E41" w:rsidRPr="007314B0">
              <w:rPr>
                <w:noProof/>
                <w:webHidden/>
              </w:rPr>
              <w:tab/>
            </w:r>
            <w:r w:rsidR="00385E41" w:rsidRPr="007314B0">
              <w:rPr>
                <w:noProof/>
                <w:webHidden/>
              </w:rPr>
              <w:fldChar w:fldCharType="begin"/>
            </w:r>
            <w:r w:rsidR="00385E41" w:rsidRPr="007314B0">
              <w:rPr>
                <w:noProof/>
                <w:webHidden/>
              </w:rPr>
              <w:instrText xml:space="preserve"> PAGEREF _Toc124428534 \h </w:instrText>
            </w:r>
            <w:r w:rsidR="00385E41" w:rsidRPr="007314B0">
              <w:rPr>
                <w:noProof/>
                <w:webHidden/>
              </w:rPr>
            </w:r>
            <w:r w:rsidR="00385E41" w:rsidRPr="007314B0">
              <w:rPr>
                <w:noProof/>
                <w:webHidden/>
              </w:rPr>
              <w:fldChar w:fldCharType="separate"/>
            </w:r>
            <w:r w:rsidR="00B92E6D" w:rsidRPr="007314B0">
              <w:rPr>
                <w:noProof/>
                <w:webHidden/>
              </w:rPr>
              <w:t>37</w:t>
            </w:r>
            <w:r w:rsidR="00385E41" w:rsidRPr="007314B0">
              <w:rPr>
                <w:noProof/>
                <w:webHidden/>
              </w:rPr>
              <w:fldChar w:fldCharType="end"/>
            </w:r>
          </w:hyperlink>
        </w:p>
        <w:p w14:paraId="0F093A12" w14:textId="25C7E6FB" w:rsidR="00BB5BA3" w:rsidRPr="007314B0" w:rsidRDefault="00BB5BA3" w:rsidP="00DD508F">
          <w:pPr>
            <w:rPr>
              <w:rFonts w:cstheme="minorHAnsi"/>
            </w:rPr>
          </w:pPr>
          <w:r w:rsidRPr="007314B0">
            <w:rPr>
              <w:rFonts w:cstheme="minorHAnsi"/>
            </w:rPr>
            <w:fldChar w:fldCharType="end"/>
          </w:r>
        </w:p>
      </w:sdtContent>
    </w:sdt>
    <w:p w14:paraId="74BDFFFE" w14:textId="77777777" w:rsidR="00EB6B49" w:rsidRPr="007314B0" w:rsidRDefault="00EB6B49">
      <w:pPr>
        <w:rPr>
          <w:rFonts w:eastAsiaTheme="majorEastAsia"/>
          <w:color w:val="2F5496" w:themeColor="accent1" w:themeShade="BF"/>
          <w:sz w:val="32"/>
          <w:szCs w:val="32"/>
        </w:rPr>
      </w:pPr>
      <w:bookmarkStart w:id="0" w:name="_heading=h.6typr6fxp46p"/>
      <w:bookmarkEnd w:id="0"/>
      <w:r w:rsidRPr="007314B0">
        <w:br w:type="page"/>
      </w:r>
    </w:p>
    <w:p w14:paraId="0E95F575" w14:textId="77777777" w:rsidR="000E477C" w:rsidRPr="007314B0" w:rsidRDefault="000E477C" w:rsidP="000E477C">
      <w:pPr>
        <w:pStyle w:val="Heading1"/>
        <w:rPr>
          <w:rFonts w:asciiTheme="minorHAnsi" w:hAnsiTheme="minorHAnsi" w:cstheme="minorHAnsi"/>
        </w:rPr>
      </w:pPr>
      <w:bookmarkStart w:id="1" w:name="_Toc124428482"/>
      <w:r w:rsidRPr="007314B0">
        <w:rPr>
          <w:rFonts w:asciiTheme="minorHAnsi" w:hAnsiTheme="minorHAnsi"/>
        </w:rPr>
        <w:lastRenderedPageBreak/>
        <w:t>Liste des acronymes</w:t>
      </w:r>
      <w:bookmarkEnd w:id="1"/>
    </w:p>
    <w:p w14:paraId="362E617E" w14:textId="77777777" w:rsidR="00262854" w:rsidRPr="007314B0" w:rsidRDefault="00262854" w:rsidP="00262854"/>
    <w:tbl>
      <w:tblPr>
        <w:tblW w:w="0" w:type="auto"/>
        <w:tblLayout w:type="fixed"/>
        <w:tblLook w:val="04A0" w:firstRow="1" w:lastRow="0" w:firstColumn="1" w:lastColumn="0" w:noHBand="0" w:noVBand="1"/>
      </w:tblPr>
      <w:tblGrid>
        <w:gridCol w:w="1705"/>
        <w:gridCol w:w="8285"/>
      </w:tblGrid>
      <w:tr w:rsidR="00262854" w:rsidRPr="007314B0" w14:paraId="65343255" w14:textId="77777777" w:rsidTr="00980839">
        <w:trPr>
          <w:trHeight w:val="180"/>
        </w:trPr>
        <w:tc>
          <w:tcPr>
            <w:tcW w:w="1705" w:type="dxa"/>
            <w:noWrap/>
            <w:hideMark/>
          </w:tcPr>
          <w:p w14:paraId="72AD0065" w14:textId="77777777" w:rsidR="003B34F2" w:rsidRPr="007314B0" w:rsidRDefault="003B34F2" w:rsidP="00262854">
            <w:pPr>
              <w:rPr>
                <w:rFonts w:cstheme="minorHAnsi"/>
                <w:b/>
                <w:bCs/>
              </w:rPr>
            </w:pPr>
            <w:r w:rsidRPr="007314B0">
              <w:rPr>
                <w:b/>
                <w:bCs/>
              </w:rPr>
              <w:t>3TC</w:t>
            </w:r>
          </w:p>
        </w:tc>
        <w:tc>
          <w:tcPr>
            <w:tcW w:w="8285" w:type="dxa"/>
            <w:noWrap/>
            <w:hideMark/>
          </w:tcPr>
          <w:p w14:paraId="71F52909" w14:textId="7916FA8B" w:rsidR="003B34F2" w:rsidRPr="007314B0" w:rsidRDefault="003B34F2" w:rsidP="00605B83">
            <w:pPr>
              <w:tabs>
                <w:tab w:val="left" w:pos="1613"/>
              </w:tabs>
              <w:rPr>
                <w:rFonts w:cstheme="minorHAnsi"/>
              </w:rPr>
            </w:pPr>
            <w:proofErr w:type="spellStart"/>
            <w:r w:rsidRPr="007314B0">
              <w:t>Lamivudine</w:t>
            </w:r>
            <w:proofErr w:type="spellEnd"/>
            <w:r w:rsidRPr="007314B0">
              <w:tab/>
            </w:r>
          </w:p>
        </w:tc>
      </w:tr>
      <w:tr w:rsidR="00262854" w:rsidRPr="007314B0" w14:paraId="46D11C05" w14:textId="77777777" w:rsidTr="00980839">
        <w:trPr>
          <w:trHeight w:val="20"/>
        </w:trPr>
        <w:tc>
          <w:tcPr>
            <w:tcW w:w="1705" w:type="dxa"/>
            <w:noWrap/>
            <w:hideMark/>
          </w:tcPr>
          <w:p w14:paraId="7A4204E8" w14:textId="77777777" w:rsidR="003B34F2" w:rsidRPr="007314B0" w:rsidRDefault="003B34F2" w:rsidP="00262854">
            <w:pPr>
              <w:rPr>
                <w:rFonts w:cstheme="minorHAnsi"/>
                <w:b/>
                <w:bCs/>
              </w:rPr>
            </w:pPr>
            <w:r w:rsidRPr="007314B0">
              <w:rPr>
                <w:b/>
                <w:bCs/>
              </w:rPr>
              <w:t>AFAB</w:t>
            </w:r>
          </w:p>
        </w:tc>
        <w:tc>
          <w:tcPr>
            <w:tcW w:w="8285" w:type="dxa"/>
            <w:noWrap/>
            <w:hideMark/>
          </w:tcPr>
          <w:p w14:paraId="51C3278D" w14:textId="77777777" w:rsidR="003B34F2" w:rsidRPr="007314B0" w:rsidRDefault="003B34F2" w:rsidP="00262854">
            <w:pPr>
              <w:rPr>
                <w:rFonts w:cstheme="minorHAnsi"/>
              </w:rPr>
            </w:pPr>
            <w:r w:rsidRPr="007314B0">
              <w:t>Déclaré de sexe féminin à la naissance</w:t>
            </w:r>
          </w:p>
        </w:tc>
      </w:tr>
      <w:tr w:rsidR="00262854" w:rsidRPr="007314B0" w14:paraId="033D7EBF" w14:textId="77777777" w:rsidTr="00980839">
        <w:trPr>
          <w:trHeight w:val="20"/>
        </w:trPr>
        <w:tc>
          <w:tcPr>
            <w:tcW w:w="1705" w:type="dxa"/>
            <w:noWrap/>
            <w:hideMark/>
          </w:tcPr>
          <w:p w14:paraId="5F2CD6D0" w14:textId="77777777" w:rsidR="003B34F2" w:rsidRPr="007314B0" w:rsidRDefault="003B34F2" w:rsidP="00262854">
            <w:pPr>
              <w:rPr>
                <w:rFonts w:cstheme="minorHAnsi"/>
                <w:b/>
                <w:bCs/>
              </w:rPr>
            </w:pPr>
            <w:r w:rsidRPr="007314B0">
              <w:rPr>
                <w:b/>
                <w:bCs/>
              </w:rPr>
              <w:t>AHI</w:t>
            </w:r>
          </w:p>
        </w:tc>
        <w:tc>
          <w:tcPr>
            <w:tcW w:w="8285" w:type="dxa"/>
            <w:noWrap/>
            <w:hideMark/>
          </w:tcPr>
          <w:p w14:paraId="5639D216" w14:textId="77777777" w:rsidR="003B34F2" w:rsidRPr="007314B0" w:rsidRDefault="003B34F2" w:rsidP="00262854">
            <w:pPr>
              <w:rPr>
                <w:rFonts w:cstheme="minorHAnsi"/>
              </w:rPr>
            </w:pPr>
            <w:r w:rsidRPr="007314B0">
              <w:t>Infection aiguë par le VIH</w:t>
            </w:r>
          </w:p>
        </w:tc>
      </w:tr>
      <w:tr w:rsidR="00262854" w:rsidRPr="007314B0" w14:paraId="1EA0421E" w14:textId="77777777" w:rsidTr="00980839">
        <w:trPr>
          <w:trHeight w:val="20"/>
        </w:trPr>
        <w:tc>
          <w:tcPr>
            <w:tcW w:w="1705" w:type="dxa"/>
            <w:noWrap/>
            <w:hideMark/>
          </w:tcPr>
          <w:p w14:paraId="69341650" w14:textId="77777777" w:rsidR="003B34F2" w:rsidRPr="007314B0" w:rsidRDefault="003B34F2" w:rsidP="00262854">
            <w:pPr>
              <w:rPr>
                <w:rFonts w:cstheme="minorHAnsi"/>
                <w:b/>
                <w:bCs/>
              </w:rPr>
            </w:pPr>
            <w:r w:rsidRPr="007314B0">
              <w:rPr>
                <w:b/>
                <w:bCs/>
              </w:rPr>
              <w:t>AMAB</w:t>
            </w:r>
          </w:p>
        </w:tc>
        <w:tc>
          <w:tcPr>
            <w:tcW w:w="8285" w:type="dxa"/>
            <w:noWrap/>
            <w:hideMark/>
          </w:tcPr>
          <w:p w14:paraId="0E48EC5C" w14:textId="77777777" w:rsidR="003B34F2" w:rsidRPr="007314B0" w:rsidRDefault="003B34F2" w:rsidP="00262854">
            <w:pPr>
              <w:rPr>
                <w:rFonts w:cstheme="minorHAnsi"/>
              </w:rPr>
            </w:pPr>
            <w:r w:rsidRPr="007314B0">
              <w:t>Déclaré de sexe masculin à la naissance</w:t>
            </w:r>
          </w:p>
        </w:tc>
      </w:tr>
      <w:tr w:rsidR="00262854" w:rsidRPr="007314B0" w14:paraId="5EFE9108" w14:textId="77777777" w:rsidTr="00980839">
        <w:trPr>
          <w:trHeight w:val="20"/>
        </w:trPr>
        <w:tc>
          <w:tcPr>
            <w:tcW w:w="1705" w:type="dxa"/>
            <w:noWrap/>
            <w:hideMark/>
          </w:tcPr>
          <w:p w14:paraId="05153153" w14:textId="77777777" w:rsidR="003B34F2" w:rsidRPr="007314B0" w:rsidRDefault="003B34F2" w:rsidP="00262854">
            <w:pPr>
              <w:rPr>
                <w:rFonts w:cstheme="minorHAnsi"/>
                <w:b/>
                <w:bCs/>
              </w:rPr>
            </w:pPr>
            <w:r w:rsidRPr="007314B0">
              <w:rPr>
                <w:b/>
                <w:bCs/>
              </w:rPr>
              <w:t>ARV</w:t>
            </w:r>
          </w:p>
        </w:tc>
        <w:tc>
          <w:tcPr>
            <w:tcW w:w="8285" w:type="dxa"/>
            <w:noWrap/>
            <w:hideMark/>
          </w:tcPr>
          <w:p w14:paraId="1911E804" w14:textId="6608811D" w:rsidR="003B34F2" w:rsidRPr="007314B0" w:rsidRDefault="00D027ED" w:rsidP="00262854">
            <w:pPr>
              <w:rPr>
                <w:rFonts w:cstheme="minorHAnsi"/>
              </w:rPr>
            </w:pPr>
            <w:r w:rsidRPr="007314B0">
              <w:t>Antirétroviral</w:t>
            </w:r>
          </w:p>
        </w:tc>
      </w:tr>
      <w:tr w:rsidR="00262854" w:rsidRPr="007314B0" w14:paraId="5229C9B4" w14:textId="77777777" w:rsidTr="00980839">
        <w:trPr>
          <w:trHeight w:val="20"/>
        </w:trPr>
        <w:tc>
          <w:tcPr>
            <w:tcW w:w="1705" w:type="dxa"/>
            <w:noWrap/>
            <w:hideMark/>
          </w:tcPr>
          <w:p w14:paraId="670EC6DB" w14:textId="77777777" w:rsidR="003B34F2" w:rsidRPr="007314B0" w:rsidRDefault="003B34F2" w:rsidP="00262854">
            <w:pPr>
              <w:rPr>
                <w:rFonts w:cstheme="minorHAnsi"/>
                <w:b/>
                <w:bCs/>
              </w:rPr>
            </w:pPr>
            <w:r w:rsidRPr="007314B0">
              <w:rPr>
                <w:b/>
                <w:bCs/>
              </w:rPr>
              <w:t>CAB PrEP</w:t>
            </w:r>
          </w:p>
        </w:tc>
        <w:tc>
          <w:tcPr>
            <w:tcW w:w="8285" w:type="dxa"/>
            <w:noWrap/>
            <w:hideMark/>
          </w:tcPr>
          <w:p w14:paraId="3CEFAF6D" w14:textId="7D1F008C" w:rsidR="003B34F2" w:rsidRPr="007314B0" w:rsidRDefault="003B34F2" w:rsidP="00262854">
            <w:pPr>
              <w:rPr>
                <w:rFonts w:cstheme="minorHAnsi"/>
              </w:rPr>
            </w:pPr>
            <w:proofErr w:type="spellStart"/>
            <w:r w:rsidRPr="007314B0">
              <w:t>Cabot</w:t>
            </w:r>
            <w:r w:rsidR="00DF3220" w:rsidRPr="007314B0">
              <w:t>é</w:t>
            </w:r>
            <w:r w:rsidRPr="007314B0">
              <w:t>gravir</w:t>
            </w:r>
            <w:proofErr w:type="spellEnd"/>
            <w:r w:rsidRPr="007314B0">
              <w:t xml:space="preserve"> injectable</w:t>
            </w:r>
          </w:p>
        </w:tc>
      </w:tr>
      <w:tr w:rsidR="00262854" w:rsidRPr="007314B0" w14:paraId="531FEB75" w14:textId="77777777" w:rsidTr="00980839">
        <w:trPr>
          <w:trHeight w:val="20"/>
        </w:trPr>
        <w:tc>
          <w:tcPr>
            <w:tcW w:w="1705" w:type="dxa"/>
            <w:noWrap/>
            <w:hideMark/>
          </w:tcPr>
          <w:p w14:paraId="282BE7D1" w14:textId="77777777" w:rsidR="003B34F2" w:rsidRPr="007314B0" w:rsidRDefault="003B34F2" w:rsidP="00262854">
            <w:pPr>
              <w:rPr>
                <w:rFonts w:cstheme="minorHAnsi"/>
                <w:b/>
                <w:bCs/>
              </w:rPr>
            </w:pPr>
            <w:r w:rsidRPr="007314B0">
              <w:rPr>
                <w:b/>
                <w:bCs/>
              </w:rPr>
              <w:t>CKD-EPI</w:t>
            </w:r>
          </w:p>
        </w:tc>
        <w:tc>
          <w:tcPr>
            <w:tcW w:w="8285" w:type="dxa"/>
            <w:noWrap/>
            <w:hideMark/>
          </w:tcPr>
          <w:p w14:paraId="37690635" w14:textId="77777777" w:rsidR="003B34F2" w:rsidRPr="007314B0" w:rsidRDefault="003B34F2" w:rsidP="00262854">
            <w:pPr>
              <w:rPr>
                <w:rFonts w:cstheme="minorHAnsi"/>
              </w:rPr>
            </w:pPr>
            <w:r w:rsidRPr="007314B0">
              <w:t>Collaboration en matière d’épidémiologie de maladie rénale chronique</w:t>
            </w:r>
          </w:p>
        </w:tc>
      </w:tr>
      <w:tr w:rsidR="00262854" w:rsidRPr="007314B0" w14:paraId="06EED42B" w14:textId="77777777" w:rsidTr="00980839">
        <w:trPr>
          <w:trHeight w:val="20"/>
        </w:trPr>
        <w:tc>
          <w:tcPr>
            <w:tcW w:w="1705" w:type="dxa"/>
            <w:noWrap/>
            <w:hideMark/>
          </w:tcPr>
          <w:p w14:paraId="0A98B6EE" w14:textId="77777777" w:rsidR="003B34F2" w:rsidRPr="007314B0" w:rsidRDefault="003B34F2" w:rsidP="00262854">
            <w:pPr>
              <w:rPr>
                <w:rFonts w:cstheme="minorHAnsi"/>
                <w:b/>
                <w:bCs/>
              </w:rPr>
            </w:pPr>
            <w:r w:rsidRPr="007314B0">
              <w:rPr>
                <w:b/>
                <w:bCs/>
              </w:rPr>
              <w:t>ED-PrEP</w:t>
            </w:r>
          </w:p>
        </w:tc>
        <w:tc>
          <w:tcPr>
            <w:tcW w:w="8285" w:type="dxa"/>
            <w:noWrap/>
            <w:hideMark/>
          </w:tcPr>
          <w:p w14:paraId="1FAE909F" w14:textId="212030A6" w:rsidR="003B34F2" w:rsidRPr="007314B0" w:rsidRDefault="003B34F2" w:rsidP="00262854">
            <w:pPr>
              <w:rPr>
                <w:rFonts w:cstheme="minorHAnsi"/>
              </w:rPr>
            </w:pPr>
            <w:r w:rsidRPr="007314B0">
              <w:t xml:space="preserve">Prophylaxie </w:t>
            </w:r>
            <w:r w:rsidR="00DF3220" w:rsidRPr="007314B0">
              <w:t>préexposition</w:t>
            </w:r>
            <w:r w:rsidRPr="007314B0">
              <w:t xml:space="preserve"> ponctuelle</w:t>
            </w:r>
          </w:p>
        </w:tc>
      </w:tr>
      <w:tr w:rsidR="00262854" w:rsidRPr="007314B0" w14:paraId="4D0D3F7A" w14:textId="77777777" w:rsidTr="00980839">
        <w:trPr>
          <w:trHeight w:val="20"/>
        </w:trPr>
        <w:tc>
          <w:tcPr>
            <w:tcW w:w="1705" w:type="dxa"/>
            <w:noWrap/>
            <w:hideMark/>
          </w:tcPr>
          <w:p w14:paraId="134E3623" w14:textId="77777777" w:rsidR="003B34F2" w:rsidRPr="007314B0" w:rsidRDefault="003B34F2" w:rsidP="00262854">
            <w:pPr>
              <w:rPr>
                <w:rFonts w:cstheme="minorHAnsi"/>
                <w:b/>
                <w:bCs/>
              </w:rPr>
            </w:pPr>
            <w:proofErr w:type="spellStart"/>
            <w:r w:rsidRPr="007314B0">
              <w:rPr>
                <w:b/>
                <w:bCs/>
              </w:rPr>
              <w:t>eGFR</w:t>
            </w:r>
            <w:proofErr w:type="spellEnd"/>
          </w:p>
        </w:tc>
        <w:tc>
          <w:tcPr>
            <w:tcW w:w="8285" w:type="dxa"/>
            <w:noWrap/>
            <w:hideMark/>
          </w:tcPr>
          <w:p w14:paraId="3A7F9F40" w14:textId="77777777" w:rsidR="003B34F2" w:rsidRPr="007314B0" w:rsidRDefault="003B34F2" w:rsidP="00262854">
            <w:pPr>
              <w:rPr>
                <w:rFonts w:cstheme="minorHAnsi"/>
              </w:rPr>
            </w:pPr>
            <w:r w:rsidRPr="007314B0">
              <w:t>Taux de filtration glomérulaire estimé</w:t>
            </w:r>
          </w:p>
        </w:tc>
      </w:tr>
      <w:tr w:rsidR="00262854" w:rsidRPr="007314B0" w14:paraId="2065D6DF" w14:textId="77777777" w:rsidTr="00980839">
        <w:trPr>
          <w:trHeight w:val="20"/>
        </w:trPr>
        <w:tc>
          <w:tcPr>
            <w:tcW w:w="1705" w:type="dxa"/>
            <w:noWrap/>
            <w:hideMark/>
          </w:tcPr>
          <w:p w14:paraId="1049145F" w14:textId="77777777" w:rsidR="003B34F2" w:rsidRPr="007314B0" w:rsidRDefault="003B34F2" w:rsidP="00262854">
            <w:pPr>
              <w:rPr>
                <w:rFonts w:cstheme="minorHAnsi"/>
                <w:b/>
                <w:bCs/>
              </w:rPr>
            </w:pPr>
            <w:r w:rsidRPr="007314B0">
              <w:rPr>
                <w:b/>
                <w:bCs/>
              </w:rPr>
              <w:t>FTC</w:t>
            </w:r>
          </w:p>
        </w:tc>
        <w:tc>
          <w:tcPr>
            <w:tcW w:w="8285" w:type="dxa"/>
            <w:noWrap/>
            <w:hideMark/>
          </w:tcPr>
          <w:p w14:paraId="5E9F4D50" w14:textId="77777777" w:rsidR="003B34F2" w:rsidRPr="007314B0" w:rsidRDefault="003B34F2" w:rsidP="00262854">
            <w:pPr>
              <w:rPr>
                <w:rFonts w:cstheme="minorHAnsi"/>
              </w:rPr>
            </w:pPr>
            <w:proofErr w:type="spellStart"/>
            <w:r w:rsidRPr="007314B0">
              <w:t>Emtricitabine</w:t>
            </w:r>
            <w:proofErr w:type="spellEnd"/>
          </w:p>
        </w:tc>
      </w:tr>
      <w:tr w:rsidR="00262854" w:rsidRPr="007314B0" w14:paraId="64B4E61E" w14:textId="77777777" w:rsidTr="00980839">
        <w:trPr>
          <w:trHeight w:val="20"/>
        </w:trPr>
        <w:tc>
          <w:tcPr>
            <w:tcW w:w="1705" w:type="dxa"/>
            <w:noWrap/>
            <w:hideMark/>
          </w:tcPr>
          <w:p w14:paraId="7DF0F68F" w14:textId="77777777" w:rsidR="003B34F2" w:rsidRPr="007314B0" w:rsidRDefault="003B34F2" w:rsidP="00262854">
            <w:pPr>
              <w:rPr>
                <w:rFonts w:cstheme="minorHAnsi"/>
                <w:b/>
                <w:bCs/>
              </w:rPr>
            </w:pPr>
            <w:r w:rsidRPr="007314B0">
              <w:rPr>
                <w:b/>
                <w:bCs/>
              </w:rPr>
              <w:t>VBG</w:t>
            </w:r>
          </w:p>
        </w:tc>
        <w:tc>
          <w:tcPr>
            <w:tcW w:w="8285" w:type="dxa"/>
            <w:noWrap/>
            <w:hideMark/>
          </w:tcPr>
          <w:p w14:paraId="202FCC14" w14:textId="005D7B23" w:rsidR="003B34F2" w:rsidRPr="007314B0" w:rsidRDefault="003B34F2" w:rsidP="00262854">
            <w:pPr>
              <w:rPr>
                <w:rFonts w:cstheme="minorHAnsi"/>
              </w:rPr>
            </w:pPr>
            <w:r w:rsidRPr="007314B0">
              <w:t>Vio</w:t>
            </w:r>
            <w:r w:rsidR="00385E41" w:rsidRPr="007314B0">
              <w:t>l</w:t>
            </w:r>
            <w:r w:rsidRPr="007314B0">
              <w:t>ence basée sur le genre</w:t>
            </w:r>
          </w:p>
        </w:tc>
      </w:tr>
      <w:tr w:rsidR="00262854" w:rsidRPr="007314B0" w14:paraId="62D57493" w14:textId="77777777" w:rsidTr="00980839">
        <w:trPr>
          <w:trHeight w:val="20"/>
        </w:trPr>
        <w:tc>
          <w:tcPr>
            <w:tcW w:w="1705" w:type="dxa"/>
            <w:noWrap/>
            <w:hideMark/>
          </w:tcPr>
          <w:p w14:paraId="0AECF859" w14:textId="77777777" w:rsidR="003B34F2" w:rsidRPr="007314B0" w:rsidRDefault="003B34F2" w:rsidP="00262854">
            <w:pPr>
              <w:rPr>
                <w:rFonts w:cstheme="minorHAnsi"/>
                <w:b/>
                <w:bCs/>
              </w:rPr>
            </w:pPr>
            <w:r w:rsidRPr="007314B0">
              <w:rPr>
                <w:b/>
                <w:bCs/>
              </w:rPr>
              <w:t>GFR</w:t>
            </w:r>
          </w:p>
        </w:tc>
        <w:tc>
          <w:tcPr>
            <w:tcW w:w="8285" w:type="dxa"/>
            <w:noWrap/>
            <w:hideMark/>
          </w:tcPr>
          <w:p w14:paraId="400033F1" w14:textId="77777777" w:rsidR="003B34F2" w:rsidRPr="007314B0" w:rsidRDefault="003B34F2" w:rsidP="00262854">
            <w:pPr>
              <w:rPr>
                <w:rFonts w:cstheme="minorHAnsi"/>
              </w:rPr>
            </w:pPr>
            <w:r w:rsidRPr="007314B0">
              <w:t>Taux de filtration glomérulaire</w:t>
            </w:r>
          </w:p>
        </w:tc>
      </w:tr>
      <w:tr w:rsidR="00262854" w:rsidRPr="007314B0" w14:paraId="27B34BC7" w14:textId="6354902E" w:rsidTr="00980839">
        <w:trPr>
          <w:trHeight w:val="20"/>
        </w:trPr>
        <w:tc>
          <w:tcPr>
            <w:tcW w:w="1705" w:type="dxa"/>
            <w:noWrap/>
          </w:tcPr>
          <w:p w14:paraId="30AC8500" w14:textId="0278EF01" w:rsidR="003B34F2" w:rsidRPr="007314B0" w:rsidRDefault="003B34F2" w:rsidP="00262854">
            <w:pPr>
              <w:rPr>
                <w:rFonts w:cstheme="minorHAnsi"/>
                <w:b/>
                <w:bCs/>
              </w:rPr>
            </w:pPr>
            <w:r w:rsidRPr="007314B0">
              <w:rPr>
                <w:b/>
                <w:bCs/>
              </w:rPr>
              <w:t>HIVST</w:t>
            </w:r>
          </w:p>
        </w:tc>
        <w:tc>
          <w:tcPr>
            <w:tcW w:w="8285" w:type="dxa"/>
            <w:noWrap/>
          </w:tcPr>
          <w:p w14:paraId="65772AD6" w14:textId="7475B959" w:rsidR="003B34F2" w:rsidRPr="007314B0" w:rsidRDefault="003B34F2" w:rsidP="00262854">
            <w:pPr>
              <w:rPr>
                <w:rFonts w:cstheme="minorHAnsi"/>
              </w:rPr>
            </w:pPr>
            <w:r w:rsidRPr="007314B0">
              <w:t>Auto-dépistage du VIH</w:t>
            </w:r>
          </w:p>
        </w:tc>
      </w:tr>
      <w:tr w:rsidR="00262854" w:rsidRPr="007314B0" w14:paraId="38D5F205" w14:textId="77777777" w:rsidTr="00980839">
        <w:trPr>
          <w:trHeight w:val="20"/>
        </w:trPr>
        <w:tc>
          <w:tcPr>
            <w:tcW w:w="1705" w:type="dxa"/>
            <w:noWrap/>
            <w:hideMark/>
          </w:tcPr>
          <w:p w14:paraId="37E11DA4" w14:textId="0493775C" w:rsidR="003B34F2" w:rsidRPr="007314B0" w:rsidRDefault="00DF3220" w:rsidP="00262854">
            <w:pPr>
              <w:rPr>
                <w:rFonts w:cstheme="minorHAnsi"/>
                <w:b/>
                <w:bCs/>
              </w:rPr>
            </w:pPr>
            <w:r w:rsidRPr="007314B0">
              <w:rPr>
                <w:b/>
                <w:bCs/>
              </w:rPr>
              <w:t>VPI</w:t>
            </w:r>
          </w:p>
        </w:tc>
        <w:tc>
          <w:tcPr>
            <w:tcW w:w="8285" w:type="dxa"/>
            <w:noWrap/>
            <w:hideMark/>
          </w:tcPr>
          <w:p w14:paraId="523AE7A8" w14:textId="77777777" w:rsidR="003B34F2" w:rsidRPr="007314B0" w:rsidRDefault="003B34F2" w:rsidP="00262854">
            <w:pPr>
              <w:rPr>
                <w:rFonts w:cstheme="minorHAnsi"/>
              </w:rPr>
            </w:pPr>
            <w:r w:rsidRPr="007314B0">
              <w:t>Violence du partenaire intime</w:t>
            </w:r>
          </w:p>
        </w:tc>
      </w:tr>
      <w:tr w:rsidR="00262854" w:rsidRPr="007314B0" w14:paraId="6CB6CD5C" w14:textId="77777777" w:rsidTr="00980839">
        <w:trPr>
          <w:trHeight w:val="20"/>
        </w:trPr>
        <w:tc>
          <w:tcPr>
            <w:tcW w:w="1705" w:type="dxa"/>
            <w:noWrap/>
            <w:hideMark/>
          </w:tcPr>
          <w:p w14:paraId="02B2896E" w14:textId="77777777" w:rsidR="003B34F2" w:rsidRPr="007314B0" w:rsidRDefault="003B34F2" w:rsidP="00262854">
            <w:pPr>
              <w:rPr>
                <w:rFonts w:cstheme="minorHAnsi"/>
                <w:b/>
                <w:bCs/>
              </w:rPr>
            </w:pPr>
            <w:r w:rsidRPr="007314B0">
              <w:rPr>
                <w:b/>
                <w:bCs/>
              </w:rPr>
              <w:t>ISR</w:t>
            </w:r>
          </w:p>
        </w:tc>
        <w:tc>
          <w:tcPr>
            <w:tcW w:w="8285" w:type="dxa"/>
            <w:noWrap/>
            <w:hideMark/>
          </w:tcPr>
          <w:p w14:paraId="164EEBBF" w14:textId="2C3A5D81" w:rsidR="003B34F2" w:rsidRPr="007314B0" w:rsidRDefault="003B34F2" w:rsidP="00262854">
            <w:pPr>
              <w:rPr>
                <w:rFonts w:cstheme="minorHAnsi"/>
              </w:rPr>
            </w:pPr>
            <w:r w:rsidRPr="007314B0">
              <w:t>Réactions au site d’injection</w:t>
            </w:r>
          </w:p>
        </w:tc>
      </w:tr>
      <w:tr w:rsidR="00E97460" w:rsidRPr="007314B0" w14:paraId="4345ABC4" w14:textId="77777777" w:rsidTr="00980839">
        <w:trPr>
          <w:trHeight w:val="20"/>
        </w:trPr>
        <w:tc>
          <w:tcPr>
            <w:tcW w:w="1705" w:type="dxa"/>
            <w:noWrap/>
          </w:tcPr>
          <w:p w14:paraId="205233AA" w14:textId="161C94A1" w:rsidR="00E97460" w:rsidRPr="007314B0" w:rsidRDefault="00E97460" w:rsidP="00262854">
            <w:pPr>
              <w:rPr>
                <w:rFonts w:cstheme="minorHAnsi"/>
                <w:b/>
                <w:bCs/>
              </w:rPr>
            </w:pPr>
            <w:r w:rsidRPr="007314B0">
              <w:rPr>
                <w:b/>
                <w:bCs/>
              </w:rPr>
              <w:t>LIVES</w:t>
            </w:r>
          </w:p>
        </w:tc>
        <w:tc>
          <w:tcPr>
            <w:tcW w:w="8285" w:type="dxa"/>
            <w:noWrap/>
          </w:tcPr>
          <w:p w14:paraId="0C94CB3D" w14:textId="58395C58" w:rsidR="00E97460" w:rsidRPr="007314B0" w:rsidRDefault="00B011CB" w:rsidP="00262854">
            <w:pPr>
              <w:rPr>
                <w:rFonts w:cstheme="minorHAnsi"/>
              </w:rPr>
            </w:pPr>
            <w:r w:rsidRPr="007314B0">
              <w:t xml:space="preserve">Écouter, </w:t>
            </w:r>
            <w:r w:rsidR="006F0C4E" w:rsidRPr="007314B0">
              <w:t>se renseigner</w:t>
            </w:r>
            <w:r w:rsidRPr="007314B0">
              <w:t xml:space="preserve">, valider, améliorer la sécurité et </w:t>
            </w:r>
            <w:r w:rsidR="006F0C4E" w:rsidRPr="007314B0">
              <w:t>soutenir</w:t>
            </w:r>
          </w:p>
        </w:tc>
      </w:tr>
      <w:tr w:rsidR="00262854" w:rsidRPr="007314B0" w14:paraId="1EB253C5" w14:textId="77777777" w:rsidTr="00980839">
        <w:trPr>
          <w:trHeight w:val="20"/>
        </w:trPr>
        <w:tc>
          <w:tcPr>
            <w:tcW w:w="1705" w:type="dxa"/>
            <w:noWrap/>
            <w:hideMark/>
          </w:tcPr>
          <w:p w14:paraId="3BF1447F" w14:textId="77777777" w:rsidR="003B34F2" w:rsidRPr="007314B0" w:rsidRDefault="003B34F2" w:rsidP="00262854">
            <w:pPr>
              <w:rPr>
                <w:rFonts w:cstheme="minorHAnsi"/>
                <w:b/>
                <w:bCs/>
              </w:rPr>
            </w:pPr>
            <w:r w:rsidRPr="007314B0">
              <w:rPr>
                <w:b/>
                <w:bCs/>
              </w:rPr>
              <w:t>MOSAIC</w:t>
            </w:r>
          </w:p>
        </w:tc>
        <w:tc>
          <w:tcPr>
            <w:tcW w:w="8285" w:type="dxa"/>
            <w:noWrap/>
            <w:hideMark/>
          </w:tcPr>
          <w:p w14:paraId="31DDA291" w14:textId="22B910DA" w:rsidR="003B34F2" w:rsidRPr="007314B0" w:rsidRDefault="003B34F2" w:rsidP="00262854">
            <w:pPr>
              <w:rPr>
                <w:rFonts w:cstheme="minorHAnsi"/>
              </w:rPr>
            </w:pPr>
            <w:proofErr w:type="spellStart"/>
            <w:r w:rsidRPr="007314B0">
              <w:t>Maximizing</w:t>
            </w:r>
            <w:proofErr w:type="spellEnd"/>
            <w:r w:rsidRPr="007314B0">
              <w:t xml:space="preserve"> Options to Advance </w:t>
            </w:r>
            <w:proofErr w:type="spellStart"/>
            <w:r w:rsidRPr="007314B0">
              <w:t>Informed</w:t>
            </w:r>
            <w:proofErr w:type="spellEnd"/>
            <w:r w:rsidRPr="007314B0">
              <w:t xml:space="preserve"> </w:t>
            </w:r>
            <w:proofErr w:type="spellStart"/>
            <w:r w:rsidRPr="007314B0">
              <w:t>Choice</w:t>
            </w:r>
            <w:proofErr w:type="spellEnd"/>
            <w:r w:rsidRPr="007314B0">
              <w:t xml:space="preserve"> for HIV Prevention</w:t>
            </w:r>
            <w:r w:rsidR="002369B6" w:rsidRPr="007314B0">
              <w:t xml:space="preserve"> (Maximiser les options pour faire progresser le choix éclairé en matière de prévention du VIH)</w:t>
            </w:r>
          </w:p>
        </w:tc>
      </w:tr>
      <w:tr w:rsidR="00262854" w:rsidRPr="007314B0" w14:paraId="09F585E4" w14:textId="77777777" w:rsidTr="00980839">
        <w:trPr>
          <w:trHeight w:val="20"/>
        </w:trPr>
        <w:tc>
          <w:tcPr>
            <w:tcW w:w="1705" w:type="dxa"/>
            <w:noWrap/>
            <w:hideMark/>
          </w:tcPr>
          <w:p w14:paraId="2EAB4DCF" w14:textId="77777777" w:rsidR="003B34F2" w:rsidRPr="007314B0" w:rsidRDefault="003B34F2" w:rsidP="00262854">
            <w:pPr>
              <w:rPr>
                <w:rFonts w:cstheme="minorHAnsi"/>
                <w:b/>
                <w:bCs/>
              </w:rPr>
            </w:pPr>
            <w:r w:rsidRPr="007314B0">
              <w:rPr>
                <w:b/>
                <w:bCs/>
              </w:rPr>
              <w:t>INNTI</w:t>
            </w:r>
          </w:p>
        </w:tc>
        <w:tc>
          <w:tcPr>
            <w:tcW w:w="8285" w:type="dxa"/>
            <w:noWrap/>
            <w:hideMark/>
          </w:tcPr>
          <w:p w14:paraId="7CD4C77A" w14:textId="77777777" w:rsidR="003B34F2" w:rsidRPr="007314B0" w:rsidRDefault="003B34F2" w:rsidP="00262854">
            <w:pPr>
              <w:rPr>
                <w:rFonts w:cstheme="minorHAnsi"/>
              </w:rPr>
            </w:pPr>
            <w:r w:rsidRPr="007314B0">
              <w:t>Inhibiteur non nucléosidique de la transcriptase inverse</w:t>
            </w:r>
          </w:p>
        </w:tc>
      </w:tr>
      <w:tr w:rsidR="00D3104C" w:rsidRPr="007314B0" w14:paraId="1C3C4032" w14:textId="77777777" w:rsidTr="00980839">
        <w:trPr>
          <w:trHeight w:val="20"/>
        </w:trPr>
        <w:tc>
          <w:tcPr>
            <w:tcW w:w="1705" w:type="dxa"/>
            <w:noWrap/>
          </w:tcPr>
          <w:p w14:paraId="36B55FB4" w14:textId="20639CED" w:rsidR="00D3104C" w:rsidRPr="007314B0" w:rsidRDefault="00D3104C" w:rsidP="00262854">
            <w:pPr>
              <w:rPr>
                <w:rFonts w:cstheme="minorHAnsi"/>
                <w:b/>
                <w:bCs/>
              </w:rPr>
            </w:pPr>
            <w:r w:rsidRPr="007314B0">
              <w:rPr>
                <w:b/>
                <w:bCs/>
              </w:rPr>
              <w:t>PP</w:t>
            </w:r>
            <w:r w:rsidR="0070291C" w:rsidRPr="007314B0">
              <w:rPr>
                <w:b/>
                <w:bCs/>
              </w:rPr>
              <w:t>E</w:t>
            </w:r>
          </w:p>
        </w:tc>
        <w:tc>
          <w:tcPr>
            <w:tcW w:w="8285" w:type="dxa"/>
            <w:noWrap/>
          </w:tcPr>
          <w:p w14:paraId="672547B1" w14:textId="79E48397" w:rsidR="00D3104C" w:rsidRPr="007314B0" w:rsidRDefault="00D3104C" w:rsidP="00262854">
            <w:pPr>
              <w:rPr>
                <w:rFonts w:cstheme="minorHAnsi"/>
              </w:rPr>
            </w:pPr>
            <w:r w:rsidRPr="007314B0">
              <w:t>Prophylaxie post</w:t>
            </w:r>
            <w:r w:rsidR="006F0C4E" w:rsidRPr="007314B0">
              <w:t>-</w:t>
            </w:r>
            <w:r w:rsidRPr="007314B0">
              <w:t>exposition</w:t>
            </w:r>
          </w:p>
        </w:tc>
      </w:tr>
      <w:tr w:rsidR="00262854" w:rsidRPr="007314B0" w14:paraId="58B13234" w14:textId="77777777" w:rsidTr="00980839">
        <w:trPr>
          <w:trHeight w:val="20"/>
        </w:trPr>
        <w:tc>
          <w:tcPr>
            <w:tcW w:w="1705" w:type="dxa"/>
            <w:noWrap/>
            <w:hideMark/>
          </w:tcPr>
          <w:p w14:paraId="2B1E24F7" w14:textId="77777777" w:rsidR="003B34F2" w:rsidRPr="007314B0" w:rsidRDefault="003B34F2" w:rsidP="00262854">
            <w:pPr>
              <w:rPr>
                <w:rFonts w:cstheme="minorHAnsi"/>
                <w:b/>
                <w:bCs/>
              </w:rPr>
            </w:pPr>
            <w:r w:rsidRPr="007314B0">
              <w:rPr>
                <w:b/>
                <w:bCs/>
              </w:rPr>
              <w:t>PEPFAR</w:t>
            </w:r>
          </w:p>
        </w:tc>
        <w:tc>
          <w:tcPr>
            <w:tcW w:w="8285" w:type="dxa"/>
            <w:noWrap/>
            <w:hideMark/>
          </w:tcPr>
          <w:p w14:paraId="3E7CE6DB" w14:textId="77777777" w:rsidR="003B34F2" w:rsidRPr="007314B0" w:rsidRDefault="003B34F2" w:rsidP="00262854">
            <w:pPr>
              <w:rPr>
                <w:rFonts w:cstheme="minorHAnsi"/>
              </w:rPr>
            </w:pPr>
            <w:r w:rsidRPr="007314B0">
              <w:t>Plan d’urgence du Président des États-Unis pour la lutte contre le SIDA</w:t>
            </w:r>
          </w:p>
        </w:tc>
      </w:tr>
      <w:tr w:rsidR="00262854" w:rsidRPr="007314B0" w14:paraId="60EEF720" w14:textId="77777777" w:rsidTr="00980839">
        <w:trPr>
          <w:trHeight w:val="20"/>
        </w:trPr>
        <w:tc>
          <w:tcPr>
            <w:tcW w:w="1705" w:type="dxa"/>
            <w:noWrap/>
            <w:hideMark/>
          </w:tcPr>
          <w:p w14:paraId="20DFDC25" w14:textId="77777777" w:rsidR="003B34F2" w:rsidRPr="007314B0" w:rsidRDefault="003B34F2" w:rsidP="00262854">
            <w:pPr>
              <w:rPr>
                <w:rFonts w:cstheme="minorHAnsi"/>
                <w:b/>
                <w:bCs/>
              </w:rPr>
            </w:pPr>
            <w:r w:rsidRPr="007314B0">
              <w:rPr>
                <w:b/>
                <w:bCs/>
              </w:rPr>
              <w:t>PrEP</w:t>
            </w:r>
          </w:p>
        </w:tc>
        <w:tc>
          <w:tcPr>
            <w:tcW w:w="8285" w:type="dxa"/>
            <w:noWrap/>
            <w:hideMark/>
          </w:tcPr>
          <w:p w14:paraId="470D3675" w14:textId="1D4994FB" w:rsidR="003B34F2" w:rsidRPr="007314B0" w:rsidRDefault="003B34F2" w:rsidP="00262854">
            <w:pPr>
              <w:rPr>
                <w:rFonts w:cstheme="minorHAnsi"/>
              </w:rPr>
            </w:pPr>
            <w:r w:rsidRPr="007314B0">
              <w:t>Prophylaxie préexposition</w:t>
            </w:r>
          </w:p>
        </w:tc>
      </w:tr>
      <w:tr w:rsidR="00262854" w:rsidRPr="007314B0" w14:paraId="45FA7461" w14:textId="77777777" w:rsidTr="00980839">
        <w:trPr>
          <w:trHeight w:val="20"/>
        </w:trPr>
        <w:tc>
          <w:tcPr>
            <w:tcW w:w="1705" w:type="dxa"/>
            <w:noWrap/>
            <w:hideMark/>
          </w:tcPr>
          <w:p w14:paraId="4A8B718C" w14:textId="77777777" w:rsidR="003B34F2" w:rsidRPr="007314B0" w:rsidRDefault="003B34F2" w:rsidP="00262854">
            <w:pPr>
              <w:rPr>
                <w:rFonts w:cstheme="minorHAnsi"/>
                <w:b/>
                <w:bCs/>
              </w:rPr>
            </w:pPr>
            <w:r w:rsidRPr="007314B0">
              <w:rPr>
                <w:b/>
                <w:bCs/>
              </w:rPr>
              <w:t>Anneau de PrEP</w:t>
            </w:r>
          </w:p>
        </w:tc>
        <w:tc>
          <w:tcPr>
            <w:tcW w:w="8285" w:type="dxa"/>
            <w:noWrap/>
            <w:hideMark/>
          </w:tcPr>
          <w:p w14:paraId="628FE96A" w14:textId="77777777" w:rsidR="003B34F2" w:rsidRPr="007314B0" w:rsidRDefault="003B34F2" w:rsidP="00262854">
            <w:pPr>
              <w:rPr>
                <w:rFonts w:cstheme="minorHAnsi"/>
              </w:rPr>
            </w:pPr>
            <w:r w:rsidRPr="007314B0">
              <w:t>Anneau vaginal à la dapivirine</w:t>
            </w:r>
          </w:p>
        </w:tc>
      </w:tr>
      <w:tr w:rsidR="00262854" w:rsidRPr="007314B0" w14:paraId="7E313DD6" w14:textId="77777777" w:rsidTr="00980839">
        <w:trPr>
          <w:trHeight w:val="20"/>
        </w:trPr>
        <w:tc>
          <w:tcPr>
            <w:tcW w:w="1705" w:type="dxa"/>
            <w:noWrap/>
            <w:hideMark/>
          </w:tcPr>
          <w:p w14:paraId="344F8428" w14:textId="77777777" w:rsidR="003B34F2" w:rsidRPr="007314B0" w:rsidRDefault="003B34F2" w:rsidP="00262854">
            <w:pPr>
              <w:rPr>
                <w:rFonts w:cstheme="minorHAnsi"/>
                <w:b/>
                <w:bCs/>
              </w:rPr>
            </w:pPr>
            <w:r w:rsidRPr="007314B0">
              <w:rPr>
                <w:b/>
                <w:bCs/>
              </w:rPr>
              <w:t>PWID</w:t>
            </w:r>
          </w:p>
        </w:tc>
        <w:tc>
          <w:tcPr>
            <w:tcW w:w="8285" w:type="dxa"/>
            <w:noWrap/>
            <w:hideMark/>
          </w:tcPr>
          <w:p w14:paraId="698DC0FB" w14:textId="77777777" w:rsidR="003B34F2" w:rsidRPr="007314B0" w:rsidRDefault="003B34F2" w:rsidP="00262854">
            <w:pPr>
              <w:rPr>
                <w:rFonts w:cstheme="minorHAnsi"/>
              </w:rPr>
            </w:pPr>
            <w:r w:rsidRPr="007314B0">
              <w:t>Personnes qui s’injectent des drogues</w:t>
            </w:r>
          </w:p>
        </w:tc>
      </w:tr>
      <w:tr w:rsidR="00262854" w:rsidRPr="007314B0" w14:paraId="0E35610B" w14:textId="77777777" w:rsidTr="00980839">
        <w:trPr>
          <w:trHeight w:val="20"/>
        </w:trPr>
        <w:tc>
          <w:tcPr>
            <w:tcW w:w="1705" w:type="dxa"/>
            <w:noWrap/>
            <w:hideMark/>
          </w:tcPr>
          <w:p w14:paraId="421E4715" w14:textId="77777777" w:rsidR="003B34F2" w:rsidRPr="007314B0" w:rsidRDefault="003B34F2" w:rsidP="00262854">
            <w:pPr>
              <w:rPr>
                <w:rFonts w:cstheme="minorHAnsi"/>
                <w:b/>
                <w:bCs/>
              </w:rPr>
            </w:pPr>
            <w:r w:rsidRPr="007314B0">
              <w:rPr>
                <w:b/>
                <w:bCs/>
              </w:rPr>
              <w:t>SOC</w:t>
            </w:r>
          </w:p>
        </w:tc>
        <w:tc>
          <w:tcPr>
            <w:tcW w:w="8285" w:type="dxa"/>
            <w:noWrap/>
            <w:hideMark/>
          </w:tcPr>
          <w:p w14:paraId="1E99D2B6" w14:textId="77777777" w:rsidR="003B34F2" w:rsidRPr="007314B0" w:rsidRDefault="003B34F2" w:rsidP="00262854">
            <w:pPr>
              <w:rPr>
                <w:rFonts w:cstheme="minorHAnsi"/>
              </w:rPr>
            </w:pPr>
            <w:r w:rsidRPr="007314B0">
              <w:t>Qualité de soins</w:t>
            </w:r>
          </w:p>
        </w:tc>
      </w:tr>
      <w:tr w:rsidR="00262854" w:rsidRPr="007314B0" w14:paraId="20756D42" w14:textId="77777777" w:rsidTr="00980839">
        <w:trPr>
          <w:trHeight w:val="20"/>
        </w:trPr>
        <w:tc>
          <w:tcPr>
            <w:tcW w:w="1705" w:type="dxa"/>
            <w:noWrap/>
            <w:hideMark/>
          </w:tcPr>
          <w:p w14:paraId="30D89D11" w14:textId="77777777" w:rsidR="003B34F2" w:rsidRPr="007314B0" w:rsidRDefault="003B34F2" w:rsidP="00262854">
            <w:pPr>
              <w:rPr>
                <w:rFonts w:cstheme="minorHAnsi"/>
                <w:b/>
                <w:bCs/>
              </w:rPr>
            </w:pPr>
            <w:r w:rsidRPr="007314B0">
              <w:rPr>
                <w:b/>
                <w:bCs/>
              </w:rPr>
              <w:t>IST</w:t>
            </w:r>
          </w:p>
        </w:tc>
        <w:tc>
          <w:tcPr>
            <w:tcW w:w="8285" w:type="dxa"/>
            <w:noWrap/>
            <w:hideMark/>
          </w:tcPr>
          <w:p w14:paraId="010E6641" w14:textId="77777777" w:rsidR="003B34F2" w:rsidRPr="007314B0" w:rsidRDefault="003B34F2" w:rsidP="00262854">
            <w:pPr>
              <w:rPr>
                <w:rFonts w:cstheme="minorHAnsi"/>
              </w:rPr>
            </w:pPr>
            <w:r w:rsidRPr="007314B0">
              <w:t>Infections sexuellement transmissibles</w:t>
            </w:r>
          </w:p>
        </w:tc>
      </w:tr>
      <w:tr w:rsidR="00262854" w:rsidRPr="007314B0" w14:paraId="087E5AFB" w14:textId="77777777" w:rsidTr="00980839">
        <w:trPr>
          <w:trHeight w:val="20"/>
        </w:trPr>
        <w:tc>
          <w:tcPr>
            <w:tcW w:w="1705" w:type="dxa"/>
            <w:noWrap/>
            <w:hideMark/>
          </w:tcPr>
          <w:p w14:paraId="53ED45CF" w14:textId="77777777" w:rsidR="003B34F2" w:rsidRPr="007314B0" w:rsidRDefault="003B34F2" w:rsidP="00262854">
            <w:pPr>
              <w:rPr>
                <w:rFonts w:cstheme="minorHAnsi"/>
                <w:b/>
                <w:bCs/>
              </w:rPr>
            </w:pPr>
            <w:r w:rsidRPr="007314B0">
              <w:rPr>
                <w:b/>
                <w:bCs/>
              </w:rPr>
              <w:t>TB</w:t>
            </w:r>
          </w:p>
        </w:tc>
        <w:tc>
          <w:tcPr>
            <w:tcW w:w="8285" w:type="dxa"/>
            <w:noWrap/>
            <w:hideMark/>
          </w:tcPr>
          <w:p w14:paraId="509BEA75" w14:textId="3809F513" w:rsidR="003B34F2" w:rsidRPr="007314B0" w:rsidRDefault="002F73A6" w:rsidP="00262854">
            <w:pPr>
              <w:rPr>
                <w:rFonts w:cstheme="minorHAnsi"/>
              </w:rPr>
            </w:pPr>
            <w:r w:rsidRPr="007314B0">
              <w:t>Tuberculose</w:t>
            </w:r>
          </w:p>
        </w:tc>
      </w:tr>
      <w:tr w:rsidR="00262854" w:rsidRPr="007314B0" w14:paraId="774EC7F8" w14:textId="77777777" w:rsidTr="00980839">
        <w:trPr>
          <w:trHeight w:val="20"/>
        </w:trPr>
        <w:tc>
          <w:tcPr>
            <w:tcW w:w="1705" w:type="dxa"/>
            <w:noWrap/>
            <w:hideMark/>
          </w:tcPr>
          <w:p w14:paraId="727505CE" w14:textId="77777777" w:rsidR="003B34F2" w:rsidRPr="007314B0" w:rsidRDefault="003B34F2" w:rsidP="00262854">
            <w:pPr>
              <w:rPr>
                <w:rFonts w:cstheme="minorHAnsi"/>
                <w:b/>
                <w:bCs/>
              </w:rPr>
            </w:pPr>
            <w:r w:rsidRPr="007314B0">
              <w:rPr>
                <w:b/>
                <w:bCs/>
              </w:rPr>
              <w:t>TDF</w:t>
            </w:r>
          </w:p>
        </w:tc>
        <w:tc>
          <w:tcPr>
            <w:tcW w:w="8285" w:type="dxa"/>
            <w:noWrap/>
            <w:hideMark/>
          </w:tcPr>
          <w:p w14:paraId="0E6C99A3" w14:textId="7AE3775E" w:rsidR="003B34F2" w:rsidRPr="007314B0" w:rsidRDefault="003B34F2" w:rsidP="00262854">
            <w:pPr>
              <w:rPr>
                <w:rFonts w:cstheme="minorHAnsi"/>
              </w:rPr>
            </w:pPr>
            <w:proofErr w:type="spellStart"/>
            <w:r w:rsidRPr="007314B0">
              <w:t>T</w:t>
            </w:r>
            <w:r w:rsidR="006F0C4E" w:rsidRPr="007314B0">
              <w:t>é</w:t>
            </w:r>
            <w:r w:rsidRPr="007314B0">
              <w:t>nofovir</w:t>
            </w:r>
            <w:proofErr w:type="spellEnd"/>
            <w:r w:rsidRPr="007314B0">
              <w:t xml:space="preserve"> </w:t>
            </w:r>
            <w:proofErr w:type="spellStart"/>
            <w:r w:rsidRPr="007314B0">
              <w:t>disoproxil</w:t>
            </w:r>
            <w:proofErr w:type="spellEnd"/>
            <w:r w:rsidRPr="007314B0">
              <w:t xml:space="preserve"> fumarate</w:t>
            </w:r>
          </w:p>
        </w:tc>
      </w:tr>
      <w:tr w:rsidR="00262854" w:rsidRPr="007314B0" w14:paraId="14206AF6" w14:textId="77777777" w:rsidTr="00980839">
        <w:trPr>
          <w:trHeight w:val="20"/>
        </w:trPr>
        <w:tc>
          <w:tcPr>
            <w:tcW w:w="1705" w:type="dxa"/>
            <w:noWrap/>
            <w:hideMark/>
          </w:tcPr>
          <w:p w14:paraId="072AF506" w14:textId="77777777" w:rsidR="003B34F2" w:rsidRPr="007314B0" w:rsidRDefault="003B34F2" w:rsidP="00262854">
            <w:pPr>
              <w:rPr>
                <w:rFonts w:cstheme="minorHAnsi"/>
                <w:b/>
                <w:bCs/>
              </w:rPr>
            </w:pPr>
            <w:r w:rsidRPr="007314B0">
              <w:rPr>
                <w:b/>
                <w:bCs/>
              </w:rPr>
              <w:t>USAID</w:t>
            </w:r>
          </w:p>
        </w:tc>
        <w:tc>
          <w:tcPr>
            <w:tcW w:w="8285" w:type="dxa"/>
            <w:noWrap/>
            <w:hideMark/>
          </w:tcPr>
          <w:p w14:paraId="16068B73" w14:textId="77777777" w:rsidR="003B34F2" w:rsidRPr="007314B0" w:rsidRDefault="003B34F2" w:rsidP="00262854">
            <w:pPr>
              <w:rPr>
                <w:rFonts w:cstheme="minorHAnsi"/>
              </w:rPr>
            </w:pPr>
            <w:r w:rsidRPr="007314B0">
              <w:t xml:space="preserve">Agence américaine pour le développement international </w:t>
            </w:r>
          </w:p>
        </w:tc>
      </w:tr>
      <w:tr w:rsidR="00D66D81" w:rsidRPr="007314B0" w14:paraId="7BDC39E5" w14:textId="77777777" w:rsidTr="00980839">
        <w:trPr>
          <w:trHeight w:val="20"/>
        </w:trPr>
        <w:tc>
          <w:tcPr>
            <w:tcW w:w="1705" w:type="dxa"/>
            <w:noWrap/>
          </w:tcPr>
          <w:p w14:paraId="4330430C" w14:textId="6FB9A97C" w:rsidR="00D66D81" w:rsidRPr="007314B0" w:rsidRDefault="00D66D81" w:rsidP="00262854">
            <w:pPr>
              <w:rPr>
                <w:rFonts w:cstheme="minorHAnsi"/>
                <w:b/>
                <w:bCs/>
              </w:rPr>
            </w:pPr>
            <w:r w:rsidRPr="007314B0">
              <w:rPr>
                <w:b/>
                <w:bCs/>
              </w:rPr>
              <w:t>VMMC</w:t>
            </w:r>
          </w:p>
        </w:tc>
        <w:tc>
          <w:tcPr>
            <w:tcW w:w="8285" w:type="dxa"/>
            <w:noWrap/>
          </w:tcPr>
          <w:p w14:paraId="2D890046" w14:textId="3A61C548" w:rsidR="00D66D81" w:rsidRPr="007314B0" w:rsidRDefault="00D66D81" w:rsidP="00262854">
            <w:pPr>
              <w:rPr>
                <w:rFonts w:cstheme="minorHAnsi"/>
              </w:rPr>
            </w:pPr>
            <w:r w:rsidRPr="007314B0">
              <w:t>Circoncision masculine médicale volontaire</w:t>
            </w:r>
          </w:p>
        </w:tc>
      </w:tr>
      <w:tr w:rsidR="00262854" w:rsidRPr="007314B0" w14:paraId="6B6761F2" w14:textId="77777777" w:rsidTr="00980839">
        <w:trPr>
          <w:trHeight w:val="20"/>
        </w:trPr>
        <w:tc>
          <w:tcPr>
            <w:tcW w:w="1705" w:type="dxa"/>
            <w:noWrap/>
            <w:hideMark/>
          </w:tcPr>
          <w:p w14:paraId="3AB40AFA" w14:textId="77777777" w:rsidR="003B34F2" w:rsidRPr="007314B0" w:rsidRDefault="003B34F2" w:rsidP="00262854">
            <w:pPr>
              <w:rPr>
                <w:rFonts w:cstheme="minorHAnsi"/>
                <w:b/>
                <w:bCs/>
              </w:rPr>
            </w:pPr>
            <w:r w:rsidRPr="007314B0">
              <w:rPr>
                <w:b/>
                <w:bCs/>
              </w:rPr>
              <w:t>OMS</w:t>
            </w:r>
          </w:p>
        </w:tc>
        <w:tc>
          <w:tcPr>
            <w:tcW w:w="8285" w:type="dxa"/>
            <w:noWrap/>
            <w:hideMark/>
          </w:tcPr>
          <w:p w14:paraId="2815E7B9" w14:textId="77777777" w:rsidR="003B34F2" w:rsidRPr="007314B0" w:rsidRDefault="003B34F2" w:rsidP="00262854">
            <w:pPr>
              <w:rPr>
                <w:rFonts w:cstheme="minorHAnsi"/>
              </w:rPr>
            </w:pPr>
            <w:r w:rsidRPr="007314B0">
              <w:t>Organisation mondiale de la santé</w:t>
            </w:r>
          </w:p>
        </w:tc>
      </w:tr>
    </w:tbl>
    <w:p w14:paraId="1CF10218" w14:textId="5EA8F291" w:rsidR="00BB5BA3" w:rsidRPr="007314B0" w:rsidRDefault="002B0910" w:rsidP="00361799">
      <w:pPr>
        <w:pStyle w:val="Heading1"/>
        <w:rPr>
          <w:rFonts w:asciiTheme="minorHAnsi" w:hAnsiTheme="minorHAnsi" w:cstheme="minorBidi"/>
        </w:rPr>
      </w:pPr>
      <w:bookmarkStart w:id="2" w:name="_Toc124428483"/>
      <w:r w:rsidRPr="007314B0">
        <w:rPr>
          <w:rFonts w:asciiTheme="minorHAnsi" w:hAnsiTheme="minorHAnsi"/>
        </w:rPr>
        <w:lastRenderedPageBreak/>
        <w:t>Présentation de la prophylaxie préexposition</w:t>
      </w:r>
      <w:bookmarkEnd w:id="2"/>
    </w:p>
    <w:p w14:paraId="1D799DA3" w14:textId="35199836" w:rsidR="009C2FAB" w:rsidRPr="007314B0" w:rsidRDefault="02F613A3" w:rsidP="7D32EE1A">
      <w:pPr>
        <w:pBdr>
          <w:top w:val="nil"/>
          <w:left w:val="nil"/>
          <w:bottom w:val="nil"/>
          <w:right w:val="nil"/>
          <w:between w:val="nil"/>
        </w:pBdr>
        <w:spacing w:after="120" w:line="240" w:lineRule="auto"/>
        <w:rPr>
          <w:color w:val="000000" w:themeColor="text1"/>
        </w:rPr>
      </w:pPr>
      <w:r w:rsidRPr="007314B0">
        <w:rPr>
          <w:color w:val="000000" w:themeColor="text1"/>
        </w:rPr>
        <w:t xml:space="preserve">La prophylaxie préexposition (PrEP) est l’utilisation préventive de médicaments antirétroviraux (ARV) par des personnes séronégatives afin de réduire </w:t>
      </w:r>
      <w:r w:rsidR="006F0C4E" w:rsidRPr="007314B0">
        <w:rPr>
          <w:color w:val="000000" w:themeColor="text1"/>
        </w:rPr>
        <w:t>le risque</w:t>
      </w:r>
      <w:r w:rsidRPr="007314B0">
        <w:rPr>
          <w:color w:val="000000" w:themeColor="text1"/>
        </w:rPr>
        <w:t xml:space="preserve"> d’infection par le VIH. </w:t>
      </w:r>
      <w:r w:rsidRPr="007314B0">
        <w:t xml:space="preserve">Le niveau d’efficacité de la PrEP est étroitement lié à une bonne utilisation, ce qui veut dire qu’il est important que les patients utilisent les méthodes de PrEP comme elles ont été prescrites pendant les périodes où ils risquent de contracter le VIH. </w:t>
      </w:r>
      <w:r w:rsidRPr="007314B0">
        <w:rPr>
          <w:color w:val="000000" w:themeColor="text1"/>
        </w:rPr>
        <w:t xml:space="preserve">Les méthodes de PrEP actuelles recommandées par l’Organisation mondiale de la santé (OMS) ne préviennent pas la grossesse ni les infections sexuellement transmissibles (IST) autres que le VIH. </w:t>
      </w:r>
      <w:r w:rsidRPr="007314B0">
        <w:t>L’OMS ne fait aucune déclaration sur l’âge minimum ; la PrEP peut donc être utilisée par les adolescents, même si un soutien supplémentaire peut être nécessaire pour que ces derniers l’utilisent efficacement et qu’une exigence de poids minimum est à respecter à des fins de sécurité.</w:t>
      </w:r>
      <w:r w:rsidRPr="007314B0">
        <w:rPr>
          <w:color w:val="000000" w:themeColor="text1"/>
        </w:rPr>
        <w:t xml:space="preserve"> </w:t>
      </w:r>
    </w:p>
    <w:p w14:paraId="6A8B3475" w14:textId="0489CB18" w:rsidR="002D2635" w:rsidRPr="007314B0" w:rsidRDefault="7E017B79" w:rsidP="7D32EE1A">
      <w:pPr>
        <w:pBdr>
          <w:top w:val="nil"/>
          <w:left w:val="nil"/>
          <w:bottom w:val="nil"/>
          <w:right w:val="nil"/>
          <w:between w:val="nil"/>
        </w:pBdr>
        <w:spacing w:after="120" w:line="240" w:lineRule="auto"/>
        <w:rPr>
          <w:color w:val="000000" w:themeColor="text1"/>
        </w:rPr>
      </w:pPr>
      <w:r w:rsidRPr="007314B0">
        <w:t xml:space="preserve">Ces directives se concentrent sur la prise du </w:t>
      </w:r>
      <w:proofErr w:type="spellStart"/>
      <w:r w:rsidRPr="007314B0">
        <w:t>t</w:t>
      </w:r>
      <w:r w:rsidR="006F0C4E" w:rsidRPr="007314B0">
        <w:t>é</w:t>
      </w:r>
      <w:r w:rsidRPr="007314B0">
        <w:t>nofovir</w:t>
      </w:r>
      <w:proofErr w:type="spellEnd"/>
      <w:r w:rsidRPr="007314B0">
        <w:t xml:space="preserve"> </w:t>
      </w:r>
      <w:proofErr w:type="spellStart"/>
      <w:r w:rsidRPr="007314B0">
        <w:t>disoproxil</w:t>
      </w:r>
      <w:proofErr w:type="spellEnd"/>
      <w:r w:rsidRPr="007314B0">
        <w:t xml:space="preserve"> fumarate (TDF) en PrEP orale quotidienne ou ponctuelle, l’anneau vaginal mensuel à la dapivirine (appelé ci-après « l’anneau de PrEP » ou « l’anneau ») et le </w:t>
      </w:r>
      <w:proofErr w:type="spellStart"/>
      <w:r w:rsidRPr="007314B0">
        <w:t>cabotégravir</w:t>
      </w:r>
      <w:proofErr w:type="spellEnd"/>
      <w:r w:rsidRPr="007314B0">
        <w:t xml:space="preserve"> injectable (la </w:t>
      </w:r>
      <w:r w:rsidR="006F0C4E" w:rsidRPr="007314B0">
        <w:t xml:space="preserve">CAB </w:t>
      </w:r>
      <w:r w:rsidRPr="007314B0">
        <w:t xml:space="preserve">PrEP), qui sont les trois méthodes de PrEP actuellement recommandées par l’OMS et approuvées </w:t>
      </w:r>
      <w:r w:rsidRPr="007314B0">
        <w:rPr>
          <w:color w:val="FF0000"/>
        </w:rPr>
        <w:t>en/au [pays]</w:t>
      </w:r>
      <w:r w:rsidRPr="007314B0">
        <w:rPr>
          <w:color w:val="000000" w:themeColor="text1"/>
        </w:rPr>
        <w:t>.</w:t>
      </w:r>
    </w:p>
    <w:p w14:paraId="7E0E2243" w14:textId="4BA25768" w:rsidR="00765FC5" w:rsidRPr="007314B0" w:rsidRDefault="069B7908" w:rsidP="7D32EE1A">
      <w:pPr>
        <w:pBdr>
          <w:top w:val="nil"/>
          <w:left w:val="nil"/>
          <w:bottom w:val="nil"/>
          <w:right w:val="nil"/>
          <w:between w:val="nil"/>
        </w:pBdr>
        <w:spacing w:after="120" w:line="240" w:lineRule="auto"/>
        <w:rPr>
          <w:color w:val="000000"/>
        </w:rPr>
      </w:pPr>
      <w:r w:rsidRPr="007314B0">
        <w:rPr>
          <w:color w:val="000000" w:themeColor="text1"/>
        </w:rPr>
        <w:t xml:space="preserve">Avec la disponibilité d’un plus grand nombre de méthodes de PrEP, un choix éclairé est un facteur important à prendre en compte dans les interactions et la prise de décision entre le patient et le prestataire, notamment parce que les patients qui peuvent choisir le produit qu’ils préfèrent sont plus susceptibles de l’utiliser efficacement. </w:t>
      </w:r>
      <w:r w:rsidRPr="007314B0">
        <w:t>Proposer des choix de PrEP supplémentaires et aider les patients à choisir leurs méthodes préférées permet d’avoir une meilleure prise en charge et une utilisation plus efficace de la PrEP.</w:t>
      </w:r>
      <w:r w:rsidR="00112E3E" w:rsidRPr="007314B0">
        <w:t xml:space="preserve"> Au-delà de la prévention de l'acquisition du VIH, la PrEP présente également des avantages supplémentaires identifiés par les utilisateurs liés au bien-être émotionnel, social et physique ; ces préférences basées sur des valeurs éclairent également la sélection de la méthode et peuvent être intégrées dans la prise de décision partagée qui centre l’expérience souhaitée du client tout en bénéficiant de la PrEP.</w:t>
      </w:r>
      <w:r w:rsidRPr="007314B0">
        <w:t xml:space="preserve"> </w:t>
      </w:r>
      <w:r w:rsidRPr="007314B0">
        <w:rPr>
          <w:color w:val="000000" w:themeColor="text1"/>
        </w:rPr>
        <w:t xml:space="preserve">Ces directives comprennent </w:t>
      </w:r>
      <w:r w:rsidR="005A0F2A" w:rsidRPr="007314B0">
        <w:rPr>
          <w:color w:val="000000" w:themeColor="text1"/>
        </w:rPr>
        <w:t xml:space="preserve">aussi </w:t>
      </w:r>
      <w:r w:rsidRPr="007314B0">
        <w:rPr>
          <w:color w:val="000000" w:themeColor="text1"/>
        </w:rPr>
        <w:t xml:space="preserve">des points à prendre en compte pour les prestataires de soins de santé afin qu’ils puissent aider les patients à faire des choix éclairés concernant leurs méthodes de PrEP préférées. </w:t>
      </w:r>
      <w:r w:rsidRPr="007314B0">
        <w:t>Dans la mesure du possible, plusieurs produits de PrEP devraient être proposés pour permettre ce choix éclairé.</w:t>
      </w:r>
    </w:p>
    <w:p w14:paraId="3A9DCFC2" w14:textId="53CEA0B9" w:rsidR="00617AF0" w:rsidRPr="007314B0" w:rsidRDefault="0B0707B2" w:rsidP="1D9AD929">
      <w:pPr>
        <w:pStyle w:val="RISEBodyText"/>
        <w:spacing w:after="120"/>
        <w:rPr>
          <w:rFonts w:asciiTheme="minorHAnsi" w:hAnsiTheme="minorHAnsi" w:cstheme="minorBidi"/>
          <w:color w:val="auto"/>
        </w:rPr>
      </w:pPr>
      <w:r w:rsidRPr="007314B0">
        <w:rPr>
          <w:color w:val="000000"/>
        </w:rPr>
        <w:t xml:space="preserve">D’autres produits de PrEP sont en cours de développement, de test et d’examen. Des directives sur les autres produits de PrEP approuvés seront mises à disposition selon les besoins. </w:t>
      </w:r>
      <w:r w:rsidRPr="007314B0">
        <w:rPr>
          <w:rFonts w:asciiTheme="minorHAnsi" w:hAnsiTheme="minorHAnsi"/>
        </w:rPr>
        <w:t>La PrEP, à laquelle on ajoute d’autres stratégies de prévention du VIH comme l’utilisation du préservatif et de lubrifiants compatibles avec les préservatifs, la réduction des risques et le traitement de la toxicomanie, un traitement antirétroviral efficace pour les partenaires qui vivent avec le VIH, selon les besoins, et l’engagement du prestataire avec le patient pour comprendre quel soutien ou quelles orientations pourraient être utiles pour soutenir une utilisation efficace, peut réduire encore davantage le risque de contracter le VIH.</w:t>
      </w:r>
      <w:r w:rsidR="00531DB2" w:rsidRPr="007314B0">
        <w:rPr>
          <w:rStyle w:val="FootnoteReference"/>
          <w:rFonts w:asciiTheme="minorHAnsi" w:hAnsiTheme="minorHAnsi" w:cstheme="minorBidi"/>
          <w:color w:val="auto"/>
        </w:rPr>
        <w:footnoteReference w:id="2"/>
      </w:r>
      <w:r w:rsidRPr="007314B0">
        <w:rPr>
          <w:rFonts w:asciiTheme="minorHAnsi" w:hAnsiTheme="minorHAnsi"/>
          <w:vertAlign w:val="superscript"/>
        </w:rPr>
        <w:t>,</w:t>
      </w:r>
      <w:r w:rsidRPr="007314B0">
        <w:rPr>
          <w:rFonts w:asciiTheme="minorHAnsi" w:hAnsiTheme="minorHAnsi"/>
          <w:color w:val="auto"/>
        </w:rPr>
        <w:t xml:space="preserve"> </w:t>
      </w:r>
      <w:r w:rsidR="00D512A2" w:rsidRPr="007314B0">
        <w:rPr>
          <w:rStyle w:val="FootnoteReference"/>
          <w:rFonts w:asciiTheme="minorHAnsi" w:hAnsiTheme="minorHAnsi" w:cstheme="minorBidi"/>
          <w:color w:val="auto"/>
        </w:rPr>
        <w:footnoteReference w:id="3"/>
      </w:r>
      <w:r w:rsidR="39928AAA" w:rsidRPr="007314B0">
        <w:rPr>
          <w:rStyle w:val="FootnoteReference"/>
          <w:rFonts w:asciiTheme="minorHAnsi" w:hAnsiTheme="minorHAnsi" w:cstheme="minorBidi"/>
          <w:color w:val="auto"/>
        </w:rPr>
        <w:t xml:space="preserve"> </w:t>
      </w:r>
      <w:r w:rsidRPr="007314B0">
        <w:rPr>
          <w:rStyle w:val="FootnoteReference"/>
          <w:rFonts w:asciiTheme="minorHAnsi" w:hAnsiTheme="minorHAnsi"/>
          <w:color w:val="auto"/>
        </w:rPr>
        <w:t xml:space="preserve"> </w:t>
      </w:r>
      <w:r w:rsidRPr="007314B0">
        <w:rPr>
          <w:rFonts w:asciiTheme="minorHAnsi" w:hAnsiTheme="minorHAnsi"/>
          <w:color w:val="auto"/>
        </w:rPr>
        <w:t xml:space="preserve"> </w:t>
      </w:r>
    </w:p>
    <w:p w14:paraId="06094F9A" w14:textId="544B60A5" w:rsidR="00DE1AD6" w:rsidRPr="007314B0" w:rsidRDefault="398DD0E6" w:rsidP="007E2C76">
      <w:r w:rsidRPr="007314B0">
        <w:t xml:space="preserve">Pour prévenir toute grossesse non désirée et les IST autres que le VIH, il est important d’utiliser la PrEP en combinaison avec des préservatifs et un lubrifiant compatible avec les préservatifs lorsque cela est possible. Une contraception efficace peut prévenir les grossesses non désirées, mais le préservatif est la seule méthode pouvant prévenir à la fois les grossesses non désirées et les IST </w:t>
      </w:r>
      <w:r w:rsidR="009E58A2" w:rsidRPr="007314B0">
        <w:t>s’il</w:t>
      </w:r>
      <w:r w:rsidRPr="007314B0">
        <w:t xml:space="preserve"> est correctement utilisé. </w:t>
      </w:r>
    </w:p>
    <w:p w14:paraId="18856C0E" w14:textId="65184763" w:rsidR="00B30102" w:rsidRPr="007314B0" w:rsidRDefault="00D13C2B" w:rsidP="00DD508F">
      <w:pPr>
        <w:pStyle w:val="Heading2"/>
        <w:spacing w:before="0" w:after="120" w:line="240" w:lineRule="auto"/>
        <w:rPr>
          <w:rFonts w:asciiTheme="minorHAnsi" w:hAnsiTheme="minorHAnsi" w:cstheme="minorBidi"/>
        </w:rPr>
      </w:pPr>
      <w:bookmarkStart w:id="3" w:name="_Toc124428484"/>
      <w:r w:rsidRPr="007314B0">
        <w:rPr>
          <w:rFonts w:asciiTheme="minorHAnsi" w:hAnsiTheme="minorHAnsi"/>
        </w:rPr>
        <w:lastRenderedPageBreak/>
        <w:t>Présentation de la PrEP orale</w:t>
      </w:r>
      <w:bookmarkEnd w:id="3"/>
    </w:p>
    <w:p w14:paraId="3AE1BD89" w14:textId="01ADD043" w:rsidR="00B71860" w:rsidRPr="007314B0" w:rsidRDefault="0B87C15F" w:rsidP="00EB5B7A">
      <w:pPr>
        <w:pStyle w:val="RISEBodyText"/>
        <w:spacing w:after="120"/>
        <w:rPr>
          <w:rFonts w:cstheme="minorBidi"/>
          <w:color w:val="auto"/>
        </w:rPr>
        <w:sectPr w:rsidR="00B71860" w:rsidRPr="007314B0" w:rsidSect="00BB5BA3">
          <w:footerReference w:type="default" r:id="rId19"/>
          <w:footerReference w:type="first" r:id="rId20"/>
          <w:pgSz w:w="11906" w:h="16838"/>
          <w:pgMar w:top="720" w:right="720" w:bottom="720" w:left="720" w:header="708" w:footer="708" w:gutter="0"/>
          <w:pgNumType w:start="1"/>
          <w:cols w:space="720"/>
          <w:titlePg/>
          <w:docGrid w:linePitch="299"/>
        </w:sectPr>
      </w:pPr>
      <w:r w:rsidRPr="007314B0">
        <w:rPr>
          <w:color w:val="auto"/>
        </w:rPr>
        <w:t>Un examen systématique et une méta-analyse des essais de PrEP orale quotidienne à base de TDF ont démontré l’efficacité de la PrEP orale pour réduire le risque de contracter le VIH.</w:t>
      </w:r>
      <w:r w:rsidR="004137BC" w:rsidRPr="007314B0">
        <w:rPr>
          <w:rStyle w:val="FootnoteReference"/>
          <w:color w:val="auto"/>
        </w:rPr>
        <w:footnoteReference w:id="4"/>
      </w:r>
      <w:r w:rsidRPr="007314B0">
        <w:rPr>
          <w:color w:val="auto"/>
        </w:rPr>
        <w:t xml:space="preserve"> </w:t>
      </w:r>
      <w:r w:rsidRPr="007314B0">
        <w:rPr>
          <w:color w:val="000000" w:themeColor="text1"/>
        </w:rPr>
        <w:t xml:space="preserve">Le niveau d’efficacité ne diffère pas en fonction de l’âge, du sexe, du régime (TDF seul ou TDF + </w:t>
      </w:r>
      <w:proofErr w:type="spellStart"/>
      <w:r w:rsidRPr="007314B0">
        <w:rPr>
          <w:color w:val="000000" w:themeColor="text1"/>
        </w:rPr>
        <w:t>emtricitabine</w:t>
      </w:r>
      <w:proofErr w:type="spellEnd"/>
      <w:r w:rsidRPr="007314B0">
        <w:rPr>
          <w:color w:val="000000" w:themeColor="text1"/>
        </w:rPr>
        <w:t xml:space="preserve"> [FTC]) ou du mode d’exposition sexuelle potentielle (exposition rectale, pénienne ou vaginale) lorsque la PrEP est utilisée en suivant les directives. On dispose </w:t>
      </w:r>
      <w:r w:rsidRPr="007314B0">
        <w:rPr>
          <w:color w:val="auto"/>
        </w:rPr>
        <w:t>de peu de preuves sur l’efficacité de la PrEP orale en cas d’exposition parentérale, bien que les patients avec des expositions parentérales potentielles pourraient bénéficier de la PrEP pour les expositions sexuelles.</w:t>
      </w:r>
      <w:r w:rsidR="00B81FE8" w:rsidRPr="007314B0">
        <w:rPr>
          <w:rStyle w:val="FootnoteReference"/>
          <w:color w:val="auto"/>
        </w:rPr>
        <w:footnoteReference w:id="5"/>
      </w:r>
      <w:r w:rsidRPr="007314B0">
        <w:rPr>
          <w:color w:val="auto"/>
        </w:rPr>
        <w:t xml:space="preserve"> </w:t>
      </w:r>
    </w:p>
    <w:p w14:paraId="521800A1" w14:textId="54A68E8C" w:rsidR="00B2488D" w:rsidRPr="007314B0" w:rsidRDefault="0B87C15F" w:rsidP="1D9AD929">
      <w:pPr>
        <w:pStyle w:val="RISEBodyText"/>
        <w:spacing w:after="120"/>
        <w:rPr>
          <w:rFonts w:asciiTheme="minorHAnsi" w:hAnsiTheme="minorHAnsi" w:cstheme="minorBidi"/>
          <w:color w:val="auto"/>
        </w:rPr>
      </w:pPr>
      <w:r w:rsidRPr="007314B0">
        <w:rPr>
          <w:color w:val="auto"/>
        </w:rPr>
        <w:t xml:space="preserve">La PrEP ponctuelle (ED-PrEP), qu’on appelle également la PrEP à la demande ou 2+1+1, est efficace pour réduire les risques de contracter le VIH lors de rapports sexuels pour les personnes déclarées de sexe masculin à la naissance (AMAB) </w:t>
      </w:r>
      <w:bookmarkStart w:id="4" w:name="_Hlk100132693"/>
      <w:r w:rsidRPr="007314B0">
        <w:rPr>
          <w:color w:val="auto"/>
        </w:rPr>
        <w:t>qui n’utilisent pas d’hormones exogènes à base d’œstradiol</w:t>
      </w:r>
      <w:bookmarkEnd w:id="4"/>
      <w:r w:rsidRPr="007314B0">
        <w:rPr>
          <w:color w:val="auto"/>
        </w:rPr>
        <w:t>.</w:t>
      </w:r>
      <w:r w:rsidR="009D5380" w:rsidRPr="007314B0">
        <w:rPr>
          <w:color w:val="auto"/>
          <w:vertAlign w:val="superscript"/>
        </w:rPr>
        <w:footnoteReference w:id="6"/>
      </w:r>
      <w:r w:rsidRPr="007314B0">
        <w:rPr>
          <w:color w:val="auto"/>
          <w:vertAlign w:val="superscript"/>
        </w:rPr>
        <w:t>,</w:t>
      </w:r>
      <w:r w:rsidR="004655C6" w:rsidRPr="007314B0">
        <w:rPr>
          <w:color w:val="auto"/>
          <w:vertAlign w:val="superscript"/>
        </w:rPr>
        <w:footnoteReference w:id="7"/>
      </w:r>
      <w:r w:rsidRPr="007314B0">
        <w:rPr>
          <w:color w:val="auto"/>
          <w:vertAlign w:val="superscript"/>
        </w:rPr>
        <w:t>,</w:t>
      </w:r>
      <w:r w:rsidR="00F56C2C" w:rsidRPr="007314B0">
        <w:rPr>
          <w:color w:val="auto"/>
          <w:vertAlign w:val="superscript"/>
        </w:rPr>
        <w:footnoteReference w:id="8"/>
      </w:r>
      <w:r w:rsidRPr="007314B0">
        <w:rPr>
          <w:color w:val="auto"/>
        </w:rPr>
        <w:t xml:space="preserve"> De plus amples détails sur le mode d’utilisation de l’ED-PrEP sont disponibles dans la section </w:t>
      </w:r>
      <w:r w:rsidRPr="007314B0">
        <w:rPr>
          <w:i/>
          <w:iCs/>
          <w:color w:val="auto"/>
        </w:rPr>
        <w:t>Directives supplémentaires pour l’utilisation de l’ED-PrEP</w:t>
      </w:r>
      <w:r w:rsidRPr="007314B0">
        <w:rPr>
          <w:color w:val="auto"/>
        </w:rPr>
        <w:t xml:space="preserve"> ci-dessous.</w:t>
      </w:r>
      <w:r w:rsidRPr="007314B0">
        <w:rPr>
          <w:rFonts w:asciiTheme="minorHAnsi" w:hAnsiTheme="minorHAnsi"/>
          <w:i/>
          <w:iCs/>
          <w:color w:val="auto"/>
        </w:rPr>
        <w:t xml:space="preserve"> </w:t>
      </w:r>
    </w:p>
    <w:p w14:paraId="2D748BB4" w14:textId="77777777" w:rsidR="004C586E" w:rsidRPr="007314B0" w:rsidRDefault="004C586E" w:rsidP="00DD508F">
      <w:pPr>
        <w:pStyle w:val="Heading3"/>
        <w:spacing w:before="0" w:after="120" w:line="240" w:lineRule="auto"/>
        <w:rPr>
          <w:rFonts w:asciiTheme="minorHAnsi" w:hAnsiTheme="minorHAnsi" w:cstheme="minorBidi"/>
        </w:rPr>
      </w:pPr>
      <w:bookmarkStart w:id="5" w:name="_Toc124428485"/>
      <w:r w:rsidRPr="007314B0">
        <w:rPr>
          <w:rFonts w:asciiTheme="minorHAnsi" w:hAnsiTheme="minorHAnsi"/>
        </w:rPr>
        <w:t>Médicaments approuvés pour la PrEP orale</w:t>
      </w:r>
      <w:bookmarkEnd w:id="5"/>
    </w:p>
    <w:p w14:paraId="08973FBB" w14:textId="4F78A4EC" w:rsidR="004C586E" w:rsidRPr="007314B0" w:rsidRDefault="004C586E" w:rsidP="00DD508F">
      <w:pPr>
        <w:pBdr>
          <w:top w:val="nil"/>
          <w:left w:val="nil"/>
          <w:bottom w:val="nil"/>
          <w:right w:val="nil"/>
          <w:between w:val="nil"/>
        </w:pBdr>
        <w:spacing w:after="120" w:line="240" w:lineRule="auto"/>
        <w:rPr>
          <w:color w:val="FF0000"/>
        </w:rPr>
      </w:pPr>
      <w:r w:rsidRPr="007314B0">
        <w:rPr>
          <w:color w:val="FF0000"/>
        </w:rPr>
        <w:t>[En/au pays]</w:t>
      </w:r>
      <w:r w:rsidRPr="007314B0">
        <w:rPr>
          <w:color w:val="000000" w:themeColor="text1"/>
        </w:rPr>
        <w:t>,</w:t>
      </w:r>
      <w:r w:rsidRPr="007314B0">
        <w:t xml:space="preserve"> le </w:t>
      </w:r>
      <w:proofErr w:type="spellStart"/>
      <w:r w:rsidRPr="007314B0">
        <w:t>ténofovir</w:t>
      </w:r>
      <w:proofErr w:type="spellEnd"/>
      <w:r w:rsidRPr="007314B0">
        <w:t xml:space="preserve"> TDF 300 mg/FTC 200 mg ou le TDF 300 mg/</w:t>
      </w:r>
      <w:proofErr w:type="spellStart"/>
      <w:r w:rsidRPr="007314B0">
        <w:t>lamivudine</w:t>
      </w:r>
      <w:proofErr w:type="spellEnd"/>
      <w:r w:rsidRPr="007314B0">
        <w:t xml:space="preserve"> (3TC) 300 mg peuvent être utilisés pour la PrEP orale.</w:t>
      </w:r>
      <w:r w:rsidRPr="007314B0">
        <w:rPr>
          <w:color w:val="000000" w:themeColor="text1"/>
        </w:rPr>
        <w:t xml:space="preserve"> </w:t>
      </w:r>
      <w:r w:rsidRPr="007314B0">
        <w:t xml:space="preserve">Le médicament préféré à l’heure actuelle pour la PrEP orale est le </w:t>
      </w:r>
      <w:r w:rsidRPr="007314B0">
        <w:rPr>
          <w:color w:val="FF0000"/>
        </w:rPr>
        <w:t xml:space="preserve">[TDF/FTC ou TDF/3TC]. </w:t>
      </w:r>
    </w:p>
    <w:tbl>
      <w:tblPr>
        <w:tblW w:w="0" w:type="auto"/>
        <w:tblLook w:val="04A0" w:firstRow="1" w:lastRow="0" w:firstColumn="1" w:lastColumn="0" w:noHBand="0" w:noVBand="1"/>
      </w:tblPr>
      <w:tblGrid>
        <w:gridCol w:w="10456"/>
      </w:tblGrid>
      <w:tr w:rsidR="00A14823" w:rsidRPr="007314B0" w14:paraId="21FABCDF" w14:textId="77777777" w:rsidTr="1D9AD929">
        <w:tc>
          <w:tcPr>
            <w:tcW w:w="10456" w:type="dxa"/>
            <w:shd w:val="clear" w:color="auto" w:fill="C5E0B3" w:themeFill="accent6" w:themeFillTint="66"/>
          </w:tcPr>
          <w:p w14:paraId="7B164FA7" w14:textId="5CAF66AA" w:rsidR="00A14823" w:rsidRPr="007314B0" w:rsidRDefault="0E2F67CB" w:rsidP="74385935">
            <w:pPr>
              <w:spacing w:after="120"/>
              <w:rPr>
                <w:b/>
                <w:bCs/>
                <w:color w:val="FF0000"/>
              </w:rPr>
            </w:pPr>
            <w:r w:rsidRPr="007314B0">
              <w:rPr>
                <w:b/>
                <w:bCs/>
              </w:rPr>
              <w:t xml:space="preserve">Point à prendre en compte : </w:t>
            </w:r>
            <w:r w:rsidRPr="007314B0">
              <w:t>L’OMS recommande l’utilisation de la PrEP orale contenant du TDF. La plupart des programmes nationaux ont adopté le TDF/FTC et/ou le TDF/3TC pour la PrEP orale.</w:t>
            </w:r>
            <w:r w:rsidR="001D5712" w:rsidRPr="007314B0">
              <w:rPr>
                <w:rStyle w:val="FootnoteReference"/>
              </w:rPr>
              <w:footnoteReference w:id="9"/>
            </w:r>
            <w:r w:rsidRPr="007314B0">
              <w:t xml:space="preserve"> Il faut noter que le TDF en monothérapie risque de ne pas convenir à toutes les populations. L’OMS ne recommande actuellement pas l’</w:t>
            </w:r>
            <w:proofErr w:type="spellStart"/>
            <w:r w:rsidRPr="007314B0">
              <w:t>emtricitabine</w:t>
            </w:r>
            <w:proofErr w:type="spellEnd"/>
            <w:r w:rsidRPr="007314B0">
              <w:t>/</w:t>
            </w:r>
            <w:proofErr w:type="spellStart"/>
            <w:r w:rsidRPr="007314B0">
              <w:t>t</w:t>
            </w:r>
            <w:r w:rsidR="009E58A2" w:rsidRPr="007314B0">
              <w:t>é</w:t>
            </w:r>
            <w:r w:rsidRPr="007314B0">
              <w:t>nofovir</w:t>
            </w:r>
            <w:proofErr w:type="spellEnd"/>
            <w:r w:rsidRPr="007314B0">
              <w:t xml:space="preserve"> </w:t>
            </w:r>
            <w:proofErr w:type="spellStart"/>
            <w:r w:rsidRPr="007314B0">
              <w:t>alaf</w:t>
            </w:r>
            <w:r w:rsidR="009E58A2" w:rsidRPr="007314B0">
              <w:t>é</w:t>
            </w:r>
            <w:r w:rsidRPr="007314B0">
              <w:t>namide</w:t>
            </w:r>
            <w:proofErr w:type="spellEnd"/>
            <w:r w:rsidRPr="007314B0">
              <w:t xml:space="preserve"> (FTC/TAF) pour la PrEP ; la Food and Drug Administration des États-Unis a approuvé son utilisation sous forme de </w:t>
            </w:r>
            <w:r w:rsidR="009E58A2" w:rsidRPr="007314B0">
              <w:t>traitement</w:t>
            </w:r>
            <w:r w:rsidRPr="007314B0">
              <w:t xml:space="preserve"> quotidien pour réduire le risque de contracter le VIH par voie sexuelle, à l’exclusion des personnes qui peuvent être exposées au VIH par voie de rapports vaginaux réceptifs. Le FTC/TAF n’a pas été approuvé pour la prévention de l’acquisition parentérale. Ce document se concentre uniquement sur l’utilisation du TDF/FTC et du TDF/3TC pour la PrEP orale. Les pays devraient envisager d’inclure le TDF/FTC et le TDF/3TC dans les médicaments approuvés pour la PrEP. En effet, la possibilité d’utiliser l’une ou l’autre série de médicaments approuvés peut être bénéfique lorsque le traitement de première ligne des personnes qui vivent avec le VIH passe au </w:t>
            </w:r>
            <w:proofErr w:type="spellStart"/>
            <w:r w:rsidRPr="007314B0">
              <w:t>ténofovir</w:t>
            </w:r>
            <w:proofErr w:type="spellEnd"/>
            <w:r w:rsidRPr="007314B0">
              <w:t xml:space="preserve">, à la </w:t>
            </w:r>
            <w:proofErr w:type="spellStart"/>
            <w:r w:rsidRPr="007314B0">
              <w:t>lamivudine</w:t>
            </w:r>
            <w:proofErr w:type="spellEnd"/>
            <w:r w:rsidRPr="007314B0">
              <w:t xml:space="preserve"> et au </w:t>
            </w:r>
            <w:proofErr w:type="spellStart"/>
            <w:r w:rsidRPr="007314B0">
              <w:t>dolutégravir</w:t>
            </w:r>
            <w:proofErr w:type="spellEnd"/>
            <w:r w:rsidRPr="007314B0">
              <w:t xml:space="preserve">, ce qui libère potentiellement le TDF/3TC, ou si des problèmes de chaîne d’approvisionnement affectent la disponibilité de l’un des médicaments recommandés. </w:t>
            </w:r>
          </w:p>
        </w:tc>
      </w:tr>
    </w:tbl>
    <w:p w14:paraId="2D461287" w14:textId="77777777" w:rsidR="2DD69692" w:rsidRPr="007314B0" w:rsidRDefault="2DD69692"/>
    <w:p w14:paraId="3FD5B34D" w14:textId="455965CF" w:rsidR="00A24DC2" w:rsidRPr="007314B0" w:rsidRDefault="00A24DC2" w:rsidP="00096DD1">
      <w:pPr>
        <w:pStyle w:val="Heading3"/>
        <w:spacing w:before="120" w:after="120" w:line="240" w:lineRule="auto"/>
        <w:rPr>
          <w:rFonts w:asciiTheme="minorHAnsi" w:hAnsiTheme="minorHAnsi" w:cstheme="minorBidi"/>
        </w:rPr>
      </w:pPr>
      <w:bookmarkStart w:id="6" w:name="_Toc124428486"/>
      <w:r w:rsidRPr="007314B0">
        <w:rPr>
          <w:rFonts w:asciiTheme="minorHAnsi" w:hAnsiTheme="minorHAnsi"/>
        </w:rPr>
        <w:lastRenderedPageBreak/>
        <w:t>Efficacité de la PrEP orale</w:t>
      </w:r>
      <w:bookmarkEnd w:id="6"/>
    </w:p>
    <w:p w14:paraId="78B21C17" w14:textId="6434F249" w:rsidR="00617AF0" w:rsidRPr="007314B0" w:rsidRDefault="53BC92EB" w:rsidP="1D9AD929">
      <w:pPr>
        <w:pStyle w:val="RISEBodyText"/>
        <w:spacing w:after="120"/>
        <w:rPr>
          <w:rFonts w:asciiTheme="minorHAnsi" w:hAnsiTheme="minorHAnsi" w:cstheme="minorBidi"/>
          <w:color w:val="auto"/>
        </w:rPr>
      </w:pPr>
      <w:r w:rsidRPr="007314B0">
        <w:rPr>
          <w:rFonts w:asciiTheme="minorHAnsi" w:hAnsiTheme="minorHAnsi"/>
        </w:rPr>
        <w:t>Lorsqu’elle est utilisée selon les consignes, la PrEP orale quotidienne peut réduire de plus de 90 % le risque de contracter le VIH par transmission sexuelle.</w:t>
      </w:r>
      <w:r w:rsidR="00FC5986" w:rsidRPr="007314B0">
        <w:rPr>
          <w:rStyle w:val="FootnoteReference"/>
          <w:rFonts w:asciiTheme="minorHAnsi" w:hAnsiTheme="minorHAnsi" w:cstheme="minorBidi"/>
          <w:color w:val="000000"/>
        </w:rPr>
        <w:footnoteReference w:id="10"/>
      </w:r>
      <w:r w:rsidRPr="007314B0">
        <w:rPr>
          <w:rFonts w:asciiTheme="minorHAnsi" w:hAnsiTheme="minorHAnsi"/>
          <w:color w:val="000000"/>
          <w:vertAlign w:val="superscript"/>
        </w:rPr>
        <w:t>,</w:t>
      </w:r>
      <w:r w:rsidR="00E9179B" w:rsidRPr="007314B0">
        <w:rPr>
          <w:rStyle w:val="FootnoteReference"/>
          <w:rFonts w:asciiTheme="minorHAnsi" w:hAnsiTheme="minorHAnsi" w:cstheme="minorBidi"/>
          <w:color w:val="000000"/>
        </w:rPr>
        <w:footnoteReference w:id="11"/>
      </w:r>
      <w:r w:rsidRPr="007314B0">
        <w:rPr>
          <w:rFonts w:asciiTheme="minorHAnsi" w:hAnsiTheme="minorHAnsi"/>
          <w:color w:val="000000"/>
          <w:vertAlign w:val="superscript"/>
        </w:rPr>
        <w:t>,</w:t>
      </w:r>
      <w:r w:rsidR="009F3FE2" w:rsidRPr="007314B0">
        <w:rPr>
          <w:rStyle w:val="FootnoteReference"/>
          <w:rFonts w:asciiTheme="minorHAnsi" w:hAnsiTheme="minorHAnsi" w:cstheme="minorBidi"/>
          <w:color w:val="000000"/>
        </w:rPr>
        <w:footnoteReference w:id="12"/>
      </w:r>
      <w:r w:rsidRPr="007314B0">
        <w:rPr>
          <w:rFonts w:asciiTheme="minorHAnsi" w:hAnsiTheme="minorHAnsi"/>
          <w:color w:val="000000"/>
        </w:rPr>
        <w:t xml:space="preserve"> </w:t>
      </w:r>
      <w:r w:rsidRPr="007314B0">
        <w:rPr>
          <w:rFonts w:asciiTheme="minorHAnsi" w:hAnsiTheme="minorHAnsi"/>
        </w:rPr>
        <w:t>Chez les personnes AMAB qui n’utilisent pas d’hormones exogènes à base d’œstradiol, les traitements d’ED-PrEP sont tout aussi efficaces pour réduire le risque de contracter le VIH par transmission sexuelle.</w:t>
      </w:r>
      <w:r w:rsidR="00FE76CA" w:rsidRPr="007314B0">
        <w:rPr>
          <w:rStyle w:val="FootnoteReference"/>
          <w:rFonts w:asciiTheme="minorHAnsi" w:hAnsiTheme="minorHAnsi" w:cstheme="minorBidi"/>
          <w:color w:val="auto"/>
        </w:rPr>
        <w:footnoteReference w:id="13"/>
      </w:r>
      <w:r w:rsidRPr="007314B0">
        <w:rPr>
          <w:rFonts w:asciiTheme="minorHAnsi" w:hAnsiTheme="minorHAnsi"/>
          <w:vertAlign w:val="superscript"/>
        </w:rPr>
        <w:t>,</w:t>
      </w:r>
      <w:r w:rsidR="00CD5706" w:rsidRPr="007314B0">
        <w:rPr>
          <w:rStyle w:val="FootnoteReference"/>
          <w:rFonts w:asciiTheme="minorHAnsi" w:hAnsiTheme="minorHAnsi" w:cstheme="minorBidi"/>
          <w:color w:val="auto"/>
        </w:rPr>
        <w:footnoteReference w:id="14"/>
      </w:r>
    </w:p>
    <w:p w14:paraId="2E6948E4" w14:textId="5427A7CC" w:rsidR="00F47FBB" w:rsidRPr="007314B0" w:rsidRDefault="001F6779" w:rsidP="00DD508F">
      <w:pPr>
        <w:pStyle w:val="Heading3"/>
        <w:spacing w:before="0" w:after="120" w:line="240" w:lineRule="auto"/>
        <w:rPr>
          <w:rFonts w:asciiTheme="minorHAnsi" w:hAnsiTheme="minorHAnsi" w:cstheme="minorBidi"/>
        </w:rPr>
      </w:pPr>
      <w:bookmarkStart w:id="7" w:name="_Toc124428487"/>
      <w:r w:rsidRPr="007314B0">
        <w:rPr>
          <w:rFonts w:asciiTheme="minorHAnsi" w:hAnsiTheme="minorHAnsi"/>
        </w:rPr>
        <w:t>Effets secondaires potentiels de la PrEP orale</w:t>
      </w:r>
      <w:bookmarkEnd w:id="7"/>
    </w:p>
    <w:p w14:paraId="181E209C" w14:textId="65E57AAE" w:rsidR="00F47FBB" w:rsidRPr="007314B0" w:rsidRDefault="00C850CC" w:rsidP="00DD508F">
      <w:pPr>
        <w:spacing w:after="120" w:line="240" w:lineRule="auto"/>
      </w:pPr>
      <w:r w:rsidRPr="007314B0">
        <w:t>Environ 10 % des personnes peuvent ressentir des effets secondaires avec l’utilisation de la PrEP orale. Ces effets, qui sont généralement légers, comprennent : </w:t>
      </w:r>
    </w:p>
    <w:p w14:paraId="56D5B100" w14:textId="6FE6ADC2" w:rsidR="00F47FBB" w:rsidRPr="007314B0" w:rsidRDefault="00F47FBB" w:rsidP="00391C93">
      <w:pPr>
        <w:numPr>
          <w:ilvl w:val="0"/>
          <w:numId w:val="10"/>
        </w:numPr>
        <w:spacing w:after="120" w:line="240" w:lineRule="auto"/>
        <w:rPr>
          <w:rFonts w:cstheme="minorHAnsi"/>
        </w:rPr>
      </w:pPr>
      <w:r w:rsidRPr="007314B0">
        <w:t>Des symptômes gastrointestinaux (diarrhée et nausée, diminution de l’appétit, crampes abdominales et flatulences)</w:t>
      </w:r>
    </w:p>
    <w:p w14:paraId="5EF42CE8" w14:textId="7FA4D86B" w:rsidR="00F47FBB" w:rsidRPr="007314B0" w:rsidRDefault="00F47FBB" w:rsidP="00391C93">
      <w:pPr>
        <w:numPr>
          <w:ilvl w:val="0"/>
          <w:numId w:val="10"/>
        </w:numPr>
        <w:spacing w:after="120" w:line="240" w:lineRule="auto"/>
        <w:rPr>
          <w:rFonts w:cstheme="minorHAnsi"/>
        </w:rPr>
      </w:pPr>
      <w:r w:rsidRPr="007314B0">
        <w:t>Des vertiges</w:t>
      </w:r>
    </w:p>
    <w:p w14:paraId="586BAD4D" w14:textId="720F8544" w:rsidR="00F47FBB" w:rsidRPr="007314B0" w:rsidRDefault="00F47FBB" w:rsidP="00391C93">
      <w:pPr>
        <w:numPr>
          <w:ilvl w:val="0"/>
          <w:numId w:val="10"/>
        </w:numPr>
        <w:spacing w:after="120" w:line="240" w:lineRule="auto"/>
        <w:rPr>
          <w:rFonts w:cstheme="minorHAnsi"/>
        </w:rPr>
      </w:pPr>
      <w:r w:rsidRPr="007314B0">
        <w:t>Des maux de tête</w:t>
      </w:r>
    </w:p>
    <w:p w14:paraId="35E447D4" w14:textId="578653CD" w:rsidR="00F47FBB" w:rsidRPr="007314B0" w:rsidRDefault="00F47FBB" w:rsidP="00DD508F">
      <w:pPr>
        <w:spacing w:after="120" w:line="240" w:lineRule="auto"/>
      </w:pPr>
      <w:r w:rsidRPr="007314B0">
        <w:t>La plupart de ces effets secondaires disparaissent en moins d’un mois</w:t>
      </w:r>
      <w:r w:rsidR="00AA56C2" w:rsidRPr="007314B0">
        <w:t xml:space="preserve"> d’une utilisation continue</w:t>
      </w:r>
      <w:r w:rsidRPr="007314B0">
        <w:t>. Bien qu’elle</w:t>
      </w:r>
      <w:r w:rsidR="002E055E" w:rsidRPr="007314B0">
        <w:t>s</w:t>
      </w:r>
      <w:r w:rsidRPr="007314B0">
        <w:t xml:space="preserve"> soi</w:t>
      </w:r>
      <w:r w:rsidR="002E055E" w:rsidRPr="007314B0">
        <w:t>en</w:t>
      </w:r>
      <w:r w:rsidRPr="007314B0">
        <w:t>t rare</w:t>
      </w:r>
      <w:r w:rsidR="00567750" w:rsidRPr="007314B0">
        <w:t>s</w:t>
      </w:r>
      <w:r w:rsidRPr="007314B0">
        <w:t xml:space="preserve">, une diminution de la fonction rénale est aussi un effet secondaire potentiel. </w:t>
      </w:r>
    </w:p>
    <w:p w14:paraId="5860C23F" w14:textId="1359F457" w:rsidR="007717C7" w:rsidRPr="007314B0" w:rsidRDefault="00C57947" w:rsidP="007717C7">
      <w:pPr>
        <w:pStyle w:val="NoSpacing"/>
      </w:pPr>
      <w:r w:rsidRPr="007314B0">
        <w:t xml:space="preserve">Les personnes qui reçoivent un counseling sur les effets secondaires potentiels sont plus susceptibles de continuer la PrEP orale et de bien l’utiliser. </w:t>
      </w:r>
      <w:r w:rsidRPr="007314B0">
        <w:rPr>
          <w:bdr w:val="none" w:sz="0" w:space="0" w:color="auto" w:frame="1"/>
        </w:rPr>
        <w:t>Pour obtenir des informations sur les effets secondaires moins courants, prière de consulter l’étiquette du produit</w:t>
      </w:r>
      <w:r w:rsidR="009E58A2" w:rsidRPr="007314B0">
        <w:rPr>
          <w:bdr w:val="none" w:sz="0" w:space="0" w:color="auto" w:frame="1"/>
        </w:rPr>
        <w:t xml:space="preserve"> concerné</w:t>
      </w:r>
      <w:r w:rsidRPr="007314B0">
        <w:rPr>
          <w:bdr w:val="none" w:sz="0" w:space="0" w:color="auto" w:frame="1"/>
        </w:rPr>
        <w:t xml:space="preserve">. </w:t>
      </w:r>
    </w:p>
    <w:p w14:paraId="1CFB06DD" w14:textId="77777777" w:rsidR="007717C7" w:rsidRPr="007314B0" w:rsidRDefault="007717C7" w:rsidP="007717C7">
      <w:pPr>
        <w:pStyle w:val="NoSpacing"/>
        <w:rPr>
          <w:bdr w:val="none" w:sz="0" w:space="0" w:color="auto" w:frame="1"/>
        </w:rPr>
      </w:pPr>
    </w:p>
    <w:p w14:paraId="455F5DDF" w14:textId="2068325C" w:rsidR="00AC70BA" w:rsidRPr="007314B0" w:rsidRDefault="00AC70BA" w:rsidP="00DD508F">
      <w:pPr>
        <w:pStyle w:val="Heading3"/>
        <w:spacing w:before="0" w:after="120" w:line="240" w:lineRule="auto"/>
        <w:rPr>
          <w:rFonts w:asciiTheme="minorHAnsi" w:hAnsiTheme="minorHAnsi" w:cstheme="minorBidi"/>
        </w:rPr>
      </w:pPr>
      <w:bookmarkStart w:id="8" w:name="_Toc124428488"/>
      <w:r w:rsidRPr="007314B0">
        <w:rPr>
          <w:rFonts w:asciiTheme="minorHAnsi" w:hAnsiTheme="minorHAnsi"/>
        </w:rPr>
        <w:t>Interactions entre la PrEP orale et d’autres médicaments</w:t>
      </w:r>
      <w:bookmarkEnd w:id="8"/>
    </w:p>
    <w:p w14:paraId="5CB9A232" w14:textId="715C1025" w:rsidR="00AC70BA" w:rsidRPr="007314B0" w:rsidRDefault="0E0AB54E"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Les ARV utilisés pour la PrEP orale n’ont aucune interaction connue avec les hormones contraceptives et n’affectent pas les niveaux d’hormones d’affirmation du genre utilisées par les personnes transgenres. </w:t>
      </w:r>
      <w:r w:rsidR="00C41BC7" w:rsidRPr="007314B0">
        <w:t xml:space="preserve"> </w:t>
      </w:r>
      <w:r w:rsidR="00C41BC7" w:rsidRPr="007314B0">
        <w:rPr>
          <w:color w:val="000000" w:themeColor="text1"/>
        </w:rPr>
        <w:t xml:space="preserve">Certaines indications suggèrent que l'utilisation d'hormones exogènes à base d'estradiol pourrait réduire les taux de PrEP orale chez les personnes AMAB. C'est pourquoi la PrEP orale quotidienne est recommandée pour ces personnes, y compris les femmes trans utilisant des hormones exogènes à base d'estradiol, mais la PrEP ED n’est pas </w:t>
      </w:r>
      <w:proofErr w:type="spellStart"/>
      <w:proofErr w:type="gramStart"/>
      <w:r w:rsidR="00C41BC7" w:rsidRPr="007314B0">
        <w:rPr>
          <w:color w:val="000000" w:themeColor="text1"/>
        </w:rPr>
        <w:t>recommandée.</w:t>
      </w:r>
      <w:r w:rsidRPr="007314B0">
        <w:rPr>
          <w:color w:val="000000" w:themeColor="text1"/>
        </w:rPr>
        <w:t>Il</w:t>
      </w:r>
      <w:proofErr w:type="spellEnd"/>
      <w:proofErr w:type="gramEnd"/>
      <w:r w:rsidRPr="007314B0">
        <w:rPr>
          <w:color w:val="000000" w:themeColor="text1"/>
        </w:rPr>
        <w:t xml:space="preserve"> n’existe aucune interaction connue entre les médicaments de PrEP orale et l’alcool ou les drogues récréatives. Cependant, si un patient ou un patient potentiel pense que sa consommation d’alcool ou d’autres substances interfère ou pourrait interférer avec la prise de la PrEP orale prescrite, le prestataire de soins de PrEP doit lui apporter un soutien et l’orienter vers des confrères et, si nécessaire, lui proposer d’autres options de prévention, notamment l’utilisation du préservatif et de lubrifiants compatibles avec les préservatifs et la mise en relation avec des services de réduction des risques s’ils sont disponibles. </w:t>
      </w:r>
    </w:p>
    <w:p w14:paraId="703E1972" w14:textId="46421F03" w:rsidR="00B03AD4" w:rsidRPr="007314B0" w:rsidRDefault="00B03AD4" w:rsidP="00B03AD4">
      <w:pPr>
        <w:spacing w:after="120" w:line="240" w:lineRule="auto"/>
        <w:rPr>
          <w:color w:val="000000" w:themeColor="text1"/>
        </w:rPr>
      </w:pPr>
      <w:r w:rsidRPr="007314B0">
        <w:rPr>
          <w:color w:val="000000" w:themeColor="text1"/>
        </w:rPr>
        <w:t xml:space="preserve">Pour obtenir des informations sur l’utilisation simultanée de la PrEP orale avec d’autres produits de PrEP, prière de consulter la section </w:t>
      </w:r>
      <w:r w:rsidRPr="007314B0">
        <w:rPr>
          <w:i/>
          <w:iCs/>
          <w:color w:val="000000" w:themeColor="text1"/>
        </w:rPr>
        <w:t>Passer d’une méthode de PrEP à une autre et utilisation simultanée</w:t>
      </w:r>
      <w:r w:rsidRPr="007314B0">
        <w:rPr>
          <w:color w:val="000000" w:themeColor="text1"/>
        </w:rPr>
        <w:t xml:space="preserve"> ci-dessous.</w:t>
      </w:r>
    </w:p>
    <w:tbl>
      <w:tblPr>
        <w:tblW w:w="0" w:type="auto"/>
        <w:tblLook w:val="04A0" w:firstRow="1" w:lastRow="0" w:firstColumn="1" w:lastColumn="0" w:noHBand="0" w:noVBand="1"/>
      </w:tblPr>
      <w:tblGrid>
        <w:gridCol w:w="10456"/>
      </w:tblGrid>
      <w:tr w:rsidR="00FD4AE1" w:rsidRPr="007314B0" w14:paraId="6F919757" w14:textId="77777777">
        <w:tc>
          <w:tcPr>
            <w:tcW w:w="10456" w:type="dxa"/>
            <w:shd w:val="clear" w:color="auto" w:fill="C5E0B3" w:themeFill="accent6" w:themeFillTint="66"/>
          </w:tcPr>
          <w:p w14:paraId="3BEC33F2" w14:textId="56B60F06" w:rsidR="00FD4AE1" w:rsidRPr="007314B0" w:rsidRDefault="00FD4AE1" w:rsidP="00FD4AE1">
            <w:pPr>
              <w:spacing w:after="120"/>
            </w:pPr>
            <w:r w:rsidRPr="007314B0">
              <w:rPr>
                <w:b/>
              </w:rPr>
              <w:lastRenderedPageBreak/>
              <w:t xml:space="preserve">Point à prendre en compte : </w:t>
            </w:r>
            <w:r w:rsidRPr="007314B0">
              <w:rPr>
                <w:color w:val="000000" w:themeColor="text1"/>
              </w:rPr>
              <w:t>Il a été démontré que la prise de plusieurs agents néphrotoxiques (tels que des anti-inflammatoires non stéroïdiens) avec le TDF entraîne une néphrotoxicité. Cette combinaison doit donc être évitée dans la mesure du possible.</w:t>
            </w:r>
          </w:p>
        </w:tc>
      </w:tr>
    </w:tbl>
    <w:p w14:paraId="729ACF3C" w14:textId="77777777" w:rsidR="00FD4AE1" w:rsidRPr="007314B0" w:rsidRDefault="00FD4AE1" w:rsidP="00B03AD4">
      <w:pPr>
        <w:spacing w:after="120" w:line="240" w:lineRule="auto"/>
        <w:rPr>
          <w:color w:val="000000" w:themeColor="text1"/>
        </w:rPr>
      </w:pPr>
    </w:p>
    <w:p w14:paraId="7F664241" w14:textId="6E86AB93" w:rsidR="00560EAE" w:rsidRPr="007314B0" w:rsidRDefault="00CE667C" w:rsidP="00DD508F">
      <w:pPr>
        <w:pStyle w:val="Heading3"/>
        <w:spacing w:before="0" w:after="120" w:line="240" w:lineRule="auto"/>
        <w:rPr>
          <w:rFonts w:asciiTheme="minorHAnsi" w:hAnsiTheme="minorHAnsi" w:cstheme="minorBidi"/>
          <w:color w:val="000000"/>
        </w:rPr>
      </w:pPr>
      <w:bookmarkStart w:id="9" w:name="_Toc124428489"/>
      <w:r w:rsidRPr="007314B0">
        <w:rPr>
          <w:noProof/>
        </w:rPr>
        <mc:AlternateContent>
          <mc:Choice Requires="wps">
            <w:drawing>
              <wp:anchor distT="0" distB="0" distL="114300" distR="114300" simplePos="0" relativeHeight="251658240" behindDoc="0" locked="0" layoutInCell="1" hidden="0" allowOverlap="1" wp14:anchorId="406D02CA" wp14:editId="710B6F43">
                <wp:simplePos x="0" y="0"/>
                <wp:positionH relativeFrom="margin">
                  <wp:posOffset>4351655</wp:posOffset>
                </wp:positionH>
                <wp:positionV relativeFrom="paragraph">
                  <wp:posOffset>24130</wp:posOffset>
                </wp:positionV>
                <wp:extent cx="2165985" cy="1645920"/>
                <wp:effectExtent l="0" t="0" r="24765" b="11430"/>
                <wp:wrapSquare wrapText="bothSides" distT="0" distB="0" distL="114300" distR="114300"/>
                <wp:docPr id="249" name="Rectangle 2"/>
                <wp:cNvGraphicFramePr/>
                <a:graphic xmlns:a="http://schemas.openxmlformats.org/drawingml/2006/main">
                  <a:graphicData uri="http://schemas.microsoft.com/office/word/2010/wordprocessingShape">
                    <wps:wsp>
                      <wps:cNvSpPr/>
                      <wps:spPr>
                        <a:xfrm>
                          <a:off x="0" y="0"/>
                          <a:ext cx="2165985" cy="164592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34BB9105" w14:textId="354CBA5F" w:rsidR="00617AF0" w:rsidRDefault="00617AF0" w:rsidP="00324094">
                            <w:pPr>
                              <w:spacing w:after="120" w:line="240" w:lineRule="auto"/>
                              <w:contextualSpacing/>
                              <w:textDirection w:val="btLr"/>
                            </w:pPr>
                            <w:r>
                              <w:rPr>
                                <w:b/>
                                <w:color w:val="000000"/>
                              </w:rPr>
                              <w:t>Encadré 1. Signes d</w:t>
                            </w:r>
                            <w:r w:rsidR="00022A1B">
                              <w:rPr>
                                <w:b/>
                                <w:color w:val="000000"/>
                              </w:rPr>
                              <w:t xml:space="preserve">’une </w:t>
                            </w:r>
                            <w:r>
                              <w:rPr>
                                <w:b/>
                                <w:color w:val="000000"/>
                              </w:rPr>
                              <w:t>AHI</w:t>
                            </w:r>
                          </w:p>
                          <w:p w14:paraId="1AB72B9C" w14:textId="77777777" w:rsidR="00617AF0" w:rsidRDefault="00617AF0" w:rsidP="00022A1B">
                            <w:pPr>
                              <w:pStyle w:val="ListParagraph"/>
                              <w:numPr>
                                <w:ilvl w:val="0"/>
                                <w:numId w:val="14"/>
                              </w:numPr>
                              <w:spacing w:after="120" w:line="240" w:lineRule="auto"/>
                              <w:ind w:left="180" w:hanging="180"/>
                              <w:textDirection w:val="btLr"/>
                            </w:pPr>
                            <w:r>
                              <w:rPr>
                                <w:color w:val="000000"/>
                              </w:rPr>
                              <w:t xml:space="preserve">Fièvre </w:t>
                            </w:r>
                          </w:p>
                          <w:p w14:paraId="0010BB65" w14:textId="77777777" w:rsidR="00617AF0" w:rsidRDefault="00617AF0" w:rsidP="00022A1B">
                            <w:pPr>
                              <w:pStyle w:val="ListParagraph"/>
                              <w:numPr>
                                <w:ilvl w:val="0"/>
                                <w:numId w:val="14"/>
                              </w:numPr>
                              <w:spacing w:after="120" w:line="240" w:lineRule="auto"/>
                              <w:ind w:left="180" w:hanging="180"/>
                              <w:textDirection w:val="btLr"/>
                            </w:pPr>
                            <w:r>
                              <w:rPr>
                                <w:color w:val="000000"/>
                              </w:rPr>
                              <w:t>Ganglions lymphatiques gonflés</w:t>
                            </w:r>
                          </w:p>
                          <w:p w14:paraId="1CF1BC41" w14:textId="77777777" w:rsidR="00617AF0" w:rsidRDefault="00617AF0" w:rsidP="00022A1B">
                            <w:pPr>
                              <w:pStyle w:val="ListParagraph"/>
                              <w:numPr>
                                <w:ilvl w:val="0"/>
                                <w:numId w:val="14"/>
                              </w:numPr>
                              <w:spacing w:after="120" w:line="240" w:lineRule="auto"/>
                              <w:ind w:left="180" w:hanging="180"/>
                              <w:textDirection w:val="btLr"/>
                            </w:pPr>
                            <w:r>
                              <w:rPr>
                                <w:color w:val="000000"/>
                              </w:rPr>
                              <w:t>Éruption cutanée</w:t>
                            </w:r>
                          </w:p>
                          <w:p w14:paraId="00CFC3B0" w14:textId="77777777" w:rsidR="00617AF0" w:rsidRDefault="00617AF0" w:rsidP="00022A1B">
                            <w:pPr>
                              <w:pStyle w:val="ListParagraph"/>
                              <w:numPr>
                                <w:ilvl w:val="0"/>
                                <w:numId w:val="14"/>
                              </w:numPr>
                              <w:spacing w:after="120" w:line="240" w:lineRule="auto"/>
                              <w:ind w:left="180" w:hanging="180"/>
                              <w:textDirection w:val="btLr"/>
                            </w:pPr>
                            <w:r>
                              <w:rPr>
                                <w:color w:val="000000"/>
                              </w:rPr>
                              <w:t>Maux de tête</w:t>
                            </w:r>
                          </w:p>
                          <w:p w14:paraId="3D92EF49" w14:textId="77777777" w:rsidR="00617AF0" w:rsidRDefault="00617AF0" w:rsidP="00022A1B">
                            <w:pPr>
                              <w:pStyle w:val="ListParagraph"/>
                              <w:numPr>
                                <w:ilvl w:val="0"/>
                                <w:numId w:val="14"/>
                              </w:numPr>
                              <w:spacing w:after="120" w:line="240" w:lineRule="auto"/>
                              <w:ind w:left="180" w:hanging="180"/>
                              <w:textDirection w:val="btLr"/>
                            </w:pPr>
                            <w:r>
                              <w:rPr>
                                <w:color w:val="000000"/>
                              </w:rPr>
                              <w:t>Mal de gorge</w:t>
                            </w:r>
                          </w:p>
                          <w:p w14:paraId="48F28DC6" w14:textId="77777777" w:rsidR="00617AF0" w:rsidRDefault="00617AF0" w:rsidP="00022A1B">
                            <w:pPr>
                              <w:pStyle w:val="ListParagraph"/>
                              <w:numPr>
                                <w:ilvl w:val="0"/>
                                <w:numId w:val="14"/>
                              </w:numPr>
                              <w:spacing w:after="120" w:line="240" w:lineRule="auto"/>
                              <w:ind w:left="180" w:hanging="180"/>
                              <w:textDirection w:val="btLr"/>
                            </w:pPr>
                            <w:r>
                              <w:rPr>
                                <w:color w:val="000000"/>
                              </w:rPr>
                              <w:t>Douleurs</w:t>
                            </w:r>
                          </w:p>
                          <w:p w14:paraId="1C35CA76" w14:textId="77777777" w:rsidR="00617AF0" w:rsidRDefault="00617AF0" w:rsidP="00022A1B">
                            <w:pPr>
                              <w:pStyle w:val="ListParagraph"/>
                              <w:numPr>
                                <w:ilvl w:val="0"/>
                                <w:numId w:val="14"/>
                              </w:numPr>
                              <w:spacing w:after="120" w:line="240" w:lineRule="auto"/>
                              <w:ind w:left="180" w:hanging="180"/>
                              <w:textDirection w:val="btLr"/>
                            </w:pPr>
                            <w:r>
                              <w:rPr>
                                <w:color w:val="000000"/>
                              </w:rPr>
                              <w:t>Lésions buccales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6D02CA" id="Rectangle 2" o:spid="_x0000_s1026" style="position:absolute;margin-left:342.65pt;margin-top:1.9pt;width:170.55pt;height:12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" fillcolor="#d5dbe5">
                <v:stroke startarrowwidth="narrow" startarrowlength="short" endarrowwidth="narrow" endarrowlength="short"/>
                <v:textbox inset="2.53958mm,1.2694mm,2.53958mm,1.2694mm">
                  <w:txbxContent>
                    <w:p w14:paraId="34BB9105" w14:textId="354CBA5F" w:rsidR="00617AF0" w:rsidRDefault="00617AF0" w:rsidP="00324094">
                      <w:pPr>
                        <w:spacing w:after="120" w:line="240" w:lineRule="auto"/>
                        <w:contextualSpacing/>
                        <w:textDirection w:val="btLr"/>
                      </w:pPr>
                      <w:r>
                        <w:rPr>
                          <w:b/>
                          <w:color w:val="000000"/>
                        </w:rPr>
                        <w:t>Encadré 1. Signes d</w:t>
                      </w:r>
                      <w:r w:rsidR="00022A1B">
                        <w:rPr>
                          <w:b/>
                          <w:color w:val="000000"/>
                        </w:rPr>
                        <w:t xml:space="preserve">’une </w:t>
                      </w:r>
                      <w:r>
                        <w:rPr>
                          <w:b/>
                          <w:color w:val="000000"/>
                        </w:rPr>
                        <w:t>AHI</w:t>
                      </w:r>
                    </w:p>
                    <w:p w14:paraId="1AB72B9C" w14:textId="77777777" w:rsidR="00617AF0" w:rsidRDefault="00617AF0" w:rsidP="00022A1B">
                      <w:pPr>
                        <w:pStyle w:val="ListParagraph"/>
                        <w:numPr>
                          <w:ilvl w:val="0"/>
                          <w:numId w:val="14"/>
                        </w:numPr>
                        <w:spacing w:after="120" w:line="240" w:lineRule="auto"/>
                        <w:ind w:left="180" w:hanging="180"/>
                        <w:textDirection w:val="btLr"/>
                      </w:pPr>
                      <w:r>
                        <w:rPr>
                          <w:color w:val="000000"/>
                        </w:rPr>
                        <w:t xml:space="preserve">Fièvre </w:t>
                      </w:r>
                    </w:p>
                    <w:p w14:paraId="0010BB65" w14:textId="77777777" w:rsidR="00617AF0" w:rsidRDefault="00617AF0" w:rsidP="00022A1B">
                      <w:pPr>
                        <w:pStyle w:val="ListParagraph"/>
                        <w:numPr>
                          <w:ilvl w:val="0"/>
                          <w:numId w:val="14"/>
                        </w:numPr>
                        <w:spacing w:after="120" w:line="240" w:lineRule="auto"/>
                        <w:ind w:left="180" w:hanging="180"/>
                        <w:textDirection w:val="btLr"/>
                      </w:pPr>
                      <w:r>
                        <w:rPr>
                          <w:color w:val="000000"/>
                        </w:rPr>
                        <w:t>Ganglions lymphatiques gonflés</w:t>
                      </w:r>
                    </w:p>
                    <w:p w14:paraId="1CF1BC41" w14:textId="77777777" w:rsidR="00617AF0" w:rsidRDefault="00617AF0" w:rsidP="00022A1B">
                      <w:pPr>
                        <w:pStyle w:val="ListParagraph"/>
                        <w:numPr>
                          <w:ilvl w:val="0"/>
                          <w:numId w:val="14"/>
                        </w:numPr>
                        <w:spacing w:after="120" w:line="240" w:lineRule="auto"/>
                        <w:ind w:left="180" w:hanging="180"/>
                        <w:textDirection w:val="btLr"/>
                      </w:pPr>
                      <w:r>
                        <w:rPr>
                          <w:color w:val="000000"/>
                        </w:rPr>
                        <w:t>Éruption cutanée</w:t>
                      </w:r>
                    </w:p>
                    <w:p w14:paraId="00CFC3B0" w14:textId="77777777" w:rsidR="00617AF0" w:rsidRDefault="00617AF0" w:rsidP="00022A1B">
                      <w:pPr>
                        <w:pStyle w:val="ListParagraph"/>
                        <w:numPr>
                          <w:ilvl w:val="0"/>
                          <w:numId w:val="14"/>
                        </w:numPr>
                        <w:spacing w:after="120" w:line="240" w:lineRule="auto"/>
                        <w:ind w:left="180" w:hanging="180"/>
                        <w:textDirection w:val="btLr"/>
                      </w:pPr>
                      <w:r>
                        <w:rPr>
                          <w:color w:val="000000"/>
                        </w:rPr>
                        <w:t>Maux de tête</w:t>
                      </w:r>
                    </w:p>
                    <w:p w14:paraId="3D92EF49" w14:textId="77777777" w:rsidR="00617AF0" w:rsidRDefault="00617AF0" w:rsidP="00022A1B">
                      <w:pPr>
                        <w:pStyle w:val="ListParagraph"/>
                        <w:numPr>
                          <w:ilvl w:val="0"/>
                          <w:numId w:val="14"/>
                        </w:numPr>
                        <w:spacing w:after="120" w:line="240" w:lineRule="auto"/>
                        <w:ind w:left="180" w:hanging="180"/>
                        <w:textDirection w:val="btLr"/>
                      </w:pPr>
                      <w:r>
                        <w:rPr>
                          <w:color w:val="000000"/>
                        </w:rPr>
                        <w:t>Mal de gorge</w:t>
                      </w:r>
                    </w:p>
                    <w:p w14:paraId="48F28DC6" w14:textId="77777777" w:rsidR="00617AF0" w:rsidRDefault="00617AF0" w:rsidP="00022A1B">
                      <w:pPr>
                        <w:pStyle w:val="ListParagraph"/>
                        <w:numPr>
                          <w:ilvl w:val="0"/>
                          <w:numId w:val="14"/>
                        </w:numPr>
                        <w:spacing w:after="120" w:line="240" w:lineRule="auto"/>
                        <w:ind w:left="180" w:hanging="180"/>
                        <w:textDirection w:val="btLr"/>
                      </w:pPr>
                      <w:r>
                        <w:rPr>
                          <w:color w:val="000000"/>
                        </w:rPr>
                        <w:t>Douleurs</w:t>
                      </w:r>
                    </w:p>
                    <w:p w14:paraId="1C35CA76" w14:textId="77777777" w:rsidR="00617AF0" w:rsidRDefault="00617AF0" w:rsidP="00022A1B">
                      <w:pPr>
                        <w:pStyle w:val="ListParagraph"/>
                        <w:numPr>
                          <w:ilvl w:val="0"/>
                          <w:numId w:val="14"/>
                        </w:numPr>
                        <w:spacing w:after="120" w:line="240" w:lineRule="auto"/>
                        <w:ind w:left="180" w:hanging="180"/>
                        <w:textDirection w:val="btLr"/>
                      </w:pPr>
                      <w:r>
                        <w:rPr>
                          <w:color w:val="000000"/>
                        </w:rPr>
                        <w:t>Lésions buccales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v:textbox>
                <w10:wrap type="square" anchorx="margin"/>
              </v:rect>
            </w:pict>
          </mc:Fallback>
        </mc:AlternateContent>
      </w:r>
      <w:r w:rsidRPr="007314B0">
        <w:rPr>
          <w:rFonts w:asciiTheme="minorHAnsi" w:hAnsiTheme="minorHAnsi"/>
        </w:rPr>
        <w:t>Contrindications à l’utilisation de la PrEP orale</w:t>
      </w:r>
      <w:bookmarkEnd w:id="9"/>
    </w:p>
    <w:p w14:paraId="1108C6F4" w14:textId="10A005B6" w:rsidR="00560EAE" w:rsidRPr="007314B0" w:rsidRDefault="00560EAE" w:rsidP="00DD508F">
      <w:pPr>
        <w:spacing w:after="120" w:line="240" w:lineRule="auto"/>
        <w:rPr>
          <w:color w:val="000000"/>
        </w:rPr>
      </w:pPr>
      <w:r w:rsidRPr="007314B0">
        <w:t xml:space="preserve">La PrEP orale ne doit </w:t>
      </w:r>
      <w:r w:rsidRPr="007314B0">
        <w:rPr>
          <w:b/>
          <w:bCs/>
        </w:rPr>
        <w:t>PAS</w:t>
      </w:r>
      <w:r w:rsidRPr="007314B0">
        <w:t xml:space="preserve"> être fournie </w:t>
      </w:r>
      <w:r w:rsidR="00022A1B" w:rsidRPr="007314B0">
        <w:t>en cas de</w:t>
      </w:r>
      <w:r w:rsidRPr="007314B0">
        <w:t> :</w:t>
      </w:r>
    </w:p>
    <w:p w14:paraId="18C5448D" w14:textId="58788068" w:rsidR="00560EAE" w:rsidRPr="007314B0" w:rsidRDefault="00022A1B" w:rsidP="00391C93">
      <w:pPr>
        <w:numPr>
          <w:ilvl w:val="0"/>
          <w:numId w:val="1"/>
        </w:numPr>
        <w:pBdr>
          <w:top w:val="nil"/>
          <w:left w:val="nil"/>
          <w:bottom w:val="nil"/>
          <w:right w:val="nil"/>
          <w:between w:val="nil"/>
        </w:pBdr>
        <w:spacing w:after="120" w:line="240" w:lineRule="auto"/>
        <w:rPr>
          <w:rFonts w:cstheme="minorHAnsi"/>
          <w:color w:val="000000"/>
        </w:rPr>
      </w:pPr>
      <w:r w:rsidRPr="007314B0">
        <w:t>T</w:t>
      </w:r>
      <w:r w:rsidR="0057244D" w:rsidRPr="007314B0">
        <w:t>est positif au VIH selon l’algorithme national de dépistage du VIH</w:t>
      </w:r>
    </w:p>
    <w:p w14:paraId="62E39AC1" w14:textId="21E2F59E" w:rsidR="00560EAE" w:rsidRPr="007314B0" w:rsidRDefault="00022A1B" w:rsidP="00391C93">
      <w:pPr>
        <w:numPr>
          <w:ilvl w:val="0"/>
          <w:numId w:val="1"/>
        </w:numPr>
        <w:pBdr>
          <w:top w:val="nil"/>
          <w:left w:val="nil"/>
          <w:bottom w:val="nil"/>
          <w:right w:val="nil"/>
          <w:between w:val="nil"/>
        </w:pBdr>
        <w:spacing w:after="120" w:line="240" w:lineRule="auto"/>
        <w:rPr>
          <w:color w:val="000000"/>
        </w:rPr>
      </w:pPr>
      <w:r w:rsidRPr="007314B0">
        <w:rPr>
          <w:color w:val="000000" w:themeColor="text1"/>
        </w:rPr>
        <w:t>E</w:t>
      </w:r>
      <w:r w:rsidR="001836B4" w:rsidRPr="007314B0">
        <w:rPr>
          <w:color w:val="000000" w:themeColor="text1"/>
        </w:rPr>
        <w:t>xposition potentielle au VIH au cours des dernières 72 heures (proposer une prophylaxie post-exposition [PEP] à ces patients)</w:t>
      </w:r>
    </w:p>
    <w:p w14:paraId="21698602" w14:textId="1AF56E17" w:rsidR="00112E5F" w:rsidRPr="007314B0" w:rsidRDefault="00022A1B" w:rsidP="00391C93">
      <w:pPr>
        <w:numPr>
          <w:ilvl w:val="0"/>
          <w:numId w:val="1"/>
        </w:numPr>
        <w:pBdr>
          <w:top w:val="nil"/>
          <w:left w:val="nil"/>
          <w:bottom w:val="nil"/>
          <w:right w:val="nil"/>
          <w:between w:val="nil"/>
        </w:pBdr>
        <w:spacing w:after="120" w:line="240" w:lineRule="auto"/>
        <w:rPr>
          <w:color w:val="000000"/>
        </w:rPr>
      </w:pPr>
      <w:r w:rsidRPr="007314B0">
        <w:rPr>
          <w:color w:val="000000" w:themeColor="text1"/>
        </w:rPr>
        <w:t>S</w:t>
      </w:r>
      <w:r w:rsidR="00112E5F" w:rsidRPr="007314B0">
        <w:rPr>
          <w:color w:val="000000" w:themeColor="text1"/>
        </w:rPr>
        <w:t xml:space="preserve">ignes d’infection aiguë au VIH (AHI) (encadré 1) </w:t>
      </w:r>
      <w:r w:rsidR="00112E5F" w:rsidRPr="007314B0">
        <w:rPr>
          <w:i/>
          <w:iCs/>
          <w:color w:val="000000" w:themeColor="text1"/>
        </w:rPr>
        <w:t>ET une exposition potentielle au VIH au cours des 14 derniers jours</w:t>
      </w:r>
    </w:p>
    <w:p w14:paraId="433DB811" w14:textId="548D2AF7" w:rsidR="00560EAE" w:rsidRPr="007314B0" w:rsidRDefault="00022A1B" w:rsidP="00391C93">
      <w:pPr>
        <w:numPr>
          <w:ilvl w:val="0"/>
          <w:numId w:val="1"/>
        </w:numPr>
        <w:pBdr>
          <w:top w:val="nil"/>
          <w:left w:val="nil"/>
          <w:bottom w:val="nil"/>
          <w:right w:val="nil"/>
          <w:between w:val="nil"/>
        </w:pBdr>
        <w:spacing w:after="120" w:line="240" w:lineRule="auto"/>
        <w:rPr>
          <w:color w:val="000000"/>
        </w:rPr>
      </w:pPr>
      <w:r w:rsidRPr="007314B0">
        <w:t>R</w:t>
      </w:r>
      <w:r w:rsidR="00064ACB" w:rsidRPr="007314B0">
        <w:t>efus ou incapacité de s’engager à utiliser efficacement la PrEP orale</w:t>
      </w:r>
      <w:r w:rsidR="00064ACB" w:rsidRPr="007314B0">
        <w:rPr>
          <w:color w:val="000000" w:themeColor="text1"/>
        </w:rPr>
        <w:t xml:space="preserve"> </w:t>
      </w:r>
    </w:p>
    <w:p w14:paraId="43B47FD6" w14:textId="46B631ED" w:rsidR="000B6A5E" w:rsidRPr="007314B0" w:rsidRDefault="00022A1B" w:rsidP="00391C93">
      <w:pPr>
        <w:numPr>
          <w:ilvl w:val="0"/>
          <w:numId w:val="1"/>
        </w:numPr>
        <w:pBdr>
          <w:top w:val="nil"/>
          <w:left w:val="nil"/>
          <w:bottom w:val="nil"/>
          <w:right w:val="nil"/>
          <w:between w:val="nil"/>
        </w:pBdr>
        <w:spacing w:after="120" w:line="240" w:lineRule="auto"/>
        <w:rPr>
          <w:rFonts w:cstheme="minorHAnsi"/>
          <w:color w:val="000000"/>
        </w:rPr>
      </w:pPr>
      <w:r w:rsidRPr="007314B0">
        <w:t>A</w:t>
      </w:r>
      <w:r w:rsidR="000B6A5E" w:rsidRPr="007314B0">
        <w:t>llergies ou hypersensibilité à une substance active ou à d’autres substances énumérées dans la fiche d’information du produit</w:t>
      </w:r>
      <w:r w:rsidRPr="007314B0">
        <w:t xml:space="preserve"> concerné</w:t>
      </w:r>
    </w:p>
    <w:p w14:paraId="2772063C" w14:textId="56A63606" w:rsidR="00793FDD" w:rsidRPr="007314B0" w:rsidRDefault="00022A1B" w:rsidP="74385935">
      <w:pPr>
        <w:numPr>
          <w:ilvl w:val="0"/>
          <w:numId w:val="1"/>
        </w:numPr>
        <w:pBdr>
          <w:top w:val="nil"/>
          <w:left w:val="nil"/>
          <w:bottom w:val="nil"/>
          <w:right w:val="nil"/>
          <w:between w:val="nil"/>
        </w:pBdr>
        <w:spacing w:after="120" w:line="240" w:lineRule="auto"/>
        <w:rPr>
          <w:color w:val="000000"/>
        </w:rPr>
      </w:pPr>
      <w:r w:rsidRPr="007314B0">
        <w:rPr>
          <w:color w:val="000000" w:themeColor="text1"/>
        </w:rPr>
        <w:t>I</w:t>
      </w:r>
      <w:r w:rsidR="47928A55" w:rsidRPr="007314B0">
        <w:rPr>
          <w:color w:val="000000" w:themeColor="text1"/>
        </w:rPr>
        <w:t>nsuffisance rénale connue, indiquée par un taux de filtration glomérulaire estimé (</w:t>
      </w:r>
      <w:proofErr w:type="spellStart"/>
      <w:r w:rsidR="00DF3220" w:rsidRPr="007314B0">
        <w:rPr>
          <w:color w:val="000000" w:themeColor="text1"/>
        </w:rPr>
        <w:t>eGFR</w:t>
      </w:r>
      <w:proofErr w:type="spellEnd"/>
      <w:r w:rsidR="47928A55" w:rsidRPr="007314B0">
        <w:rPr>
          <w:color w:val="000000" w:themeColor="text1"/>
        </w:rPr>
        <w:t>) inférieur à 60</w:t>
      </w:r>
      <w:r w:rsidRPr="007314B0">
        <w:rPr>
          <w:color w:val="000000" w:themeColor="text1"/>
        </w:rPr>
        <w:t> </w:t>
      </w:r>
      <w:r w:rsidR="47928A55" w:rsidRPr="007314B0">
        <w:rPr>
          <w:color w:val="000000" w:themeColor="text1"/>
        </w:rPr>
        <w:t>ml/min par 1,73 m</w:t>
      </w:r>
      <w:r w:rsidR="47928A55" w:rsidRPr="007314B0">
        <w:rPr>
          <w:color w:val="000000" w:themeColor="text1"/>
          <w:vertAlign w:val="superscript"/>
        </w:rPr>
        <w:t>2</w:t>
      </w:r>
      <w:r w:rsidR="47928A55" w:rsidRPr="007314B0">
        <w:rPr>
          <w:color w:val="000000" w:themeColor="text1"/>
        </w:rPr>
        <w:t xml:space="preserve"> ou une clairance de la créatinine inférieure à 60</w:t>
      </w:r>
      <w:r w:rsidRPr="007314B0">
        <w:rPr>
          <w:color w:val="000000" w:themeColor="text1"/>
        </w:rPr>
        <w:t> </w:t>
      </w:r>
      <w:r w:rsidR="47928A55" w:rsidRPr="007314B0">
        <w:rPr>
          <w:color w:val="000000" w:themeColor="text1"/>
        </w:rPr>
        <w:t>ml/min</w:t>
      </w:r>
    </w:p>
    <w:p w14:paraId="60BEEBD0" w14:textId="5860CE62" w:rsidR="00E9095D" w:rsidRPr="007314B0" w:rsidRDefault="000B6A5E" w:rsidP="00DD508F">
      <w:pPr>
        <w:pStyle w:val="Heading3"/>
        <w:spacing w:before="0" w:after="120" w:line="240" w:lineRule="auto"/>
        <w:rPr>
          <w:rFonts w:asciiTheme="minorHAnsi" w:hAnsiTheme="minorHAnsi" w:cstheme="minorBidi"/>
        </w:rPr>
      </w:pPr>
      <w:bookmarkStart w:id="10" w:name="_Toc124428490"/>
      <w:r w:rsidRPr="007314B0">
        <w:rPr>
          <w:rFonts w:asciiTheme="minorHAnsi" w:hAnsiTheme="minorHAnsi"/>
        </w:rPr>
        <w:t>Utilisation de la PrEP orale</w:t>
      </w:r>
      <w:bookmarkEnd w:id="10"/>
    </w:p>
    <w:p w14:paraId="36E8732E" w14:textId="1B238266" w:rsidR="00D3397E" w:rsidRPr="007314B0" w:rsidRDefault="2B53C15B" w:rsidP="1D9AD929">
      <w:pPr>
        <w:pStyle w:val="RISEBodyText"/>
        <w:spacing w:after="120"/>
        <w:rPr>
          <w:rFonts w:asciiTheme="minorHAnsi" w:hAnsiTheme="minorHAnsi" w:cstheme="minorBidi"/>
          <w:color w:val="auto"/>
        </w:rPr>
      </w:pPr>
      <w:bookmarkStart w:id="11" w:name="_heading=h.m4cohhtlr5v8"/>
      <w:bookmarkEnd w:id="11"/>
      <w:r w:rsidRPr="007314B0">
        <w:rPr>
          <w:rFonts w:asciiTheme="minorHAnsi" w:hAnsiTheme="minorHAnsi"/>
          <w:color w:val="auto"/>
        </w:rPr>
        <w:t xml:space="preserve">La PrEP orale peut être proposée sous forme de traitement quotidien pour éviter de contracter le VIH lors d’expositions potentielles, quelles qu’elles soient, pour toutes les populations. </w:t>
      </w:r>
      <w:r w:rsidRPr="007314B0">
        <w:t>Pour les personnes AMAB qui n’utilisent pas d’hormones exogènes à base d’œstradiol, la PrEP orale peut être proposée sous forme de traitement ponctuel pour éviter de contracter le VIH pendant les rapports sexuels.</w:t>
      </w:r>
      <w:r w:rsidRPr="007314B0">
        <w:rPr>
          <w:rFonts w:asciiTheme="minorHAnsi" w:hAnsiTheme="minorHAnsi"/>
          <w:color w:val="000000" w:themeColor="text1"/>
        </w:rPr>
        <w:t xml:space="preserve"> L’ED-PrEP peut convenir aux personnes AMAB qui n’utilisent pas d’hormones exogènes à base d’œstradiol et qui la trouvent plus pratique, qui ont des rapports sexuels peu fréquents (par exemple, moins de deux fois par semaine en moyenne) et/ou qui sont capables de planifier leurs rapports sexuels au moins deux heures à l’avance ou de les reporter d’au moins deux heures. Les personnes AMAB qui n’utilisent pas d’hormones exogènes à base d’œstradiol devraient pouvoir décider quel traitement leur convient le mieux et recevoir un soutien pour passer de la PrEP quotidienne à la PrEP ponctuelle </w:t>
      </w:r>
      <w:r w:rsidRPr="007314B0">
        <w:rPr>
          <w:rFonts w:asciiTheme="minorHAnsi" w:hAnsiTheme="minorHAnsi"/>
          <w:color w:val="auto"/>
        </w:rPr>
        <w:t xml:space="preserve">dans le but de prévenir efficacement le VIH. </w:t>
      </w:r>
    </w:p>
    <w:p w14:paraId="59F87456" w14:textId="6B08A997" w:rsidR="00D3397E" w:rsidRPr="007314B0" w:rsidRDefault="2B53C15B" w:rsidP="1D9AD929">
      <w:pPr>
        <w:pStyle w:val="RISEBodyText"/>
        <w:spacing w:after="120"/>
        <w:rPr>
          <w:rFonts w:asciiTheme="minorHAnsi" w:hAnsiTheme="minorHAnsi" w:cstheme="minorBidi"/>
          <w:color w:val="auto"/>
        </w:rPr>
      </w:pPr>
      <w:r w:rsidRPr="007314B0">
        <w:rPr>
          <w:rFonts w:asciiTheme="minorHAnsi" w:hAnsiTheme="minorHAnsi"/>
          <w:color w:val="auto"/>
        </w:rPr>
        <w:t xml:space="preserve">Pour toutes les autres personnes, y compris celles qui utilisent une PrEP orale pour prévenir le VIH en cas d’expositions non sexuelles, seul un traitement quotidien peut être proposé. </w:t>
      </w:r>
      <w:r w:rsidR="000B11F0" w:rsidRPr="007314B0">
        <w:rPr>
          <w:rFonts w:asciiTheme="minorHAnsi" w:hAnsiTheme="minorHAnsi"/>
          <w:color w:val="auto"/>
        </w:rPr>
        <w:t>ED-PrEP n'est pas recommandée aux personnes AMAB qui utilisent des hormones exogènes à base d'estradiol, aux personnes AFAB, aux personnes AFAB prenant une hormonothérapie d'affirmation de genre (GAHT) ou aux UDI. En raison de la façon dont le médicament se concentre dans le vagin, il faudrait au moins sept jours pour que le médicament atteigne des niveaux efficaces de prévention.</w:t>
      </w:r>
    </w:p>
    <w:p w14:paraId="4A047D03" w14:textId="5BFE2760" w:rsidR="000B1A45" w:rsidRPr="007314B0" w:rsidRDefault="2B53C15B" w:rsidP="1D9AD929">
      <w:pPr>
        <w:spacing w:after="120" w:line="240" w:lineRule="auto"/>
        <w:rPr>
          <w:color w:val="000000"/>
        </w:rPr>
      </w:pPr>
      <w:r w:rsidRPr="007314B0">
        <w:t xml:space="preserve">Le tableau 1 présente des détails sur le début d’utilisation de la PrEP orale et l’arrêt de son utilisation pour différentes populations. </w:t>
      </w:r>
      <w:r w:rsidRPr="007314B0">
        <w:rPr>
          <w:color w:val="000000" w:themeColor="text1"/>
        </w:rPr>
        <w:t xml:space="preserve">Les patients qui commencent à utiliser la PrEP orale doivent recevoir du counseling sur l’utilisation d’autres stratégies de prévention du VIH en attendant que la méthode devienne efficace. Il faut noter que les procédures d’arrêt de la PrEP orale sont les mêmes pour un patient qui arrête la PrEP orale pour une durée déterminée ou un patient qui a l’intention de l’arrêter indéfiniment. L’idéal serait que les patients qui arrêtent la PrEP orale indéfiniment en informent leur(s) prestataire(s) et qu’ils reçoivent un soutien pour </w:t>
      </w:r>
      <w:r w:rsidR="00BC050B" w:rsidRPr="007314B0">
        <w:rPr>
          <w:color w:val="000000" w:themeColor="text1"/>
        </w:rPr>
        <w:t>l’application</w:t>
      </w:r>
      <w:r w:rsidRPr="007314B0">
        <w:rPr>
          <w:color w:val="000000" w:themeColor="text1"/>
        </w:rPr>
        <w:t xml:space="preserve"> d’autres stratégies de prévention du VIH, si nécessaire.</w:t>
      </w:r>
      <w:r w:rsidRPr="007314B0">
        <w:rPr>
          <w:i/>
          <w:iCs/>
          <w:color w:val="000000" w:themeColor="text1"/>
        </w:rPr>
        <w:t xml:space="preserve"> </w:t>
      </w:r>
      <w:r w:rsidRPr="007314B0">
        <w:rPr>
          <w:color w:val="000000" w:themeColor="text1"/>
        </w:rPr>
        <w:t>Un dépistage régulier du VIH devrait être encouragé pour ces patients en particulier.</w:t>
      </w:r>
    </w:p>
    <w:p w14:paraId="010C4A28" w14:textId="77777777" w:rsidR="00562820" w:rsidRPr="007314B0" w:rsidRDefault="00562820">
      <w:pPr>
        <w:rPr>
          <w:b/>
          <w:bCs/>
        </w:rPr>
      </w:pPr>
      <w:r w:rsidRPr="007314B0">
        <w:br w:type="page"/>
      </w:r>
    </w:p>
    <w:p w14:paraId="70D08FA4" w14:textId="1D55D655" w:rsidR="000B6A5E" w:rsidRPr="007314B0" w:rsidRDefault="2B53C15B" w:rsidP="1D9AD929">
      <w:pPr>
        <w:rPr>
          <w:b/>
          <w:bCs/>
        </w:rPr>
      </w:pPr>
      <w:r w:rsidRPr="007314B0">
        <w:rPr>
          <w:b/>
          <w:bCs/>
        </w:rPr>
        <w:lastRenderedPageBreak/>
        <w:t>Tableau 1. Commencer, utiliser et arrêter la PrEP orale en toute sécurité</w:t>
      </w:r>
    </w:p>
    <w:tbl>
      <w:tblPr>
        <w:tblW w:w="0" w:type="auto"/>
        <w:tblLook w:val="04A0" w:firstRow="1" w:lastRow="0" w:firstColumn="1" w:lastColumn="0" w:noHBand="0" w:noVBand="1"/>
      </w:tblPr>
      <w:tblGrid>
        <w:gridCol w:w="2390"/>
        <w:gridCol w:w="2408"/>
        <w:gridCol w:w="1976"/>
        <w:gridCol w:w="1715"/>
        <w:gridCol w:w="1977"/>
      </w:tblGrid>
      <w:tr w:rsidR="00776224" w:rsidRPr="007314B0" w14:paraId="76D52F5B" w14:textId="77777777" w:rsidTr="00B25741">
        <w:tc>
          <w:tcPr>
            <w:tcW w:w="2392" w:type="dxa"/>
            <w:shd w:val="clear" w:color="auto" w:fill="4472C4" w:themeFill="accent1"/>
          </w:tcPr>
          <w:p w14:paraId="217514E2" w14:textId="77777777" w:rsidR="00776224" w:rsidRPr="007314B0" w:rsidRDefault="00776224" w:rsidP="00DD508F">
            <w:pPr>
              <w:spacing w:after="120"/>
              <w:rPr>
                <w:rFonts w:cstheme="minorHAnsi"/>
                <w:b/>
                <w:bCs/>
                <w:color w:val="FFFFFF" w:themeColor="background1"/>
              </w:rPr>
            </w:pPr>
            <w:r w:rsidRPr="007314B0">
              <w:rPr>
                <w:b/>
                <w:bCs/>
                <w:color w:val="FFFFFF" w:themeColor="background1"/>
              </w:rPr>
              <w:t>Population(s)</w:t>
            </w:r>
          </w:p>
        </w:tc>
        <w:tc>
          <w:tcPr>
            <w:tcW w:w="2392" w:type="dxa"/>
            <w:shd w:val="clear" w:color="auto" w:fill="4472C4" w:themeFill="accent1"/>
          </w:tcPr>
          <w:p w14:paraId="0C2368BD" w14:textId="03F3DD4A" w:rsidR="00776224" w:rsidRPr="007314B0" w:rsidRDefault="00776224" w:rsidP="00DD508F">
            <w:pPr>
              <w:spacing w:after="120"/>
              <w:rPr>
                <w:rFonts w:cstheme="minorHAnsi"/>
                <w:b/>
                <w:bCs/>
                <w:color w:val="FFFFFF" w:themeColor="background1"/>
              </w:rPr>
            </w:pPr>
            <w:r w:rsidRPr="007314B0">
              <w:rPr>
                <w:b/>
                <w:bCs/>
                <w:color w:val="FFFFFF" w:themeColor="background1"/>
              </w:rPr>
              <w:t>Comprend souvent</w:t>
            </w:r>
            <w:r w:rsidRPr="007314B0">
              <w:rPr>
                <w:rStyle w:val="FootnoteReference"/>
                <w:color w:val="FFFFFF" w:themeColor="background1"/>
                <w:kern w:val="24"/>
              </w:rPr>
              <w:footnoteReference w:id="15"/>
            </w:r>
          </w:p>
        </w:tc>
        <w:tc>
          <w:tcPr>
            <w:tcW w:w="1977" w:type="dxa"/>
            <w:shd w:val="clear" w:color="auto" w:fill="4472C4" w:themeFill="accent1"/>
          </w:tcPr>
          <w:p w14:paraId="4575D7BA" w14:textId="77777777" w:rsidR="00776224" w:rsidRPr="007314B0" w:rsidRDefault="00776224" w:rsidP="00DD508F">
            <w:pPr>
              <w:spacing w:after="120"/>
              <w:rPr>
                <w:b/>
                <w:color w:val="FFFFFF" w:themeColor="background1"/>
              </w:rPr>
            </w:pPr>
            <w:r w:rsidRPr="007314B0">
              <w:rPr>
                <w:b/>
                <w:color w:val="FFFFFF" w:themeColor="background1"/>
              </w:rPr>
              <w:t>Commencer à utiliser la PrEP orale</w:t>
            </w:r>
          </w:p>
        </w:tc>
        <w:tc>
          <w:tcPr>
            <w:tcW w:w="1717" w:type="dxa"/>
            <w:shd w:val="clear" w:color="auto" w:fill="4472C4" w:themeFill="accent1"/>
          </w:tcPr>
          <w:p w14:paraId="725621AF" w14:textId="4617D385" w:rsidR="00776224" w:rsidRPr="007314B0" w:rsidRDefault="00776224" w:rsidP="00DD508F">
            <w:pPr>
              <w:spacing w:after="120"/>
              <w:rPr>
                <w:b/>
                <w:color w:val="FFFFFF" w:themeColor="background1"/>
              </w:rPr>
            </w:pPr>
            <w:r w:rsidRPr="007314B0">
              <w:rPr>
                <w:b/>
                <w:color w:val="FFFFFF" w:themeColor="background1"/>
              </w:rPr>
              <w:t>Utiliser la PrEP orale</w:t>
            </w:r>
          </w:p>
        </w:tc>
        <w:tc>
          <w:tcPr>
            <w:tcW w:w="1978" w:type="dxa"/>
            <w:shd w:val="clear" w:color="auto" w:fill="4472C4" w:themeFill="accent1"/>
          </w:tcPr>
          <w:p w14:paraId="54E1D5D5" w14:textId="1A4208BE" w:rsidR="00776224" w:rsidRPr="007314B0" w:rsidRDefault="00776224" w:rsidP="00DD508F">
            <w:pPr>
              <w:spacing w:after="120"/>
              <w:rPr>
                <w:b/>
                <w:color w:val="FFFFFF" w:themeColor="background1"/>
              </w:rPr>
            </w:pPr>
            <w:r w:rsidRPr="007314B0">
              <w:rPr>
                <w:b/>
                <w:color w:val="FFFFFF" w:themeColor="background1"/>
              </w:rPr>
              <w:t>Arrêter la PrEP orale</w:t>
            </w:r>
          </w:p>
        </w:tc>
      </w:tr>
      <w:tr w:rsidR="000B6A5E" w:rsidRPr="007314B0" w14:paraId="787AD3E2" w14:textId="77777777" w:rsidTr="00B25741">
        <w:tc>
          <w:tcPr>
            <w:tcW w:w="2374" w:type="dxa"/>
            <w:tcBorders>
              <w:bottom w:val="single" w:sz="4" w:space="0" w:color="auto"/>
            </w:tcBorders>
          </w:tcPr>
          <w:p w14:paraId="6B86B43C" w14:textId="2EDC8A0B" w:rsidR="000B6A5E" w:rsidRPr="007314B0" w:rsidRDefault="000B6A5E" w:rsidP="74385935">
            <w:pPr>
              <w:spacing w:after="120"/>
            </w:pPr>
            <w:r w:rsidRPr="007314B0">
              <w:t xml:space="preserve">Les personnes déclarées de sexe masculin à la naissance qui n’utilisent pas d’hormones exogènes à base d’œstradiol et qui utilisent une PrEP orale pour éviter de contracter le VIH lors de rapports sexuels </w:t>
            </w:r>
          </w:p>
        </w:tc>
        <w:tc>
          <w:tcPr>
            <w:tcW w:w="2410" w:type="dxa"/>
            <w:tcBorders>
              <w:bottom w:val="single" w:sz="4" w:space="0" w:color="auto"/>
            </w:tcBorders>
          </w:tcPr>
          <w:p w14:paraId="60B8F381" w14:textId="61440C55" w:rsidR="000B6A5E" w:rsidRPr="007314B0" w:rsidRDefault="006B2417" w:rsidP="00DD508F">
            <w:pPr>
              <w:spacing w:after="120"/>
              <w:rPr>
                <w:rFonts w:eastAsia="Times New Roman" w:cstheme="minorHAnsi"/>
              </w:rPr>
            </w:pPr>
            <w:r w:rsidRPr="007314B0">
              <w:rPr>
                <w:color w:val="000000" w:themeColor="dark1"/>
              </w:rPr>
              <w:t>Hommes</w:t>
            </w:r>
            <w:r w:rsidR="000B6A5E" w:rsidRPr="007314B0">
              <w:rPr>
                <w:color w:val="000000" w:themeColor="dark1"/>
              </w:rPr>
              <w:t xml:space="preserve"> cisgenres</w:t>
            </w:r>
          </w:p>
          <w:p w14:paraId="32628D4E" w14:textId="5338ADFE" w:rsidR="000B6A5E" w:rsidRPr="007314B0" w:rsidRDefault="006B2417" w:rsidP="7D32EE1A">
            <w:pPr>
              <w:spacing w:after="120"/>
              <w:rPr>
                <w:rFonts w:eastAsia="Times New Roman"/>
              </w:rPr>
            </w:pPr>
            <w:r w:rsidRPr="007314B0">
              <w:t>Femmes</w:t>
            </w:r>
            <w:r w:rsidR="000B6A5E" w:rsidRPr="007314B0">
              <w:t xml:space="preserve"> transgenres qui n’utilisent pas d’hormones exogènes à base d’œstradiol</w:t>
            </w:r>
          </w:p>
          <w:p w14:paraId="09D3C354" w14:textId="4C099247" w:rsidR="000B6A5E" w:rsidRPr="007314B0" w:rsidRDefault="006B2417" w:rsidP="7D32EE1A">
            <w:pPr>
              <w:spacing w:after="120"/>
              <w:rPr>
                <w:color w:val="000000" w:themeColor="text1"/>
              </w:rPr>
            </w:pPr>
            <w:r w:rsidRPr="007314B0">
              <w:t>Personnes</w:t>
            </w:r>
            <w:r w:rsidR="000B6A5E" w:rsidRPr="007314B0">
              <w:t xml:space="preserve"> non binaires déclarées de sexe masculin à la naissance qui ne prennent pas d’hormones exogènes à base d’œstradiol</w:t>
            </w:r>
          </w:p>
        </w:tc>
        <w:tc>
          <w:tcPr>
            <w:tcW w:w="1977" w:type="dxa"/>
            <w:tcBorders>
              <w:bottom w:val="single" w:sz="4" w:space="0" w:color="auto"/>
            </w:tcBorders>
          </w:tcPr>
          <w:p w14:paraId="1BF926C3" w14:textId="4EA756C8" w:rsidR="000B6A5E" w:rsidRPr="007314B0" w:rsidRDefault="000B6A5E" w:rsidP="00DD508F">
            <w:pPr>
              <w:spacing w:after="120"/>
              <w:rPr>
                <w:rFonts w:cstheme="minorHAnsi"/>
              </w:rPr>
            </w:pPr>
            <w:r w:rsidRPr="007314B0">
              <w:rPr>
                <w:color w:val="000000" w:themeColor="dark1"/>
              </w:rPr>
              <w:t xml:space="preserve">PrEP quotidienne ou ponctuelle : Prendre une double dose 2 à 24 heures avant une exposition sexuelle potentielle. L’idéal serait de prendre cette dose de charge </w:t>
            </w:r>
            <w:r w:rsidR="00BC050B" w:rsidRPr="007314B0">
              <w:rPr>
                <w:color w:val="000000" w:themeColor="dark1"/>
              </w:rPr>
              <w:t>près</w:t>
            </w:r>
            <w:r w:rsidRPr="007314B0">
              <w:rPr>
                <w:color w:val="000000" w:themeColor="dark1"/>
              </w:rPr>
              <w:t xml:space="preserve"> de 24</w:t>
            </w:r>
            <w:r w:rsidR="00BC050B" w:rsidRPr="007314B0">
              <w:rPr>
                <w:color w:val="000000" w:themeColor="dark1"/>
              </w:rPr>
              <w:t> </w:t>
            </w:r>
            <w:r w:rsidRPr="007314B0">
              <w:rPr>
                <w:color w:val="000000" w:themeColor="dark1"/>
              </w:rPr>
              <w:t>heures avant l’exposition potentielle.</w:t>
            </w:r>
          </w:p>
        </w:tc>
        <w:tc>
          <w:tcPr>
            <w:tcW w:w="1717" w:type="dxa"/>
            <w:tcBorders>
              <w:bottom w:val="single" w:sz="4" w:space="0" w:color="auto"/>
            </w:tcBorders>
          </w:tcPr>
          <w:p w14:paraId="55FE4FCB" w14:textId="11193F9F" w:rsidR="000230D1" w:rsidRPr="007314B0" w:rsidRDefault="000230D1" w:rsidP="00DD508F">
            <w:pPr>
              <w:spacing w:after="120"/>
              <w:rPr>
                <w:rFonts w:eastAsia="Times New Roman" w:cstheme="minorHAnsi"/>
                <w:color w:val="000000" w:themeColor="dark1"/>
                <w:kern w:val="24"/>
              </w:rPr>
            </w:pPr>
            <w:r w:rsidRPr="007314B0">
              <w:rPr>
                <w:color w:val="000000" w:themeColor="dark1"/>
              </w:rPr>
              <w:t>Prendre une dose par jour.</w:t>
            </w:r>
          </w:p>
        </w:tc>
        <w:tc>
          <w:tcPr>
            <w:tcW w:w="1978" w:type="dxa"/>
            <w:tcBorders>
              <w:bottom w:val="single" w:sz="4" w:space="0" w:color="auto"/>
            </w:tcBorders>
          </w:tcPr>
          <w:p w14:paraId="4050D7FD" w14:textId="633922EA" w:rsidR="000B6A5E" w:rsidRPr="007314B0" w:rsidRDefault="000B6A5E" w:rsidP="00DD508F">
            <w:pPr>
              <w:spacing w:after="120"/>
              <w:rPr>
                <w:rFonts w:cstheme="minorHAnsi"/>
              </w:rPr>
            </w:pPr>
            <w:r w:rsidRPr="007314B0">
              <w:rPr>
                <w:color w:val="000000" w:themeColor="dark1"/>
              </w:rPr>
              <w:t>PrEP quotidienne ou ponctuelle : Il est possible d’arrêter la PrEP après avoir pris une dose unique par jour pendant deux jours après la dernière exposition potentielle.</w:t>
            </w:r>
          </w:p>
        </w:tc>
      </w:tr>
      <w:tr w:rsidR="000B6A5E" w:rsidRPr="007314B0" w14:paraId="027B7D79" w14:textId="77777777" w:rsidTr="00B25741">
        <w:tc>
          <w:tcPr>
            <w:tcW w:w="2374" w:type="dxa"/>
            <w:tcBorders>
              <w:top w:val="single" w:sz="4" w:space="0" w:color="auto"/>
            </w:tcBorders>
          </w:tcPr>
          <w:p w14:paraId="68A307D1" w14:textId="4D041229" w:rsidR="000B6A5E" w:rsidRPr="007314B0" w:rsidRDefault="000B6A5E" w:rsidP="00DD508F">
            <w:pPr>
              <w:spacing w:after="120"/>
              <w:rPr>
                <w:rFonts w:cstheme="minorHAnsi"/>
              </w:rPr>
            </w:pPr>
            <w:r w:rsidRPr="007314B0">
              <w:t>Personnes déclarées de sexe féminin à la naissance qui utilisent la PrEP orale pour éviter de contracter le VIH lors de rapports sexuels</w:t>
            </w:r>
          </w:p>
          <w:p w14:paraId="4A919786" w14:textId="4CFDB425" w:rsidR="000B6A5E" w:rsidRPr="007314B0" w:rsidRDefault="000B6A5E" w:rsidP="00DD508F">
            <w:pPr>
              <w:spacing w:after="120"/>
              <w:rPr>
                <w:rFonts w:cstheme="minorHAnsi"/>
              </w:rPr>
            </w:pPr>
            <w:r w:rsidRPr="007314B0">
              <w:t xml:space="preserve"> </w:t>
            </w:r>
          </w:p>
        </w:tc>
        <w:tc>
          <w:tcPr>
            <w:tcW w:w="2410" w:type="dxa"/>
            <w:tcBorders>
              <w:top w:val="single" w:sz="4" w:space="0" w:color="auto"/>
            </w:tcBorders>
          </w:tcPr>
          <w:p w14:paraId="3E7972A5" w14:textId="22805867" w:rsidR="000B6A5E" w:rsidRPr="007314B0" w:rsidRDefault="006B2417" w:rsidP="00DD508F">
            <w:pPr>
              <w:spacing w:after="120"/>
              <w:rPr>
                <w:rFonts w:eastAsia="Times New Roman" w:cstheme="minorHAnsi"/>
              </w:rPr>
            </w:pPr>
            <w:r w:rsidRPr="007314B0">
              <w:rPr>
                <w:color w:val="000000" w:themeColor="dark1"/>
              </w:rPr>
              <w:t>Femmes</w:t>
            </w:r>
            <w:r w:rsidR="000B6A5E" w:rsidRPr="007314B0">
              <w:rPr>
                <w:color w:val="000000" w:themeColor="dark1"/>
              </w:rPr>
              <w:t xml:space="preserve"> cisgenres</w:t>
            </w:r>
          </w:p>
          <w:p w14:paraId="542FF46A" w14:textId="25806334" w:rsidR="000B6A5E" w:rsidRPr="007314B0" w:rsidRDefault="006B2417" w:rsidP="00DD508F">
            <w:pPr>
              <w:spacing w:after="120"/>
              <w:rPr>
                <w:rFonts w:eastAsia="Times New Roman" w:cstheme="minorHAnsi"/>
              </w:rPr>
            </w:pPr>
            <w:r w:rsidRPr="007314B0">
              <w:rPr>
                <w:color w:val="000000" w:themeColor="dark1"/>
              </w:rPr>
              <w:t>Hommes</w:t>
            </w:r>
            <w:r w:rsidR="000B6A5E" w:rsidRPr="007314B0">
              <w:rPr>
                <w:color w:val="000000" w:themeColor="dark1"/>
              </w:rPr>
              <w:t xml:space="preserve"> transgenres</w:t>
            </w:r>
          </w:p>
          <w:p w14:paraId="588C34E5" w14:textId="1863F7F0" w:rsidR="003401E8" w:rsidRPr="007314B0" w:rsidRDefault="006B2417">
            <w:pPr>
              <w:spacing w:after="0"/>
              <w:rPr>
                <w:color w:val="000000" w:themeColor="dark1"/>
                <w:kern w:val="24"/>
              </w:rPr>
            </w:pPr>
            <w:r w:rsidRPr="007314B0">
              <w:rPr>
                <w:color w:val="000000" w:themeColor="dark1"/>
              </w:rPr>
              <w:t>Personnes</w:t>
            </w:r>
            <w:r w:rsidR="000B6A5E" w:rsidRPr="007314B0">
              <w:rPr>
                <w:color w:val="000000" w:themeColor="dark1"/>
              </w:rPr>
              <w:t xml:space="preserve"> non binaires déclarées de sexe féminin à la naissance</w:t>
            </w:r>
          </w:p>
          <w:p w14:paraId="68F64729" w14:textId="1881512F" w:rsidR="000B6A5E" w:rsidRPr="007314B0" w:rsidRDefault="000B6A5E" w:rsidP="00DD508F">
            <w:pPr>
              <w:spacing w:after="120"/>
              <w:rPr>
                <w:rFonts w:cstheme="minorHAnsi"/>
              </w:rPr>
            </w:pPr>
          </w:p>
        </w:tc>
        <w:tc>
          <w:tcPr>
            <w:tcW w:w="1977" w:type="dxa"/>
            <w:tcBorders>
              <w:top w:val="single" w:sz="4" w:space="0" w:color="auto"/>
            </w:tcBorders>
          </w:tcPr>
          <w:p w14:paraId="4B14CDDB" w14:textId="4FBED1B7" w:rsidR="000B6A5E" w:rsidRPr="007314B0" w:rsidRDefault="00F95821" w:rsidP="00DD508F">
            <w:pPr>
              <w:spacing w:after="120"/>
              <w:rPr>
                <w:rFonts w:cstheme="minorHAnsi"/>
              </w:rPr>
            </w:pPr>
            <w:r w:rsidRPr="007314B0">
              <w:rPr>
                <w:color w:val="000000" w:themeColor="dark1"/>
              </w:rPr>
              <w:t>PrEP quotidienne : Prendre une dose unique par jour pendant sept jours avant l’exposition potentielle.</w:t>
            </w:r>
          </w:p>
        </w:tc>
        <w:tc>
          <w:tcPr>
            <w:tcW w:w="1717" w:type="dxa"/>
            <w:tcBorders>
              <w:top w:val="single" w:sz="4" w:space="0" w:color="auto"/>
            </w:tcBorders>
          </w:tcPr>
          <w:p w14:paraId="1D0008F7" w14:textId="0DBC00BC" w:rsidR="000230D1" w:rsidRPr="007314B0" w:rsidRDefault="000230D1" w:rsidP="00DD508F">
            <w:pPr>
              <w:spacing w:after="120"/>
              <w:rPr>
                <w:rFonts w:eastAsia="Times New Roman" w:cstheme="minorHAnsi"/>
                <w:color w:val="000000" w:themeColor="dark1"/>
                <w:kern w:val="24"/>
              </w:rPr>
            </w:pPr>
            <w:r w:rsidRPr="007314B0">
              <w:rPr>
                <w:color w:val="000000" w:themeColor="dark1"/>
              </w:rPr>
              <w:t>Prendre une dose par jour.</w:t>
            </w:r>
          </w:p>
        </w:tc>
        <w:tc>
          <w:tcPr>
            <w:tcW w:w="1978" w:type="dxa"/>
            <w:tcBorders>
              <w:top w:val="single" w:sz="4" w:space="0" w:color="auto"/>
            </w:tcBorders>
          </w:tcPr>
          <w:p w14:paraId="782A1BDA" w14:textId="1E55C89C" w:rsidR="000B6A5E" w:rsidRPr="007314B0" w:rsidRDefault="00587C06" w:rsidP="00DD508F">
            <w:pPr>
              <w:spacing w:after="120"/>
              <w:rPr>
                <w:rFonts w:cstheme="minorHAnsi"/>
              </w:rPr>
            </w:pPr>
            <w:r w:rsidRPr="007314B0">
              <w:rPr>
                <w:color w:val="000000" w:themeColor="dark1"/>
              </w:rPr>
              <w:t>Il est possible d’arrêter la PrEP après avoir pris une dose unique par jour pendant sept jours après la dernière exposition potentielle.</w:t>
            </w:r>
          </w:p>
        </w:tc>
      </w:tr>
      <w:tr w:rsidR="00776224" w:rsidRPr="007314B0" w14:paraId="6B801794" w14:textId="77777777" w:rsidTr="00B25741">
        <w:tc>
          <w:tcPr>
            <w:tcW w:w="2374" w:type="dxa"/>
            <w:tcBorders>
              <w:bottom w:val="single" w:sz="4" w:space="0" w:color="auto"/>
            </w:tcBorders>
          </w:tcPr>
          <w:p w14:paraId="04EBD8AC" w14:textId="29E741FB" w:rsidR="00776224" w:rsidRPr="007314B0" w:rsidDel="00A734D8" w:rsidRDefault="00776224" w:rsidP="00DD508F">
            <w:pPr>
              <w:spacing w:after="120"/>
            </w:pPr>
            <w:r w:rsidRPr="007314B0">
              <w:t>Personnes déclarées de sexe masculin à la naissance qui prennent des hormones exogènes à base d’œstradiol et qui utilisent une PrEP orale pour éviter de contracter le VIH lors de rapports sexuels</w:t>
            </w:r>
          </w:p>
        </w:tc>
        <w:tc>
          <w:tcPr>
            <w:tcW w:w="2410" w:type="dxa"/>
            <w:tcBorders>
              <w:bottom w:val="single" w:sz="4" w:space="0" w:color="auto"/>
            </w:tcBorders>
          </w:tcPr>
          <w:p w14:paraId="635EEC63" w14:textId="741B6314" w:rsidR="00776224" w:rsidRPr="007314B0" w:rsidRDefault="006B2417" w:rsidP="00776224">
            <w:pPr>
              <w:spacing w:after="120"/>
              <w:rPr>
                <w:rFonts w:eastAsia="Times New Roman"/>
              </w:rPr>
            </w:pPr>
            <w:r w:rsidRPr="007314B0">
              <w:rPr>
                <w:color w:val="000000" w:themeColor="dark1"/>
              </w:rPr>
              <w:t>Femmes</w:t>
            </w:r>
            <w:r w:rsidR="00776224" w:rsidRPr="007314B0">
              <w:rPr>
                <w:color w:val="000000" w:themeColor="dark1"/>
              </w:rPr>
              <w:t xml:space="preserve"> transgenres qui prennent des hormones exogènes à base d’œstradiol</w:t>
            </w:r>
          </w:p>
          <w:p w14:paraId="66E3F15C" w14:textId="0DFE6FBE" w:rsidR="00776224" w:rsidRPr="007314B0" w:rsidDel="00A734D8" w:rsidRDefault="006B2417" w:rsidP="00776224">
            <w:pPr>
              <w:spacing w:after="120"/>
              <w:rPr>
                <w:rFonts w:cstheme="minorHAnsi"/>
                <w:color w:val="000000" w:themeColor="dark1"/>
                <w:kern w:val="24"/>
              </w:rPr>
            </w:pPr>
            <w:r w:rsidRPr="007314B0">
              <w:rPr>
                <w:color w:val="000000" w:themeColor="dark1"/>
              </w:rPr>
              <w:t>Personnes</w:t>
            </w:r>
            <w:r w:rsidR="00776224" w:rsidRPr="007314B0">
              <w:rPr>
                <w:color w:val="000000" w:themeColor="dark1"/>
              </w:rPr>
              <w:t xml:space="preserve"> non binaires déclarées de sexe masculin à la naissance qui prennent des hormones exogènes à base d’œstradiol </w:t>
            </w:r>
          </w:p>
        </w:tc>
        <w:tc>
          <w:tcPr>
            <w:tcW w:w="1977" w:type="dxa"/>
            <w:tcBorders>
              <w:bottom w:val="single" w:sz="4" w:space="0" w:color="auto"/>
            </w:tcBorders>
          </w:tcPr>
          <w:p w14:paraId="51AF3D13" w14:textId="77777777" w:rsidR="00776224" w:rsidRPr="007314B0" w:rsidRDefault="00776224" w:rsidP="00DD508F">
            <w:pPr>
              <w:spacing w:after="120"/>
              <w:rPr>
                <w:rFonts w:eastAsia="Times New Roman" w:cstheme="minorHAnsi"/>
                <w:color w:val="000000" w:themeColor="dark1"/>
                <w:kern w:val="24"/>
              </w:rPr>
            </w:pPr>
          </w:p>
        </w:tc>
        <w:tc>
          <w:tcPr>
            <w:tcW w:w="1717" w:type="dxa"/>
            <w:tcBorders>
              <w:bottom w:val="single" w:sz="4" w:space="0" w:color="auto"/>
            </w:tcBorders>
          </w:tcPr>
          <w:p w14:paraId="4AC6D5E6" w14:textId="77777777" w:rsidR="00776224" w:rsidRPr="007314B0" w:rsidRDefault="00776224" w:rsidP="00DD508F">
            <w:pPr>
              <w:spacing w:after="120"/>
              <w:rPr>
                <w:rFonts w:eastAsia="Times New Roman" w:cstheme="minorHAnsi"/>
                <w:color w:val="000000" w:themeColor="dark1"/>
                <w:kern w:val="24"/>
              </w:rPr>
            </w:pPr>
          </w:p>
        </w:tc>
        <w:tc>
          <w:tcPr>
            <w:tcW w:w="1978" w:type="dxa"/>
            <w:tcBorders>
              <w:bottom w:val="single" w:sz="4" w:space="0" w:color="auto"/>
            </w:tcBorders>
          </w:tcPr>
          <w:p w14:paraId="4908A3C8" w14:textId="77777777" w:rsidR="00776224" w:rsidRPr="007314B0" w:rsidRDefault="00776224" w:rsidP="00DD508F">
            <w:pPr>
              <w:spacing w:after="120"/>
              <w:rPr>
                <w:rFonts w:eastAsia="Times New Roman" w:cstheme="minorHAnsi"/>
                <w:color w:val="000000" w:themeColor="dark1"/>
                <w:kern w:val="24"/>
              </w:rPr>
            </w:pPr>
          </w:p>
        </w:tc>
      </w:tr>
      <w:tr w:rsidR="003C5C1E" w:rsidRPr="007314B0" w14:paraId="56642CB2" w14:textId="77777777" w:rsidTr="00B25741">
        <w:tc>
          <w:tcPr>
            <w:tcW w:w="2374" w:type="dxa"/>
            <w:tcBorders>
              <w:top w:val="single" w:sz="4" w:space="0" w:color="auto"/>
              <w:bottom w:val="single" w:sz="4" w:space="0" w:color="auto"/>
            </w:tcBorders>
          </w:tcPr>
          <w:p w14:paraId="6661F8E7" w14:textId="3A4F8EF1" w:rsidR="003C5C1E" w:rsidRPr="007314B0" w:rsidRDefault="006B2417" w:rsidP="003C5C1E">
            <w:pPr>
              <w:spacing w:after="120"/>
            </w:pPr>
            <w:r w:rsidRPr="007314B0">
              <w:t>Personnes</w:t>
            </w:r>
            <w:r w:rsidR="003C5C1E" w:rsidRPr="007314B0">
              <w:t xml:space="preserve"> qui utilisent une PrEP orale pour éviter de contracter le </w:t>
            </w:r>
            <w:r w:rsidR="003C5C1E" w:rsidRPr="007314B0">
              <w:lastRenderedPageBreak/>
              <w:t>VIH lors d’expositions non sexuelles</w:t>
            </w:r>
          </w:p>
          <w:p w14:paraId="059D6D7D" w14:textId="77777777" w:rsidR="003C5C1E" w:rsidRPr="007314B0" w:rsidRDefault="003C5C1E" w:rsidP="003C5C1E">
            <w:pPr>
              <w:spacing w:after="120"/>
            </w:pPr>
          </w:p>
        </w:tc>
        <w:tc>
          <w:tcPr>
            <w:tcW w:w="2410" w:type="dxa"/>
            <w:tcBorders>
              <w:top w:val="single" w:sz="4" w:space="0" w:color="auto"/>
              <w:bottom w:val="single" w:sz="4" w:space="0" w:color="auto"/>
            </w:tcBorders>
          </w:tcPr>
          <w:p w14:paraId="037E0D82" w14:textId="35831685" w:rsidR="003C5C1E" w:rsidRPr="007314B0" w:rsidRDefault="006B2417" w:rsidP="003C5C1E">
            <w:pPr>
              <w:spacing w:after="120"/>
              <w:rPr>
                <w:rFonts w:eastAsia="Times New Roman" w:cstheme="minorHAnsi"/>
              </w:rPr>
            </w:pPr>
            <w:r w:rsidRPr="007314B0">
              <w:rPr>
                <w:color w:val="000000" w:themeColor="dark1"/>
              </w:rPr>
              <w:lastRenderedPageBreak/>
              <w:t>Toute</w:t>
            </w:r>
            <w:r w:rsidR="003C5C1E" w:rsidRPr="007314B0">
              <w:rPr>
                <w:color w:val="000000" w:themeColor="dark1"/>
              </w:rPr>
              <w:t xml:space="preserve"> personne qui partage du matériel d’injection</w:t>
            </w:r>
            <w:r w:rsidR="003C5C1E" w:rsidRPr="007314B0">
              <w:rPr>
                <w:rStyle w:val="FootnoteReference"/>
                <w:color w:val="000000" w:themeColor="dark1"/>
                <w:kern w:val="24"/>
              </w:rPr>
              <w:footnoteReference w:id="16"/>
            </w:r>
          </w:p>
        </w:tc>
        <w:tc>
          <w:tcPr>
            <w:tcW w:w="1977" w:type="dxa"/>
            <w:tcBorders>
              <w:top w:val="single" w:sz="4" w:space="0" w:color="auto"/>
              <w:bottom w:val="single" w:sz="4" w:space="0" w:color="auto"/>
            </w:tcBorders>
          </w:tcPr>
          <w:p w14:paraId="15D8F771" w14:textId="25934DA1" w:rsidR="003C5C1E" w:rsidRPr="007314B0" w:rsidRDefault="00F95821" w:rsidP="003C5C1E">
            <w:pPr>
              <w:spacing w:after="120"/>
              <w:rPr>
                <w:rFonts w:eastAsia="Times New Roman" w:cstheme="minorHAnsi"/>
                <w:color w:val="000000" w:themeColor="dark1"/>
                <w:kern w:val="24"/>
              </w:rPr>
            </w:pPr>
            <w:r w:rsidRPr="007314B0">
              <w:rPr>
                <w:color w:val="000000" w:themeColor="dark1"/>
              </w:rPr>
              <w:t xml:space="preserve">PrEP quotidienne : Prendre une dose unique par jour pendant sept jours </w:t>
            </w:r>
            <w:r w:rsidRPr="007314B0">
              <w:rPr>
                <w:color w:val="000000" w:themeColor="dark1"/>
              </w:rPr>
              <w:lastRenderedPageBreak/>
              <w:t>avant l’exposition potentielle.</w:t>
            </w:r>
          </w:p>
        </w:tc>
        <w:tc>
          <w:tcPr>
            <w:tcW w:w="1717" w:type="dxa"/>
            <w:tcBorders>
              <w:top w:val="single" w:sz="4" w:space="0" w:color="auto"/>
              <w:bottom w:val="single" w:sz="4" w:space="0" w:color="auto"/>
            </w:tcBorders>
          </w:tcPr>
          <w:p w14:paraId="3F995AE8" w14:textId="1DE037FA" w:rsidR="003C5C1E" w:rsidRPr="007314B0" w:rsidRDefault="003C5C1E" w:rsidP="003C5C1E">
            <w:pPr>
              <w:spacing w:after="120"/>
              <w:rPr>
                <w:rFonts w:eastAsia="Times New Roman" w:cstheme="minorHAnsi"/>
                <w:color w:val="000000" w:themeColor="dark1"/>
                <w:kern w:val="24"/>
              </w:rPr>
            </w:pPr>
            <w:r w:rsidRPr="007314B0">
              <w:rPr>
                <w:color w:val="000000" w:themeColor="dark1"/>
              </w:rPr>
              <w:lastRenderedPageBreak/>
              <w:t>Prendre une dose par jour.</w:t>
            </w:r>
          </w:p>
        </w:tc>
        <w:tc>
          <w:tcPr>
            <w:tcW w:w="1978" w:type="dxa"/>
            <w:tcBorders>
              <w:top w:val="single" w:sz="4" w:space="0" w:color="auto"/>
              <w:bottom w:val="single" w:sz="4" w:space="0" w:color="auto"/>
            </w:tcBorders>
          </w:tcPr>
          <w:p w14:paraId="79413A3D" w14:textId="311384DF" w:rsidR="003C5C1E" w:rsidRPr="007314B0" w:rsidRDefault="003C5C1E" w:rsidP="003C5C1E">
            <w:pPr>
              <w:spacing w:after="120"/>
              <w:rPr>
                <w:rFonts w:eastAsia="Times New Roman" w:cstheme="minorHAnsi"/>
                <w:color w:val="000000" w:themeColor="dark1"/>
                <w:kern w:val="24"/>
              </w:rPr>
            </w:pPr>
            <w:r w:rsidRPr="007314B0">
              <w:rPr>
                <w:color w:val="000000" w:themeColor="dark1"/>
              </w:rPr>
              <w:t xml:space="preserve">Il est possible d’arrêter la PrEP après avoir pris une dose unique par </w:t>
            </w:r>
            <w:r w:rsidRPr="007314B0">
              <w:rPr>
                <w:color w:val="000000" w:themeColor="dark1"/>
              </w:rPr>
              <w:lastRenderedPageBreak/>
              <w:t>jour pendant sept jours après la dernière exposition potentielle.</w:t>
            </w:r>
          </w:p>
        </w:tc>
      </w:tr>
      <w:tr w:rsidR="003C5C1E" w:rsidRPr="007314B0" w14:paraId="5D3720E1" w14:textId="77777777" w:rsidTr="00B25741">
        <w:tc>
          <w:tcPr>
            <w:tcW w:w="2374" w:type="dxa"/>
            <w:tcBorders>
              <w:top w:val="single" w:sz="4" w:space="0" w:color="auto"/>
            </w:tcBorders>
          </w:tcPr>
          <w:p w14:paraId="3C46ED2A" w14:textId="77777777" w:rsidR="003C5C1E" w:rsidRPr="007314B0" w:rsidRDefault="003C5C1E" w:rsidP="003C5C1E">
            <w:pPr>
              <w:spacing w:after="120"/>
            </w:pPr>
          </w:p>
        </w:tc>
        <w:tc>
          <w:tcPr>
            <w:tcW w:w="2410" w:type="dxa"/>
            <w:tcBorders>
              <w:top w:val="single" w:sz="4" w:space="0" w:color="auto"/>
            </w:tcBorders>
          </w:tcPr>
          <w:p w14:paraId="08054691" w14:textId="77777777" w:rsidR="003C5C1E" w:rsidRPr="007314B0" w:rsidRDefault="003C5C1E" w:rsidP="003C5C1E">
            <w:pPr>
              <w:spacing w:after="120"/>
              <w:rPr>
                <w:rFonts w:cstheme="minorHAnsi"/>
                <w:color w:val="000000" w:themeColor="dark1"/>
                <w:kern w:val="24"/>
              </w:rPr>
            </w:pPr>
          </w:p>
        </w:tc>
        <w:tc>
          <w:tcPr>
            <w:tcW w:w="1977" w:type="dxa"/>
            <w:tcBorders>
              <w:top w:val="single" w:sz="4" w:space="0" w:color="auto"/>
            </w:tcBorders>
          </w:tcPr>
          <w:p w14:paraId="4D70E824" w14:textId="77777777" w:rsidR="003C5C1E" w:rsidRPr="007314B0" w:rsidRDefault="003C5C1E" w:rsidP="003C5C1E">
            <w:pPr>
              <w:spacing w:after="120"/>
              <w:rPr>
                <w:rFonts w:eastAsia="Times New Roman" w:cstheme="minorHAnsi"/>
                <w:color w:val="000000" w:themeColor="dark1"/>
                <w:kern w:val="24"/>
              </w:rPr>
            </w:pPr>
          </w:p>
        </w:tc>
        <w:tc>
          <w:tcPr>
            <w:tcW w:w="1717" w:type="dxa"/>
            <w:tcBorders>
              <w:top w:val="single" w:sz="4" w:space="0" w:color="auto"/>
            </w:tcBorders>
          </w:tcPr>
          <w:p w14:paraId="7F868125" w14:textId="77777777" w:rsidR="003C5C1E" w:rsidRPr="007314B0" w:rsidRDefault="003C5C1E" w:rsidP="003C5C1E">
            <w:pPr>
              <w:spacing w:after="120"/>
              <w:rPr>
                <w:rFonts w:eastAsia="Times New Roman" w:cstheme="minorHAnsi"/>
                <w:color w:val="000000" w:themeColor="dark1"/>
                <w:kern w:val="24"/>
              </w:rPr>
            </w:pPr>
          </w:p>
        </w:tc>
        <w:tc>
          <w:tcPr>
            <w:tcW w:w="1978" w:type="dxa"/>
            <w:tcBorders>
              <w:top w:val="single" w:sz="4" w:space="0" w:color="auto"/>
            </w:tcBorders>
          </w:tcPr>
          <w:p w14:paraId="66156100" w14:textId="77777777" w:rsidR="003C5C1E" w:rsidRPr="007314B0" w:rsidRDefault="003C5C1E" w:rsidP="003C5C1E">
            <w:pPr>
              <w:spacing w:after="120"/>
              <w:rPr>
                <w:rFonts w:eastAsia="Times New Roman" w:cstheme="minorHAnsi"/>
                <w:color w:val="000000" w:themeColor="dark1"/>
                <w:kern w:val="24"/>
              </w:rPr>
            </w:pPr>
          </w:p>
        </w:tc>
      </w:tr>
    </w:tbl>
    <w:p w14:paraId="2DBB657C" w14:textId="03127863" w:rsidR="2DD69692" w:rsidRPr="007314B0" w:rsidRDefault="2DD69692"/>
    <w:p w14:paraId="0AFB637C" w14:textId="60C22496" w:rsidR="00E26053" w:rsidRPr="007314B0" w:rsidRDefault="00E26053" w:rsidP="00415796">
      <w:pPr>
        <w:pStyle w:val="Heading4"/>
        <w:spacing w:before="240" w:after="120" w:line="240" w:lineRule="auto"/>
        <w:rPr>
          <w:rFonts w:asciiTheme="minorHAnsi" w:hAnsiTheme="minorHAnsi" w:cstheme="minorBidi"/>
          <w:i w:val="0"/>
        </w:rPr>
      </w:pPr>
      <w:bookmarkStart w:id="12" w:name="_Toc124428491"/>
      <w:bookmarkStart w:id="13" w:name="_Toc10553354"/>
      <w:bookmarkStart w:id="14" w:name="_Toc31180117"/>
      <w:bookmarkStart w:id="15" w:name="_Toc31190668"/>
      <w:bookmarkStart w:id="16" w:name="_Toc61604570"/>
      <w:r w:rsidRPr="007314B0">
        <w:rPr>
          <w:rFonts w:asciiTheme="minorHAnsi" w:hAnsiTheme="minorHAnsi"/>
          <w:i w:val="0"/>
        </w:rPr>
        <w:t>Directives supplémentaires pour l’utilisation de la PrEP ponctuelle (ED-PrEP)</w:t>
      </w:r>
      <w:bookmarkEnd w:id="12"/>
    </w:p>
    <w:p w14:paraId="3E37CB03" w14:textId="358BDEFB" w:rsidR="00E26053" w:rsidRPr="007314B0" w:rsidRDefault="00E26053" w:rsidP="00DD508F">
      <w:pPr>
        <w:spacing w:after="120" w:line="240" w:lineRule="auto"/>
        <w:rPr>
          <w:i/>
        </w:rPr>
      </w:pPr>
      <w:r w:rsidRPr="007314B0">
        <w:t xml:space="preserve">Les patients AMAB qui ne prennent pas d’hormones exogènes à base d’œstradiol peuvent tirer profit de la présentation de certains scénarios par les prestataires </w:t>
      </w:r>
      <w:r w:rsidR="00BC050B" w:rsidRPr="007314B0">
        <w:t xml:space="preserve">de santé </w:t>
      </w:r>
      <w:r w:rsidRPr="007314B0">
        <w:t xml:space="preserve">dans le but de soutenir une bonne utilisation de l’ED-PrEP. Voir les </w:t>
      </w:r>
      <w:r w:rsidRPr="007314B0">
        <w:rPr>
          <w:i/>
          <w:iCs/>
        </w:rPr>
        <w:t>figures 1 à 6</w:t>
      </w:r>
      <w:r w:rsidRPr="007314B0">
        <w:t xml:space="preserve"> ci-dessous.</w:t>
      </w:r>
    </w:p>
    <w:p w14:paraId="512083E2" w14:textId="7EEB481E" w:rsidR="00E26053" w:rsidRPr="007314B0" w:rsidRDefault="00E26053" w:rsidP="00415796">
      <w:r w:rsidRPr="007314B0">
        <w:rPr>
          <w:b/>
        </w:rPr>
        <w:t>Figure 1. Exemple d’utilisation de l’ED-PrEP pour un rapport sexuel occasionnel ou le même jour</w:t>
      </w:r>
    </w:p>
    <w:p w14:paraId="677048F2" w14:textId="44C2DF1B" w:rsidR="00E26053" w:rsidRPr="007314B0" w:rsidRDefault="00B775FF" w:rsidP="00DD508F">
      <w:pPr>
        <w:pStyle w:val="RISEBodyText"/>
        <w:spacing w:after="120"/>
        <w:rPr>
          <w:rFonts w:asciiTheme="minorHAnsi" w:hAnsiTheme="minorHAnsi" w:cstheme="minorBidi"/>
        </w:rPr>
      </w:pPr>
      <w:r w:rsidRPr="007314B0">
        <w:rPr>
          <w:noProof/>
        </w:rPr>
        <w:drawing>
          <wp:inline distT="0" distB="0" distL="0" distR="0" wp14:anchorId="02F5F829" wp14:editId="11060F66">
            <wp:extent cx="4101558" cy="1571625"/>
            <wp:effectExtent l="0" t="0" r="0" b="0"/>
            <wp:docPr id="4"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4104057" cy="1572583"/>
                    </a:xfrm>
                    <a:prstGeom prst="rect">
                      <a:avLst/>
                    </a:prstGeom>
                  </pic:spPr>
                </pic:pic>
              </a:graphicData>
            </a:graphic>
          </wp:inline>
        </w:drawing>
      </w:r>
    </w:p>
    <w:p w14:paraId="1C185DD9" w14:textId="151DE585" w:rsidR="00E26053" w:rsidRPr="007314B0" w:rsidRDefault="00E26053" w:rsidP="00DD508F">
      <w:pPr>
        <w:pStyle w:val="RISEDisplaynumberandtitledt"/>
        <w:spacing w:after="120"/>
        <w:rPr>
          <w:rFonts w:asciiTheme="minorHAnsi" w:hAnsiTheme="minorHAnsi" w:cstheme="minorBidi"/>
          <w:color w:val="auto"/>
          <w:sz w:val="22"/>
        </w:rPr>
      </w:pPr>
      <w:r w:rsidRPr="007314B0">
        <w:rPr>
          <w:rFonts w:asciiTheme="minorHAnsi" w:hAnsiTheme="minorHAnsi"/>
          <w:color w:val="auto"/>
          <w:sz w:val="22"/>
        </w:rPr>
        <w:t>Figure 2. Exemple d’utilisation de l’ED-PrEP pour des rapports sexuels pendant plusieurs jours consécutifs</w:t>
      </w:r>
    </w:p>
    <w:p w14:paraId="1F246AEF" w14:textId="77C0339C" w:rsidR="00E26053" w:rsidRPr="007314B0" w:rsidRDefault="00507241" w:rsidP="00DD508F">
      <w:pPr>
        <w:spacing w:after="120" w:line="240" w:lineRule="auto"/>
      </w:pPr>
      <w:r w:rsidRPr="007314B0">
        <w:rPr>
          <w:noProof/>
        </w:rPr>
        <w:drawing>
          <wp:inline distT="0" distB="0" distL="0" distR="0" wp14:anchorId="2388D332" wp14:editId="1AFF77FF">
            <wp:extent cx="3504520" cy="1554480"/>
            <wp:effectExtent l="0" t="0" r="1270" b="7620"/>
            <wp:docPr id="5"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504520" cy="1554480"/>
                    </a:xfrm>
                    <a:prstGeom prst="rect">
                      <a:avLst/>
                    </a:prstGeom>
                  </pic:spPr>
                </pic:pic>
              </a:graphicData>
            </a:graphic>
          </wp:inline>
        </w:drawing>
      </w:r>
    </w:p>
    <w:p w14:paraId="53271DAD" w14:textId="6DBC0D91" w:rsidR="00E26053" w:rsidRPr="007314B0" w:rsidRDefault="00E26053" w:rsidP="00DD508F">
      <w:pPr>
        <w:pStyle w:val="RISEDisplaynumberandtitledt"/>
        <w:spacing w:after="120"/>
        <w:rPr>
          <w:rFonts w:asciiTheme="minorHAnsi" w:hAnsiTheme="minorHAnsi" w:cstheme="minorBidi"/>
          <w:color w:val="auto"/>
          <w:sz w:val="22"/>
        </w:rPr>
      </w:pPr>
      <w:r w:rsidRPr="007314B0">
        <w:rPr>
          <w:rFonts w:asciiTheme="minorHAnsi" w:hAnsiTheme="minorHAnsi"/>
          <w:color w:val="auto"/>
          <w:sz w:val="22"/>
        </w:rPr>
        <w:t>Figure 3. Exemple d’utilisation de l’ED-PrEP pour des rapports sexuels pendant plusieurs jours non consécutifs</w:t>
      </w:r>
    </w:p>
    <w:p w14:paraId="74B4A4BB" w14:textId="1EF0785D" w:rsidR="00E26053" w:rsidRPr="007314B0" w:rsidRDefault="00D53E5C" w:rsidP="00DD508F">
      <w:pPr>
        <w:spacing w:after="120" w:line="240" w:lineRule="auto"/>
      </w:pPr>
      <w:r w:rsidRPr="007314B0">
        <w:rPr>
          <w:noProof/>
        </w:rPr>
        <w:drawing>
          <wp:inline distT="0" distB="0" distL="0" distR="0" wp14:anchorId="6A0D39C6" wp14:editId="347D055A">
            <wp:extent cx="3459750" cy="1554480"/>
            <wp:effectExtent l="0" t="0" r="7620" b="7620"/>
            <wp:docPr id="6"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3459750" cy="1554480"/>
                    </a:xfrm>
                    <a:prstGeom prst="rect">
                      <a:avLst/>
                    </a:prstGeom>
                  </pic:spPr>
                </pic:pic>
              </a:graphicData>
            </a:graphic>
          </wp:inline>
        </w:drawing>
      </w:r>
    </w:p>
    <w:p w14:paraId="62F67C20" w14:textId="110A4B3B" w:rsidR="009B4F35" w:rsidRPr="007314B0" w:rsidRDefault="009B4F35" w:rsidP="00DD508F">
      <w:pPr>
        <w:pStyle w:val="RISEDisplaynumberandtitledt"/>
        <w:spacing w:after="120"/>
        <w:rPr>
          <w:rFonts w:asciiTheme="minorHAnsi" w:hAnsiTheme="minorHAnsi" w:cstheme="minorBidi"/>
          <w:color w:val="auto"/>
          <w:sz w:val="22"/>
        </w:rPr>
      </w:pPr>
      <w:r w:rsidRPr="007314B0">
        <w:rPr>
          <w:rFonts w:asciiTheme="minorHAnsi" w:hAnsiTheme="minorHAnsi"/>
          <w:color w:val="auto"/>
          <w:sz w:val="22"/>
        </w:rPr>
        <w:t>Figure 4. Exemple d’utilisation de l’ED-PrEP en l’absence de rapports sexuels</w:t>
      </w:r>
    </w:p>
    <w:p w14:paraId="20A67841" w14:textId="31C9835B" w:rsidR="00DA63A5" w:rsidRPr="007314B0" w:rsidRDefault="00DA63A5" w:rsidP="00DD508F">
      <w:pPr>
        <w:pStyle w:val="RISEDisplaynumberandtitledt"/>
        <w:spacing w:after="120"/>
        <w:rPr>
          <w:rFonts w:asciiTheme="minorHAnsi" w:hAnsiTheme="minorHAnsi" w:cstheme="minorHAnsi"/>
          <w:color w:val="auto"/>
          <w:sz w:val="22"/>
        </w:rPr>
      </w:pPr>
      <w:r w:rsidRPr="007314B0">
        <w:rPr>
          <w:rFonts w:asciiTheme="minorHAnsi" w:hAnsiTheme="minorHAnsi"/>
          <w:noProof/>
          <w:color w:val="auto"/>
          <w:sz w:val="22"/>
        </w:rPr>
        <w:lastRenderedPageBreak/>
        <w:drawing>
          <wp:inline distT="0" distB="0" distL="0" distR="0" wp14:anchorId="1AC11819" wp14:editId="667995E9">
            <wp:extent cx="4028195" cy="1554480"/>
            <wp:effectExtent l="0" t="0" r="0" b="7620"/>
            <wp:docPr id="18"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4"/>
                    <a:stretch>
                      <a:fillRect/>
                    </a:stretch>
                  </pic:blipFill>
                  <pic:spPr>
                    <a:xfrm>
                      <a:off x="0" y="0"/>
                      <a:ext cx="4028195" cy="1554480"/>
                    </a:xfrm>
                    <a:prstGeom prst="rect">
                      <a:avLst/>
                    </a:prstGeom>
                  </pic:spPr>
                </pic:pic>
              </a:graphicData>
            </a:graphic>
          </wp:inline>
        </w:drawing>
      </w:r>
    </w:p>
    <w:p w14:paraId="78573C65" w14:textId="7BC3FB87" w:rsidR="000B6A5E" w:rsidRPr="007314B0" w:rsidRDefault="00D35570" w:rsidP="00DD508F">
      <w:pPr>
        <w:pStyle w:val="RISEBodyText"/>
        <w:spacing w:after="120"/>
        <w:rPr>
          <w:rFonts w:asciiTheme="minorHAnsi" w:hAnsiTheme="minorHAnsi" w:cstheme="minorBidi"/>
          <w:color w:val="auto"/>
        </w:rPr>
      </w:pPr>
      <w:r w:rsidRPr="007314B0">
        <w:rPr>
          <w:rFonts w:asciiTheme="minorHAnsi" w:hAnsiTheme="minorHAnsi"/>
        </w:rPr>
        <w:t>Les patients AMAB qui ne prennent pas d’hormones exogènes à base d’œstradiol et qui utilisent la PrEP orale pour éviter de contracter le VIH lors de rapports sexuels peuvent passer de l’ED-PrEP à la PrEP orale quotidienne en fonction de l’évolution de leurs besoins en matière de prévention du VIH.</w:t>
      </w:r>
      <w:r w:rsidRPr="007314B0">
        <w:rPr>
          <w:rFonts w:asciiTheme="minorHAnsi" w:hAnsiTheme="minorHAnsi"/>
          <w:color w:val="auto"/>
        </w:rPr>
        <w:t xml:space="preserve"> Ils peuvent décider d’alterner entre l’ED-PrEP et la PrEP orale quotidienne à la suite d’un changement dans la relation ou du partenaire sexuel, de changements de comportement, d’un déménagement, de toute situation affectant la fréquence et la prévisibilité des rapports sexuels ou si le traitement préféré d’un patient change.</w:t>
      </w:r>
    </w:p>
    <w:p w14:paraId="4729D0F0" w14:textId="69248908" w:rsidR="000B6A5E" w:rsidRPr="007314B0" w:rsidRDefault="2B53C15B" w:rsidP="1D9AD929">
      <w:pPr>
        <w:pStyle w:val="RISEBodyText"/>
        <w:spacing w:after="120"/>
        <w:rPr>
          <w:rFonts w:asciiTheme="minorHAnsi" w:hAnsiTheme="minorHAnsi" w:cstheme="minorBidi"/>
          <w:color w:val="auto"/>
        </w:rPr>
      </w:pPr>
      <w:r w:rsidRPr="007314B0">
        <w:rPr>
          <w:rFonts w:asciiTheme="minorHAnsi" w:hAnsiTheme="minorHAnsi"/>
          <w:color w:val="auto"/>
        </w:rPr>
        <w:t xml:space="preserve">Pour les patients qui utilisent l’ED-PrEP, une transition vers une PrEP orale quotidienne peut être appropriée si les rapports sexuels deviennent plus fréquents et/ou moins prévisibles. De plus, certains patients peuvent préférer une PrEP orale quotidienne pour d’autres raisons. Il n’existe aucune limite au nombre de fois qu’un patient peut passer de l’ED-PrEP à la PrEP orale quotidienne et inversement. Pour passer de l’ED-PrEP à la PrEP orale quotidienne, il doit continuer à prendre la dose quotidienne indéfiniment après la dernière exposition. La prise quotidienne se poursuivra jusqu’à ce que les rapports sexuels redeviennent moins fréquents et plus prévisibles ou aussi longtemps que le patient préfère cette option. Voir la </w:t>
      </w:r>
      <w:r w:rsidRPr="007314B0">
        <w:rPr>
          <w:rFonts w:asciiTheme="minorHAnsi" w:hAnsiTheme="minorHAnsi"/>
          <w:i/>
          <w:iCs/>
          <w:color w:val="auto"/>
        </w:rPr>
        <w:t>Figure 5</w:t>
      </w:r>
      <w:r w:rsidRPr="007314B0">
        <w:rPr>
          <w:rFonts w:asciiTheme="minorHAnsi" w:hAnsiTheme="minorHAnsi"/>
          <w:color w:val="auto"/>
        </w:rPr>
        <w:t xml:space="preserve"> ci-dessous.</w:t>
      </w:r>
    </w:p>
    <w:p w14:paraId="2A4169A5" w14:textId="536A7C2F" w:rsidR="000B6A5E" w:rsidRPr="007314B0" w:rsidRDefault="000B6A5E" w:rsidP="00DD508F">
      <w:pPr>
        <w:pStyle w:val="RISEDisplaynumberandtitledt"/>
        <w:spacing w:after="120"/>
        <w:rPr>
          <w:rFonts w:asciiTheme="minorHAnsi" w:hAnsiTheme="minorHAnsi" w:cstheme="minorBidi"/>
          <w:color w:val="auto"/>
          <w:sz w:val="22"/>
        </w:rPr>
      </w:pPr>
      <w:r w:rsidRPr="007314B0">
        <w:rPr>
          <w:rFonts w:asciiTheme="minorHAnsi" w:hAnsiTheme="minorHAnsi"/>
          <w:color w:val="auto"/>
          <w:sz w:val="22"/>
        </w:rPr>
        <w:t>Figure 5. Exemple de transition de l’ED-PrEP à la PrEP quotidienne</w:t>
      </w:r>
    </w:p>
    <w:p w14:paraId="58A677CC" w14:textId="65BD2F5D" w:rsidR="000B6A5E" w:rsidRPr="007314B0" w:rsidRDefault="0098148A" w:rsidP="00DD508F">
      <w:pPr>
        <w:pStyle w:val="RISEDisplaynumberandtitledt"/>
        <w:spacing w:after="120"/>
        <w:rPr>
          <w:rFonts w:asciiTheme="minorHAnsi" w:hAnsiTheme="minorHAnsi" w:cstheme="minorHAnsi"/>
        </w:rPr>
      </w:pPr>
      <w:r w:rsidRPr="007314B0">
        <w:rPr>
          <w:rFonts w:asciiTheme="minorHAnsi" w:hAnsiTheme="minorHAnsi"/>
          <w:noProof/>
        </w:rPr>
        <w:drawing>
          <wp:inline distT="0" distB="0" distL="0" distR="0" wp14:anchorId="25CEE013" wp14:editId="2DF4CF27">
            <wp:extent cx="6219825" cy="1703826"/>
            <wp:effectExtent l="0" t="0" r="0" b="0"/>
            <wp:docPr id="7"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5"/>
                    <a:stretch>
                      <a:fillRect/>
                    </a:stretch>
                  </pic:blipFill>
                  <pic:spPr>
                    <a:xfrm>
                      <a:off x="0" y="0"/>
                      <a:ext cx="6229854" cy="1706573"/>
                    </a:xfrm>
                    <a:prstGeom prst="rect">
                      <a:avLst/>
                    </a:prstGeom>
                  </pic:spPr>
                </pic:pic>
              </a:graphicData>
            </a:graphic>
          </wp:inline>
        </w:drawing>
      </w:r>
    </w:p>
    <w:p w14:paraId="4B14C53B" w14:textId="4E419BEF" w:rsidR="00D35570" w:rsidRPr="007314B0" w:rsidRDefault="2B53C15B" w:rsidP="1D9AD929">
      <w:pPr>
        <w:pStyle w:val="RISEBodyText"/>
        <w:spacing w:after="120"/>
        <w:rPr>
          <w:rFonts w:asciiTheme="minorHAnsi" w:hAnsiTheme="minorHAnsi" w:cstheme="minorBidi"/>
          <w:color w:val="auto"/>
        </w:rPr>
      </w:pPr>
      <w:r w:rsidRPr="007314B0">
        <w:rPr>
          <w:rFonts w:asciiTheme="minorHAnsi" w:hAnsiTheme="minorHAnsi"/>
        </w:rPr>
        <w:t>Pour les patients AMAB qui ne prennent pas d’hormones exogènes à base d’œstradiol et qui utilisent une PrEP orale quotidienne pour éviter de contracter le VIH lors de rapports sexuels, la transition vers l’ED-PrEP peut être appropriée si les rapports sexuels deviennent moins fréquents et plus prévisibles.</w:t>
      </w:r>
      <w:r w:rsidRPr="007314B0">
        <w:rPr>
          <w:rFonts w:asciiTheme="minorHAnsi" w:hAnsiTheme="minorHAnsi"/>
          <w:color w:val="auto"/>
        </w:rPr>
        <w:t xml:space="preserve"> Pour passer de la PrEP orale quotidienne à l’ED-PrEP, le patient arrête la dose quotidienne deux jours après la dernière exposition potentielle, puis suit le traitement d’ED-PrEP jusqu’à ce que les rapports sexuels deviennent plus fréquents et/ou moins prévisibles. Voir la </w:t>
      </w:r>
      <w:r w:rsidRPr="007314B0">
        <w:rPr>
          <w:rFonts w:asciiTheme="minorHAnsi" w:hAnsiTheme="minorHAnsi"/>
          <w:i/>
          <w:iCs/>
          <w:color w:val="auto"/>
        </w:rPr>
        <w:t>Figure 6</w:t>
      </w:r>
      <w:r w:rsidRPr="007314B0">
        <w:rPr>
          <w:rFonts w:asciiTheme="minorHAnsi" w:hAnsiTheme="minorHAnsi"/>
          <w:color w:val="auto"/>
        </w:rPr>
        <w:t xml:space="preserve"> ci-dessous.</w:t>
      </w:r>
      <w:r w:rsidRPr="007314B0">
        <w:rPr>
          <w:rFonts w:asciiTheme="minorHAnsi" w:hAnsiTheme="minorHAnsi"/>
          <w:i/>
          <w:iCs/>
          <w:color w:val="auto"/>
        </w:rPr>
        <w:t xml:space="preserve"> </w:t>
      </w:r>
    </w:p>
    <w:p w14:paraId="3ED5FABA" w14:textId="3247E374" w:rsidR="000B6A5E" w:rsidRPr="007314B0" w:rsidRDefault="000B6A5E" w:rsidP="00DD508F">
      <w:pPr>
        <w:pStyle w:val="RISEDisplaynumberandtitledt"/>
        <w:spacing w:after="120"/>
        <w:rPr>
          <w:rFonts w:asciiTheme="minorHAnsi" w:hAnsiTheme="minorHAnsi" w:cstheme="minorBidi"/>
          <w:color w:val="auto"/>
          <w:sz w:val="22"/>
        </w:rPr>
      </w:pPr>
      <w:r w:rsidRPr="007314B0">
        <w:rPr>
          <w:rFonts w:asciiTheme="minorHAnsi" w:hAnsiTheme="minorHAnsi"/>
          <w:color w:val="auto"/>
          <w:sz w:val="22"/>
        </w:rPr>
        <w:t>Figure 6. Exemple de transition de la PrEP quotidienne à l’ED-PrEP</w:t>
      </w:r>
    </w:p>
    <w:bookmarkEnd w:id="13"/>
    <w:bookmarkEnd w:id="14"/>
    <w:bookmarkEnd w:id="15"/>
    <w:bookmarkEnd w:id="16"/>
    <w:p w14:paraId="61EE1044" w14:textId="21AD2110" w:rsidR="00BC3324" w:rsidRPr="007314B0" w:rsidRDefault="009B4F35" w:rsidP="00DD508F">
      <w:pPr>
        <w:shd w:val="clear" w:color="auto" w:fill="FFFFFF"/>
        <w:spacing w:after="120" w:line="240" w:lineRule="auto"/>
        <w:rPr>
          <w:rFonts w:cstheme="minorHAnsi"/>
        </w:rPr>
      </w:pPr>
      <w:r w:rsidRPr="007314B0">
        <w:rPr>
          <w:noProof/>
        </w:rPr>
        <w:drawing>
          <wp:inline distT="0" distB="0" distL="0" distR="0" wp14:anchorId="09DA2786" wp14:editId="1DDBA6CD">
            <wp:extent cx="5876383" cy="1920240"/>
            <wp:effectExtent l="0" t="0" r="0" b="3810"/>
            <wp:docPr id="15"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26"/>
                    <a:stretch>
                      <a:fillRect/>
                    </a:stretch>
                  </pic:blipFill>
                  <pic:spPr>
                    <a:xfrm>
                      <a:off x="0" y="0"/>
                      <a:ext cx="5876383" cy="1920240"/>
                    </a:xfrm>
                    <a:prstGeom prst="rect">
                      <a:avLst/>
                    </a:prstGeom>
                  </pic:spPr>
                </pic:pic>
              </a:graphicData>
            </a:graphic>
          </wp:inline>
        </w:drawing>
      </w:r>
    </w:p>
    <w:p w14:paraId="44C2972D" w14:textId="76980D1D" w:rsidR="00D13C2B" w:rsidRPr="007314B0" w:rsidRDefault="00D13C2B" w:rsidP="00DD508F">
      <w:pPr>
        <w:pStyle w:val="Heading2"/>
        <w:spacing w:before="0" w:after="120" w:line="240" w:lineRule="auto"/>
        <w:rPr>
          <w:rFonts w:asciiTheme="minorHAnsi" w:hAnsiTheme="minorHAnsi" w:cstheme="minorBidi"/>
        </w:rPr>
      </w:pPr>
      <w:bookmarkStart w:id="17" w:name="_Toc124428492"/>
      <w:r w:rsidRPr="007314B0">
        <w:rPr>
          <w:rFonts w:asciiTheme="minorHAnsi" w:hAnsiTheme="minorHAnsi"/>
        </w:rPr>
        <w:lastRenderedPageBreak/>
        <w:t>Présentation de l’anneau de PrEP</w:t>
      </w:r>
      <w:bookmarkEnd w:id="17"/>
    </w:p>
    <w:p w14:paraId="1935B34C" w14:textId="0823863A" w:rsidR="00816970" w:rsidRPr="007314B0" w:rsidRDefault="4EAB14F1" w:rsidP="1D9AD929">
      <w:pPr>
        <w:spacing w:after="120" w:line="240" w:lineRule="auto"/>
      </w:pPr>
      <w:r w:rsidRPr="007314B0">
        <w:t>L’anneau de PrEP est une méthode de prévention du VIH à action prolongée qui a été étudiée pour la prévention du VIH chez les personnes ayant été déclarées de sexe féminin à la naissance (AFAB). Il est recommandé par l’OMS pour les femmes cisgenres.</w:t>
      </w:r>
      <w:r w:rsidR="00BC20B7" w:rsidRPr="007314B0">
        <w:rPr>
          <w:rStyle w:val="FootnoteReference"/>
        </w:rPr>
        <w:footnoteReference w:id="17"/>
      </w:r>
      <w:r w:rsidRPr="007314B0">
        <w:t xml:space="preserve"> À l’heure actuelle, l’anneau n’est recommandé que pour éviter de contracter le VIH lors de rapports vaginaux réceptifs. Il est inséré dans le vagin et doit y rester pendant 28 jours. L’anneau est en silicone souple contenant 25 mg de dapivirine, un antirétroviral (ARV). La dapivirine appartient à une classe d’ARV appelés inhibiteurs non nucléosidiques de la transcriptase inverse (INNTI) qui réduisent la capacité du VIH à se reproduire à l’intérieur d’une cellule saine. L’anneau délivre le médicament directement sur le site de l’infection potentielle pendant un mois, avec une faible absorption ailleurs dans le corps, limitant ainsi la probabilité d’effets secondaires systémiques. Chaque mois, les patientes </w:t>
      </w:r>
      <w:r w:rsidR="006B2417" w:rsidRPr="007314B0">
        <w:t>peuvent insérer</w:t>
      </w:r>
      <w:r w:rsidRPr="007314B0">
        <w:t>, retirer et remplacer l’anneau par elles-mêmes ou avec l’aide d’un prestataire de soins de santé si elles le souhaitent.</w:t>
      </w:r>
    </w:p>
    <w:p w14:paraId="5468058A" w14:textId="6772FDCD" w:rsidR="00AC0940" w:rsidRPr="007314B0" w:rsidRDefault="00875691" w:rsidP="1D9AD929">
      <w:pPr>
        <w:spacing w:after="120" w:line="240" w:lineRule="auto"/>
        <w:rPr>
          <w:i/>
          <w:iCs/>
          <w:color w:val="000000" w:themeColor="text1"/>
        </w:rPr>
      </w:pPr>
      <w:r w:rsidRPr="007314B0">
        <w:t xml:space="preserve">On a enregistré peu de grossesses parmi les participantes utilisant activement l’anneau pendant les essais </w:t>
      </w:r>
      <w:proofErr w:type="spellStart"/>
      <w:r w:rsidRPr="007314B0">
        <w:t>cliniques.</w:t>
      </w:r>
      <w:r w:rsidR="00CB1BE8" w:rsidRPr="007314B0">
        <w:t>Cependant</w:t>
      </w:r>
      <w:proofErr w:type="spellEnd"/>
      <w:r w:rsidR="00CB1BE8" w:rsidRPr="007314B0">
        <w:t>, les données recueillies à ce jour montrent que l'anneau est sans danger pendant la grossesse et l'allaitement, avec des issues de grossesse défavorables et des complications s'avérant rares et des concentrations de dapivirine détectées à des niveaux extrêmement faibles dans les échantillons de plasma des nourrissons.</w:t>
      </w:r>
      <w:r w:rsidRPr="007314B0">
        <w:t>.</w:t>
      </w:r>
      <w:r w:rsidR="00DB1213" w:rsidRPr="007314B0">
        <w:rPr>
          <w:rStyle w:val="FootnoteReference"/>
        </w:rPr>
        <w:footnoteReference w:id="18"/>
      </w:r>
      <w:r w:rsidR="00416817" w:rsidRPr="007314B0">
        <w:rPr>
          <w:vertAlign w:val="superscript"/>
        </w:rPr>
        <w:t>,</w:t>
      </w:r>
      <w:r w:rsidR="00F77BE8" w:rsidRPr="007314B0">
        <w:rPr>
          <w:rStyle w:val="FootnoteReference"/>
        </w:rPr>
        <w:footnoteReference w:id="19"/>
      </w:r>
      <w:r w:rsidR="007200EC" w:rsidRPr="007314B0">
        <w:rPr>
          <w:vertAlign w:val="superscript"/>
        </w:rPr>
        <w:t>,</w:t>
      </w:r>
      <w:r w:rsidR="007200EC" w:rsidRPr="007314B0">
        <w:rPr>
          <w:rStyle w:val="FootnoteReference"/>
        </w:rPr>
        <w:footnoteReference w:id="20"/>
      </w:r>
      <w:r w:rsidRPr="007314B0">
        <w:t xml:space="preserve"> Dans une étude limitée sur l’utilisation de l’anneau de PrEP chez les personnes qui allaitent, son utilisation a été associée à de faibles concentrations de dapivirine détectable dans le lait maternel et le plasma et a révélé un profil de sécurité favorable.</w:t>
      </w:r>
      <w:r w:rsidR="00A00D94" w:rsidRPr="007314B0">
        <w:rPr>
          <w:rStyle w:val="FootnoteReference"/>
        </w:rPr>
        <w:footnoteReference w:id="21"/>
      </w:r>
      <w:r w:rsidRPr="007314B0">
        <w:t xml:space="preserve"> Les résultats d’un essai clinique sur l’utilisation de l’anneau pendant l’allaitement ont révélé un profil </w:t>
      </w:r>
      <w:r w:rsidR="004B5AB8" w:rsidRPr="007314B0">
        <w:t>d’innocuité</w:t>
      </w:r>
      <w:r w:rsidRPr="007314B0">
        <w:t xml:space="preserve"> favorable de l’anneau de PrEP, tant chez les mères qui allaitent que chez les nourrissons.</w:t>
      </w:r>
      <w:r w:rsidR="00BD7616" w:rsidRPr="007314B0">
        <w:rPr>
          <w:rStyle w:val="FootnoteReference"/>
        </w:rPr>
        <w:footnoteReference w:id="22"/>
      </w:r>
      <w:r w:rsidRPr="007314B0">
        <w:t xml:space="preserve"> Pour plus d’informations sur l’utilisation de l’anneau pendant la grossesse et l’allaitement, prière de consulter la section </w:t>
      </w:r>
      <w:r w:rsidRPr="007314B0">
        <w:rPr>
          <w:i/>
          <w:iCs/>
        </w:rPr>
        <w:t>Prise en charge des patients dans des situations spécifiques</w:t>
      </w:r>
      <w:r w:rsidRPr="007314B0">
        <w:t xml:space="preserve"> ci-dessous.</w:t>
      </w:r>
    </w:p>
    <w:p w14:paraId="083E8355" w14:textId="77777777" w:rsidR="004C586E" w:rsidRPr="007314B0" w:rsidRDefault="004C586E" w:rsidP="00DD508F">
      <w:pPr>
        <w:pStyle w:val="Heading3"/>
        <w:spacing w:before="0" w:after="120" w:line="240" w:lineRule="auto"/>
        <w:rPr>
          <w:rFonts w:asciiTheme="minorHAnsi" w:hAnsiTheme="minorHAnsi" w:cstheme="minorBidi"/>
        </w:rPr>
      </w:pPr>
      <w:bookmarkStart w:id="18" w:name="_Toc80690921"/>
      <w:bookmarkStart w:id="19" w:name="_Toc124428493"/>
      <w:bookmarkStart w:id="20" w:name="_Toc80690920"/>
      <w:r w:rsidRPr="007314B0">
        <w:rPr>
          <w:rFonts w:asciiTheme="minorHAnsi" w:hAnsiTheme="minorHAnsi"/>
        </w:rPr>
        <w:t>Formulation de l’anneau de PrEP</w:t>
      </w:r>
      <w:bookmarkEnd w:id="18"/>
      <w:bookmarkEnd w:id="19"/>
    </w:p>
    <w:p w14:paraId="56A80E6E" w14:textId="11F7FDBB" w:rsidR="004C586E" w:rsidRPr="007314B0" w:rsidRDefault="004C586E" w:rsidP="00DD508F">
      <w:pPr>
        <w:spacing w:after="120" w:line="240" w:lineRule="auto"/>
      </w:pPr>
      <w:r w:rsidRPr="007314B0">
        <w:rPr>
          <w:color w:val="000000" w:themeColor="text1"/>
        </w:rPr>
        <w:t xml:space="preserve">L’anneau de PrEP est un anneau souple en silicone blanc à insérer dans le vagin. </w:t>
      </w:r>
      <w:r w:rsidRPr="007314B0">
        <w:t>Il n’est disponible que dans une seule taille et contient environ 25 mg de dapivirine INNTI.</w:t>
      </w:r>
    </w:p>
    <w:p w14:paraId="0E9374ED" w14:textId="4FF3CA63" w:rsidR="001C7DF1" w:rsidRPr="007314B0" w:rsidRDefault="001C7DF1" w:rsidP="00DD508F">
      <w:pPr>
        <w:pStyle w:val="Heading3"/>
        <w:spacing w:before="0" w:after="120" w:line="240" w:lineRule="auto"/>
        <w:rPr>
          <w:rFonts w:asciiTheme="minorHAnsi" w:hAnsiTheme="minorHAnsi" w:cstheme="minorBidi"/>
        </w:rPr>
      </w:pPr>
      <w:bookmarkStart w:id="21" w:name="_Toc124428494"/>
      <w:r w:rsidRPr="007314B0">
        <w:rPr>
          <w:rFonts w:asciiTheme="minorHAnsi" w:hAnsiTheme="minorHAnsi"/>
        </w:rPr>
        <w:t>Efficacité de l’anneau de PrEP</w:t>
      </w:r>
      <w:bookmarkEnd w:id="20"/>
      <w:bookmarkEnd w:id="21"/>
    </w:p>
    <w:p w14:paraId="283CD1FE" w14:textId="77777777" w:rsidR="00125BC5" w:rsidRPr="007314B0" w:rsidRDefault="227DB15A" w:rsidP="00E165BE">
      <w:pPr>
        <w:spacing w:after="0" w:line="240" w:lineRule="auto"/>
      </w:pPr>
      <w:r w:rsidRPr="007314B0">
        <w:rPr>
          <w:color w:val="000000" w:themeColor="text1"/>
        </w:rPr>
        <w:t xml:space="preserve">Deux essais contrôlés randomisés ont permis de démontrer cliniquement que l’anneau réduit la probabilité d’infection par le VIH-1 lors de rapports sexuels : 35 % de réduction dans l’étude IPM-027/The Ring </w:t>
      </w:r>
      <w:proofErr w:type="spellStart"/>
      <w:r w:rsidRPr="007314B0">
        <w:rPr>
          <w:color w:val="000000" w:themeColor="text1"/>
        </w:rPr>
        <w:t>Study</w:t>
      </w:r>
      <w:proofErr w:type="spellEnd"/>
      <w:r w:rsidRPr="007314B0">
        <w:rPr>
          <w:color w:val="000000" w:themeColor="text1"/>
        </w:rPr>
        <w:t xml:space="preserve"> et 27 % de réduction dans l’étude MTN-020/ASPIRE. L’analyse des sous-groupes par âge des données de l’étude The Ring et de l’étude ASPIRE n’a pas montré d’efficacité chez les femmes âgées de 18 à 21 ans, qui ont également fait preuve d’une faible adhésion à l’anneau au cours des essais. </w:t>
      </w:r>
      <w:r w:rsidRPr="007314B0">
        <w:t xml:space="preserve">Ces essais n’ont révélé aucune différence notable entre le groupe ayant reçu le traitement et le groupe ayant reçu le placebo en ce qui concerne les résultats en matière de </w:t>
      </w:r>
      <w:r w:rsidRPr="007314B0">
        <w:lastRenderedPageBreak/>
        <w:t xml:space="preserve">santé reproductive, y compris les IST et les événements indésirables liés à la grossesse, les effets sur le fœtus et/ou les nourrissons. </w:t>
      </w:r>
    </w:p>
    <w:p w14:paraId="6674FA9A" w14:textId="77777777" w:rsidR="00125BC5" w:rsidRPr="007314B0" w:rsidRDefault="00125BC5" w:rsidP="00E165BE">
      <w:pPr>
        <w:spacing w:after="0" w:line="240" w:lineRule="auto"/>
      </w:pPr>
    </w:p>
    <w:p w14:paraId="353541F9" w14:textId="04A1EA40" w:rsidR="001C7DF1" w:rsidRPr="007314B0" w:rsidRDefault="00E33773" w:rsidP="00E165BE">
      <w:pPr>
        <w:spacing w:after="0" w:line="240" w:lineRule="auto"/>
      </w:pPr>
      <w:r w:rsidRPr="007314B0">
        <w:t xml:space="preserve">Deux études de prolongation ouvertes ultérieures (DREAM et HOPE) ont révélé une augmentation de l’adhésion à l’anneau par rapport à l’adhésion lors des essais cliniques. Dans l’étude DREAM, 95 % des anneaux rendus montraient qu’ils avaient été utilisés, contre 83 % dans l’étude The Ring </w:t>
      </w:r>
      <w:proofErr w:type="spellStart"/>
      <w:r w:rsidRPr="007314B0">
        <w:t>Study</w:t>
      </w:r>
      <w:proofErr w:type="spellEnd"/>
      <w:r w:rsidRPr="007314B0">
        <w:t>. Dans l’étude HOPE, 90 % des anneaux rendus montraient qu’ils avaient été utilisés, contre 77 % dans l’étude ASPIRE.</w:t>
      </w:r>
      <w:r w:rsidR="00791DD1" w:rsidRPr="007314B0">
        <w:rPr>
          <w:rStyle w:val="FootnoteReference"/>
        </w:rPr>
        <w:footnoteReference w:id="23"/>
      </w:r>
      <w:r w:rsidRPr="007314B0">
        <w:t xml:space="preserve"> De multiples analyses d’efficacité chez les participantes qui ont utilisé l’anneau de manière </w:t>
      </w:r>
      <w:r w:rsidR="004D6BD5" w:rsidRPr="007314B0">
        <w:t>régulière</w:t>
      </w:r>
      <w:r w:rsidRPr="007314B0">
        <w:t xml:space="preserve"> suggèrent que l’anneau de PrEP peut réduire le risque de contracter le VIH lors de rapports vaginaux réceptifs de 50 % ou plus avec une utilisation constante pendant tout le mois.</w:t>
      </w:r>
      <w:r w:rsidR="002B581F" w:rsidRPr="007314B0">
        <w:rPr>
          <w:rStyle w:val="FootnoteReference"/>
        </w:rPr>
        <w:footnoteReference w:id="24"/>
      </w:r>
      <w:r w:rsidRPr="007314B0">
        <w:rPr>
          <w:vertAlign w:val="superscript"/>
        </w:rPr>
        <w:t>,</w:t>
      </w:r>
      <w:r w:rsidR="0028145C" w:rsidRPr="007314B0">
        <w:rPr>
          <w:rStyle w:val="FootnoteReference"/>
        </w:rPr>
        <w:footnoteReference w:id="25"/>
      </w:r>
      <w:r w:rsidRPr="007314B0">
        <w:t xml:space="preserve"> D’autres études sur </w:t>
      </w:r>
      <w:r w:rsidR="004B5AB8" w:rsidRPr="007314B0">
        <w:t>l’innocuité</w:t>
      </w:r>
      <w:r w:rsidRPr="007314B0">
        <w:t xml:space="preserve"> et l’acceptabilité de l’anneau chez les adolescentes et les jeunes AFAB âgées de 15 à 21 ans ont démontré que l’anneau peut convenir aux jeunes, qu’il a un profil </w:t>
      </w:r>
      <w:r w:rsidR="004B5AB8" w:rsidRPr="007314B0">
        <w:t>d’innocuité</w:t>
      </w:r>
      <w:r w:rsidRPr="007314B0">
        <w:t xml:space="preserve"> favorable similaire chez les jeunes et les personnes plus âgées et qu’il peut être utilisé efficacement par les jeunes si elles reçoivent un soutien approprié pour l’adhésion.</w:t>
      </w:r>
      <w:r w:rsidR="007F085B" w:rsidRPr="007314B0">
        <w:rPr>
          <w:rStyle w:val="FootnoteReference"/>
        </w:rPr>
        <w:footnoteReference w:id="26"/>
      </w:r>
      <w:r w:rsidRPr="007314B0">
        <w:rPr>
          <w:vertAlign w:val="superscript"/>
        </w:rPr>
        <w:t>,</w:t>
      </w:r>
      <w:r w:rsidR="00CE65EF" w:rsidRPr="007314B0">
        <w:rPr>
          <w:rStyle w:val="FootnoteReference"/>
        </w:rPr>
        <w:footnoteReference w:id="27"/>
      </w:r>
      <w:r w:rsidRPr="007314B0">
        <w:t xml:space="preserve"> </w:t>
      </w:r>
    </w:p>
    <w:p w14:paraId="0AF250FF" w14:textId="77777777" w:rsidR="0068452F" w:rsidRPr="007314B0" w:rsidRDefault="0068452F" w:rsidP="00AD48D6">
      <w:pPr>
        <w:spacing w:after="0" w:line="276" w:lineRule="auto"/>
        <w:rPr>
          <w:color w:val="4472C4" w:themeColor="accent1"/>
        </w:rPr>
      </w:pPr>
    </w:p>
    <w:p w14:paraId="298C5E14" w14:textId="6632D6D5" w:rsidR="004C586E" w:rsidRPr="007314B0" w:rsidRDefault="001F6779" w:rsidP="00DD508F">
      <w:pPr>
        <w:pStyle w:val="Heading3"/>
        <w:spacing w:before="0" w:after="120" w:line="240" w:lineRule="auto"/>
        <w:rPr>
          <w:rFonts w:asciiTheme="minorHAnsi" w:hAnsiTheme="minorHAnsi" w:cstheme="minorBidi"/>
        </w:rPr>
      </w:pPr>
      <w:bookmarkStart w:id="22" w:name="_Toc124428495"/>
      <w:bookmarkStart w:id="23" w:name="_Toc80690928"/>
      <w:r w:rsidRPr="007314B0">
        <w:rPr>
          <w:rFonts w:asciiTheme="minorHAnsi" w:hAnsiTheme="minorHAnsi"/>
        </w:rPr>
        <w:t>Effets secondaires potentiels de l’anneau de PrEP</w:t>
      </w:r>
      <w:bookmarkEnd w:id="22"/>
    </w:p>
    <w:p w14:paraId="71169B09" w14:textId="417377B8" w:rsidR="008D30C9" w:rsidRPr="007314B0" w:rsidRDefault="0067241C" w:rsidP="00DD508F">
      <w:pPr>
        <w:spacing w:after="120" w:line="240" w:lineRule="auto"/>
        <w:rPr>
          <w:rFonts w:cstheme="minorHAnsi"/>
          <w:bCs/>
        </w:rPr>
      </w:pPr>
      <w:r w:rsidRPr="007314B0">
        <w:t>Les effets secondaires possibles de l’anneau sont généralement légers et comprennent </w:t>
      </w:r>
    </w:p>
    <w:p w14:paraId="67047505" w14:textId="05C4AB22" w:rsidR="008D30C9" w:rsidRPr="007314B0" w:rsidRDefault="008D30C9" w:rsidP="008D30C9">
      <w:pPr>
        <w:pStyle w:val="ListParagraph"/>
        <w:numPr>
          <w:ilvl w:val="0"/>
          <w:numId w:val="29"/>
        </w:numPr>
        <w:spacing w:after="120" w:line="240" w:lineRule="auto"/>
        <w:rPr>
          <w:rFonts w:cstheme="minorHAnsi"/>
          <w:bCs/>
        </w:rPr>
      </w:pPr>
      <w:r w:rsidRPr="007314B0">
        <w:t>Infections des voies urinaires (IVU)</w:t>
      </w:r>
    </w:p>
    <w:p w14:paraId="63F8F7DE" w14:textId="64E5F04C" w:rsidR="008D30C9" w:rsidRPr="007314B0" w:rsidRDefault="008D30C9" w:rsidP="008D30C9">
      <w:pPr>
        <w:pStyle w:val="ListParagraph"/>
        <w:numPr>
          <w:ilvl w:val="0"/>
          <w:numId w:val="29"/>
        </w:numPr>
        <w:spacing w:after="120" w:line="240" w:lineRule="auto"/>
        <w:rPr>
          <w:rFonts w:cstheme="minorHAnsi"/>
          <w:bCs/>
        </w:rPr>
      </w:pPr>
      <w:r w:rsidRPr="007314B0">
        <w:t xml:space="preserve">Pertes vaginales </w:t>
      </w:r>
    </w:p>
    <w:p w14:paraId="2C618916" w14:textId="59BC2C2F" w:rsidR="008D30C9" w:rsidRPr="007314B0" w:rsidRDefault="008D30C9" w:rsidP="008D30C9">
      <w:pPr>
        <w:pStyle w:val="ListParagraph"/>
        <w:numPr>
          <w:ilvl w:val="0"/>
          <w:numId w:val="29"/>
        </w:numPr>
        <w:spacing w:after="120" w:line="240" w:lineRule="auto"/>
        <w:rPr>
          <w:rFonts w:cstheme="minorHAnsi"/>
          <w:bCs/>
        </w:rPr>
      </w:pPr>
      <w:r w:rsidRPr="007314B0">
        <w:t xml:space="preserve">Démangeaisons vulvaires </w:t>
      </w:r>
    </w:p>
    <w:p w14:paraId="4D39B75C" w14:textId="22F7DAFF" w:rsidR="004C586E" w:rsidRPr="007314B0" w:rsidRDefault="008D30C9" w:rsidP="62174829">
      <w:pPr>
        <w:pStyle w:val="ListParagraph"/>
        <w:numPr>
          <w:ilvl w:val="0"/>
          <w:numId w:val="29"/>
        </w:numPr>
        <w:spacing w:after="120" w:line="240" w:lineRule="auto"/>
      </w:pPr>
      <w:r w:rsidRPr="007314B0">
        <w:t xml:space="preserve">Douleurs pelviennes et abdominales basses </w:t>
      </w:r>
    </w:p>
    <w:p w14:paraId="0901EAE1" w14:textId="4E9FD1EB" w:rsidR="004C586E" w:rsidRPr="007314B0" w:rsidRDefault="6E17E6DA" w:rsidP="008F2386">
      <w:pPr>
        <w:spacing w:after="120" w:line="240" w:lineRule="auto"/>
        <w:ind w:left="45"/>
      </w:pPr>
      <w:r w:rsidRPr="007314B0">
        <w:t xml:space="preserve">Les utilisatrices de l’anneau devraient recevoir un counseling sur les effets secondaires possibles et il faudrait leur conseiller de contacter leur prestataire de soins de santé si elles constatent des changements au niveau des voies urinaires ou de l’appareil reproducteur, car cela pourrait être le signe d’une IST ou d’une infection urinaire devant être traitée. </w:t>
      </w:r>
    </w:p>
    <w:p w14:paraId="286AD866" w14:textId="38783B36" w:rsidR="001F6779" w:rsidRPr="007314B0" w:rsidRDefault="001F6779" w:rsidP="004A7A99">
      <w:pPr>
        <w:rPr>
          <w:rFonts w:cstheme="minorHAnsi"/>
          <w:bdr w:val="none" w:sz="0" w:space="0" w:color="auto" w:frame="1"/>
        </w:rPr>
      </w:pPr>
      <w:r w:rsidRPr="007314B0">
        <w:rPr>
          <w:bdr w:val="none" w:sz="0" w:space="0" w:color="auto" w:frame="1"/>
        </w:rPr>
        <w:t xml:space="preserve">Pour obtenir des informations sur les effets secondaires moins courants, prière de consulter l’étiquette du produit. </w:t>
      </w:r>
    </w:p>
    <w:p w14:paraId="7C88A577" w14:textId="7BEB0004" w:rsidR="00AC70BA" w:rsidRPr="007314B0" w:rsidRDefault="66F5EF08" w:rsidP="56D00486">
      <w:pPr>
        <w:pStyle w:val="Heading3"/>
        <w:spacing w:before="0" w:after="120" w:line="240" w:lineRule="auto"/>
        <w:rPr>
          <w:rFonts w:asciiTheme="minorHAnsi" w:hAnsiTheme="minorHAnsi" w:cstheme="minorBidi"/>
        </w:rPr>
      </w:pPr>
      <w:bookmarkStart w:id="24" w:name="_Toc124428496"/>
      <w:r w:rsidRPr="007314B0">
        <w:rPr>
          <w:rFonts w:asciiTheme="minorHAnsi" w:hAnsiTheme="minorHAnsi"/>
        </w:rPr>
        <w:t>Interactions entre l’anneau de PrEP et d’autres médicaments</w:t>
      </w:r>
      <w:bookmarkEnd w:id="23"/>
      <w:bookmarkEnd w:id="24"/>
    </w:p>
    <w:p w14:paraId="47E24723" w14:textId="31FBD78E" w:rsidR="00B04F62" w:rsidRPr="007314B0" w:rsidRDefault="00AC70BA" w:rsidP="00DD508F">
      <w:pPr>
        <w:spacing w:after="120" w:line="240" w:lineRule="auto"/>
        <w:rPr>
          <w:rFonts w:cstheme="minorHAnsi"/>
          <w:color w:val="000000"/>
        </w:rPr>
      </w:pPr>
      <w:r w:rsidRPr="007314B0">
        <w:rPr>
          <w:color w:val="000000"/>
        </w:rPr>
        <w:t xml:space="preserve">Puisqu’il n’existe actuellement aucune donnée sur l’utilisation simultanée de produits antimicrobiens administrés par voie vaginale pour les infections vulvo-vaginales et l’anneau de PrEP, une utilisation concomitante est </w:t>
      </w:r>
      <w:r w:rsidR="004B5AB8" w:rsidRPr="007314B0">
        <w:rPr>
          <w:color w:val="000000"/>
        </w:rPr>
        <w:t>déconseillée</w:t>
      </w:r>
      <w:r w:rsidRPr="007314B0">
        <w:rPr>
          <w:color w:val="000000"/>
        </w:rPr>
        <w:t xml:space="preserve">. </w:t>
      </w:r>
    </w:p>
    <w:p w14:paraId="5766E620" w14:textId="4B6F324D" w:rsidR="009558B7" w:rsidRPr="007314B0" w:rsidRDefault="001A449C" w:rsidP="00DD508F">
      <w:pPr>
        <w:spacing w:after="120" w:line="240" w:lineRule="auto"/>
        <w:rPr>
          <w:rFonts w:cstheme="minorHAnsi"/>
          <w:color w:val="000000"/>
        </w:rPr>
      </w:pPr>
      <w:r w:rsidRPr="007314B0">
        <w:rPr>
          <w:color w:val="000000"/>
        </w:rPr>
        <w:lastRenderedPageBreak/>
        <w:t xml:space="preserve">Les évaluations de l’utilisation concomitante du miconazole et de l’anneau n’ayant pas été entièrement déchiffrées, il faudrait conseiller aux patientes d’utiliser une mesure de prévention supplémentaire contre le VIH lorsqu’elles reçoivent un traitement concomitant au miconazole vaginal. </w:t>
      </w:r>
    </w:p>
    <w:p w14:paraId="05758EC2" w14:textId="3C3446F0" w:rsidR="00900FBD" w:rsidRPr="007314B0" w:rsidRDefault="00900FBD" w:rsidP="00DD508F">
      <w:pPr>
        <w:spacing w:after="120" w:line="240" w:lineRule="auto"/>
        <w:rPr>
          <w:color w:val="000000"/>
        </w:rPr>
      </w:pPr>
      <w:r w:rsidRPr="007314B0">
        <w:rPr>
          <w:color w:val="000000" w:themeColor="text1"/>
        </w:rPr>
        <w:t xml:space="preserve">L’administration concomitante de </w:t>
      </w:r>
      <w:proofErr w:type="spellStart"/>
      <w:r w:rsidRPr="007314B0">
        <w:rPr>
          <w:color w:val="000000" w:themeColor="text1"/>
        </w:rPr>
        <w:t>clotrimazole</w:t>
      </w:r>
      <w:proofErr w:type="spellEnd"/>
      <w:r w:rsidRPr="007314B0">
        <w:rPr>
          <w:color w:val="000000" w:themeColor="text1"/>
        </w:rPr>
        <w:t xml:space="preserve"> sous forme de crème vaginale à base d’eau et de l’anneau a été bien tolérée. Cependant, au vu des problèmes méthodologiques qui limitent la fiabilité des résultats pharmacocinétiques du </w:t>
      </w:r>
      <w:proofErr w:type="spellStart"/>
      <w:r w:rsidRPr="007314B0">
        <w:rPr>
          <w:color w:val="000000" w:themeColor="text1"/>
        </w:rPr>
        <w:t>clotrimazole</w:t>
      </w:r>
      <w:proofErr w:type="spellEnd"/>
      <w:r w:rsidRPr="007314B0">
        <w:rPr>
          <w:color w:val="000000" w:themeColor="text1"/>
        </w:rPr>
        <w:t xml:space="preserve"> et de la dapivirine, la prudence est de rigueur pour une utilisation concomitante. </w:t>
      </w:r>
    </w:p>
    <w:p w14:paraId="1A0E7C9A" w14:textId="4F475E94" w:rsidR="00B04F62" w:rsidRPr="007314B0" w:rsidRDefault="00B554D4" w:rsidP="00DD508F">
      <w:pPr>
        <w:spacing w:after="120" w:line="240" w:lineRule="auto"/>
        <w:rPr>
          <w:rFonts w:cstheme="minorHAnsi"/>
          <w:color w:val="000000"/>
        </w:rPr>
      </w:pPr>
      <w:r w:rsidRPr="007314B0">
        <w:t xml:space="preserve">Comme il n’existe pas de données sur l’utilisation concomitante de l’anneau et du métronidazole ou de la clindamycine, ni de données actuelles sur l’utilisation concomitante de l’anneau et des anneaux contraceptifs ou des diaphragmes, une utilisation </w:t>
      </w:r>
      <w:r w:rsidR="004B5AB8" w:rsidRPr="007314B0">
        <w:rPr>
          <w:color w:val="000000"/>
        </w:rPr>
        <w:t>concomitante est déconseillée.</w:t>
      </w:r>
      <w:r w:rsidRPr="007314B0">
        <w:rPr>
          <w:color w:val="000000"/>
        </w:rPr>
        <w:t xml:space="preserve"> </w:t>
      </w:r>
    </w:p>
    <w:p w14:paraId="7734B969" w14:textId="245C393D" w:rsidR="0097167D" w:rsidRPr="007314B0" w:rsidRDefault="236323D3" w:rsidP="0097167D">
      <w:pPr>
        <w:spacing w:after="120" w:line="240" w:lineRule="auto"/>
        <w:rPr>
          <w:color w:val="000000"/>
        </w:rPr>
      </w:pPr>
      <w:r w:rsidRPr="007314B0">
        <w:rPr>
          <w:color w:val="000000" w:themeColor="text1"/>
        </w:rPr>
        <w:t xml:space="preserve">Il n’existe aucune interaction connue entre la dapivirine et les hormones contraceptives, les hormones utilisées pour l’hormonothérapie d’affirmation du genre, l’alcool ou les drogues récréatives. Cependant, si un patient ou une patiente </w:t>
      </w:r>
      <w:r w:rsidR="00DF3220" w:rsidRPr="007314B0">
        <w:rPr>
          <w:color w:val="000000" w:themeColor="text1"/>
        </w:rPr>
        <w:t>potentiel pense</w:t>
      </w:r>
      <w:r w:rsidRPr="007314B0">
        <w:rPr>
          <w:color w:val="000000" w:themeColor="text1"/>
        </w:rPr>
        <w:t xml:space="preserve"> que sa consommation d’alcool ou d’autres substances interfère ou pourrait interférer avec une utilisation efficace de l’anneau, le prestataire doit lui faire comprendre quel soutien ou quelles orientations pourraient être utiles pour l’aider à utiliser l’anneau efficacement, tout en lui présentant d’autres options de prévention, y compris d’autres méthodes de PrEP, ainsi que l’utilisation du préservatif et de lubrifiants compatibles avec les préservatifs. </w:t>
      </w:r>
    </w:p>
    <w:p w14:paraId="0F605900" w14:textId="47E08D48" w:rsidR="21301009" w:rsidRPr="007314B0" w:rsidRDefault="21301009" w:rsidP="4D766C22">
      <w:pPr>
        <w:spacing w:after="120" w:line="240" w:lineRule="auto"/>
        <w:rPr>
          <w:color w:val="000000" w:themeColor="text1"/>
        </w:rPr>
      </w:pPr>
      <w:r w:rsidRPr="007314B0">
        <w:rPr>
          <w:color w:val="000000" w:themeColor="text1"/>
        </w:rPr>
        <w:t xml:space="preserve">Pour obtenir des informations sur l’utilisation concomitante de l’anneau et d’autres produits de PrEP, prière de consulter la section </w:t>
      </w:r>
      <w:r w:rsidRPr="007314B0">
        <w:rPr>
          <w:i/>
          <w:iCs/>
          <w:color w:val="000000" w:themeColor="text1"/>
        </w:rPr>
        <w:t>Passer d’une méthode de PrEP à une autre et utilisation simultanée</w:t>
      </w:r>
      <w:r w:rsidRPr="007314B0">
        <w:rPr>
          <w:color w:val="000000" w:themeColor="text1"/>
        </w:rPr>
        <w:t xml:space="preserve"> ci-dessous.</w:t>
      </w:r>
    </w:p>
    <w:p w14:paraId="6731B0B0" w14:textId="557FF146" w:rsidR="00617AF0" w:rsidRPr="007314B0" w:rsidRDefault="3607F25C" w:rsidP="1D9AD929">
      <w:pPr>
        <w:pStyle w:val="Heading3"/>
        <w:spacing w:before="0" w:after="120" w:line="240" w:lineRule="auto"/>
        <w:rPr>
          <w:rFonts w:asciiTheme="minorHAnsi" w:hAnsiTheme="minorHAnsi" w:cstheme="minorBidi"/>
          <w:color w:val="2F5496" w:themeColor="accent1" w:themeShade="BF"/>
        </w:rPr>
      </w:pPr>
      <w:bookmarkStart w:id="25" w:name="_Toc124428497"/>
      <w:r w:rsidRPr="007314B0">
        <w:rPr>
          <w:rFonts w:asciiTheme="minorHAnsi" w:hAnsiTheme="minorHAnsi"/>
        </w:rPr>
        <w:t>Contre-indications à l’utilisation de l’anneau de PrEP</w:t>
      </w:r>
      <w:bookmarkEnd w:id="25"/>
    </w:p>
    <w:p w14:paraId="785440ED" w14:textId="68532D6A" w:rsidR="00617AF0" w:rsidRPr="007314B0" w:rsidRDefault="00617AF0" w:rsidP="00DD508F">
      <w:pPr>
        <w:pStyle w:val="RISEBodyText"/>
        <w:spacing w:after="120"/>
        <w:rPr>
          <w:rFonts w:asciiTheme="minorHAnsi" w:hAnsiTheme="minorHAnsi" w:cstheme="minorHAnsi"/>
          <w:color w:val="auto"/>
        </w:rPr>
      </w:pPr>
      <w:r w:rsidRPr="007314B0">
        <w:rPr>
          <w:rFonts w:asciiTheme="minorHAnsi" w:hAnsiTheme="minorHAnsi"/>
          <w:color w:val="auto"/>
        </w:rPr>
        <w:t xml:space="preserve">L’anneau ne doit pas être fourni </w:t>
      </w:r>
      <w:r w:rsidR="006E73A7" w:rsidRPr="007314B0">
        <w:rPr>
          <w:rFonts w:asciiTheme="minorHAnsi" w:hAnsiTheme="minorHAnsi"/>
          <w:color w:val="auto"/>
        </w:rPr>
        <w:t>en cas de</w:t>
      </w:r>
      <w:r w:rsidRPr="007314B0">
        <w:rPr>
          <w:rFonts w:asciiTheme="minorHAnsi" w:hAnsiTheme="minorHAnsi"/>
          <w:color w:val="auto"/>
        </w:rPr>
        <w:t> :</w:t>
      </w:r>
    </w:p>
    <w:p w14:paraId="534BC101" w14:textId="010CB028" w:rsidR="00617AF0" w:rsidRPr="007314B0" w:rsidRDefault="006E73A7" w:rsidP="00391C93">
      <w:pPr>
        <w:numPr>
          <w:ilvl w:val="0"/>
          <w:numId w:val="1"/>
        </w:numPr>
        <w:pBdr>
          <w:top w:val="nil"/>
          <w:left w:val="nil"/>
          <w:bottom w:val="nil"/>
          <w:right w:val="nil"/>
          <w:between w:val="nil"/>
        </w:pBdr>
        <w:spacing w:after="120" w:line="240" w:lineRule="auto"/>
        <w:rPr>
          <w:rFonts w:cstheme="minorHAnsi"/>
          <w:color w:val="000000"/>
        </w:rPr>
      </w:pPr>
      <w:r w:rsidRPr="007314B0">
        <w:rPr>
          <w:color w:val="000000"/>
        </w:rPr>
        <w:t>T</w:t>
      </w:r>
      <w:r w:rsidR="00350C91" w:rsidRPr="007314B0">
        <w:rPr>
          <w:color w:val="000000"/>
        </w:rPr>
        <w:t>est positif au VIH selon l’algorithme national de dépistage du VIH</w:t>
      </w:r>
    </w:p>
    <w:p w14:paraId="1C38156A" w14:textId="5ECE9D96" w:rsidR="00617AF0" w:rsidRPr="007314B0" w:rsidRDefault="006E73A7" w:rsidP="00391C93">
      <w:pPr>
        <w:numPr>
          <w:ilvl w:val="0"/>
          <w:numId w:val="1"/>
        </w:numPr>
        <w:pBdr>
          <w:top w:val="nil"/>
          <w:left w:val="nil"/>
          <w:bottom w:val="nil"/>
          <w:right w:val="nil"/>
          <w:between w:val="nil"/>
        </w:pBdr>
        <w:spacing w:after="120" w:line="240" w:lineRule="auto"/>
        <w:rPr>
          <w:color w:val="000000"/>
        </w:rPr>
      </w:pPr>
      <w:r w:rsidRPr="007314B0">
        <w:rPr>
          <w:color w:val="000000" w:themeColor="text1"/>
        </w:rPr>
        <w:t>E</w:t>
      </w:r>
      <w:r w:rsidR="00E20438" w:rsidRPr="007314B0">
        <w:rPr>
          <w:color w:val="000000" w:themeColor="text1"/>
        </w:rPr>
        <w:t>xposition potentielle au VIH au cours des dernières 72</w:t>
      </w:r>
      <w:r w:rsidR="004B5AB8" w:rsidRPr="007314B0">
        <w:rPr>
          <w:color w:val="000000" w:themeColor="text1"/>
        </w:rPr>
        <w:t> </w:t>
      </w:r>
      <w:r w:rsidR="00E20438" w:rsidRPr="007314B0">
        <w:rPr>
          <w:color w:val="000000" w:themeColor="text1"/>
        </w:rPr>
        <w:t>heures (proposer une PEP à ces patientes)</w:t>
      </w:r>
    </w:p>
    <w:p w14:paraId="6CA3DA12" w14:textId="52F0DE5C" w:rsidR="00617AF0" w:rsidRPr="007314B0" w:rsidRDefault="006E73A7" w:rsidP="00391C93">
      <w:pPr>
        <w:numPr>
          <w:ilvl w:val="0"/>
          <w:numId w:val="1"/>
        </w:numPr>
        <w:pBdr>
          <w:top w:val="nil"/>
          <w:left w:val="nil"/>
          <w:bottom w:val="nil"/>
          <w:right w:val="nil"/>
          <w:between w:val="nil"/>
        </w:pBdr>
        <w:spacing w:after="120" w:line="240" w:lineRule="auto"/>
        <w:rPr>
          <w:rFonts w:cstheme="minorHAnsi"/>
          <w:color w:val="000000"/>
        </w:rPr>
      </w:pPr>
      <w:r w:rsidRPr="007314B0">
        <w:rPr>
          <w:color w:val="000000"/>
        </w:rPr>
        <w:t>R</w:t>
      </w:r>
      <w:r w:rsidR="000766B6" w:rsidRPr="007314B0">
        <w:rPr>
          <w:color w:val="000000"/>
        </w:rPr>
        <w:t xml:space="preserve">efus ou incapacité de s’engager à utiliser efficacement l’anneau </w:t>
      </w:r>
    </w:p>
    <w:p w14:paraId="1F5201C4" w14:textId="7D8F45E3" w:rsidR="00617AF0" w:rsidRPr="007314B0" w:rsidRDefault="006E73A7" w:rsidP="00391C93">
      <w:pPr>
        <w:numPr>
          <w:ilvl w:val="0"/>
          <w:numId w:val="1"/>
        </w:numPr>
        <w:pBdr>
          <w:top w:val="nil"/>
          <w:left w:val="nil"/>
          <w:bottom w:val="nil"/>
          <w:right w:val="nil"/>
          <w:between w:val="nil"/>
        </w:pBdr>
        <w:spacing w:after="120" w:line="240" w:lineRule="auto"/>
        <w:rPr>
          <w:rFonts w:cstheme="minorHAnsi"/>
          <w:color w:val="000000"/>
        </w:rPr>
      </w:pPr>
      <w:r w:rsidRPr="007314B0">
        <w:t>A</w:t>
      </w:r>
      <w:r w:rsidR="00617AF0" w:rsidRPr="007314B0">
        <w:t>llergies ou hypersensibilité à la substance active ou à d’autres substances énumérées dans la fiche d’information du produit</w:t>
      </w:r>
    </w:p>
    <w:p w14:paraId="00F65037" w14:textId="433994B4" w:rsidR="000B6A5E" w:rsidRPr="007314B0" w:rsidRDefault="000B6A5E" w:rsidP="00DD508F">
      <w:pPr>
        <w:pStyle w:val="Heading3"/>
        <w:spacing w:before="0" w:after="120" w:line="240" w:lineRule="auto"/>
        <w:rPr>
          <w:rFonts w:asciiTheme="minorHAnsi" w:hAnsiTheme="minorHAnsi" w:cstheme="minorBidi"/>
        </w:rPr>
      </w:pPr>
      <w:bookmarkStart w:id="26" w:name="_Toc124428498"/>
      <w:bookmarkStart w:id="27" w:name="_Toc80690926"/>
      <w:r w:rsidRPr="007314B0">
        <w:rPr>
          <w:rFonts w:asciiTheme="minorHAnsi" w:hAnsiTheme="minorHAnsi"/>
        </w:rPr>
        <w:t>Utilisation de l’anneau de PrEP</w:t>
      </w:r>
      <w:bookmarkEnd w:id="26"/>
    </w:p>
    <w:p w14:paraId="2E7B77F6" w14:textId="1C198949" w:rsidR="0017620C" w:rsidRPr="007314B0" w:rsidRDefault="46624BA3" w:rsidP="0068452F">
      <w:pPr>
        <w:spacing w:after="0" w:line="240" w:lineRule="auto"/>
      </w:pPr>
      <w:r w:rsidRPr="007314B0">
        <w:t xml:space="preserve">L’anneau peut être proposé comme option aux personnes AFAB qui souhaitent prévenir l’infection par le VIH lors de rapports vaginaux réceptifs et qui ne peuvent pas ou ne veulent pas prendre une autre PrEP orale, ou lorsque d’autres méthodes de PrEP ne sont pas disponibles. L’anneau doit être correctement inséré dans le vagin et conservé pendant 28 jours sans être retiré. Il doit être en place pendant au moins 24 heures pour une efficacité maximale. </w:t>
      </w:r>
      <w:r w:rsidRPr="007314B0">
        <w:rPr>
          <w:color w:val="000000" w:themeColor="text1"/>
        </w:rPr>
        <w:t xml:space="preserve">Les patientes qui commencent à utiliser l’anneau doivent recevoir </w:t>
      </w:r>
      <w:r w:rsidR="00B9728B" w:rsidRPr="007314B0">
        <w:rPr>
          <w:color w:val="000000" w:themeColor="text1"/>
        </w:rPr>
        <w:t>un</w:t>
      </w:r>
      <w:r w:rsidRPr="007314B0">
        <w:rPr>
          <w:color w:val="000000" w:themeColor="text1"/>
        </w:rPr>
        <w:t xml:space="preserve"> counseling sur l’utilisation d’autres stratégies de prévention du VIH en attendant que la méthode devienne efficace. </w:t>
      </w:r>
      <w:r w:rsidRPr="007314B0">
        <w:t xml:space="preserve">Si une patiente souhaite arrêter d’utiliser l’anneau, elle peut le retirer elle-même. Il est possible de réinsérer l’anneau après l’avoir retiré et le laisser jusqu’à l’expiration de la période de 28 jours. Cependant, les niveaux de dapivirine dans le vagin chutent rapidement après le retrait de l’anneau, c’est pourquoi il est </w:t>
      </w:r>
      <w:r w:rsidR="00B9728B" w:rsidRPr="007314B0">
        <w:t>déconseillé</w:t>
      </w:r>
      <w:r w:rsidRPr="007314B0">
        <w:t xml:space="preserve"> de le retirer pendant la période de 28 jours indiquée. Puisque le niveau de dapivirine dans le vagin chute rapidement après le retrait de l’anneau, il est important de bien appuyer sur la nécessité d’utiliser d’autres mesures de prévention du VIH si l’exposition potentielle au virus existe toujours. S’il est retiré et réinséré, l’anneau doit rester en place pendant au moins 24 heures pour apporter une protection maximale. On ne sait pas combien de temps l’anneau doit rester en place après une exposition potentielle pour une efficacité maximale. Dans l’idéal, il faudrait encourager les patientes qui cessent d’utiliser la PrEP à discuter de l’arrêt du traitement et que les prestataires les soutiennent dans l’utilisation d’autres méthodes de prévention du VIH, si nécessaire.</w:t>
      </w:r>
      <w:r w:rsidR="00BE5A7D" w:rsidRPr="007314B0">
        <w:t xml:space="preserve">  En raison de la libération localisée de dapivirine et de la faible possibilité de résistance aux médicaments qui en résulte, les clients pourraient bénéficier du choix de commencer ou de continuer à utiliser l'anneau même s'ils sont soupçonnés d'avoir une IAH.</w:t>
      </w:r>
    </w:p>
    <w:p w14:paraId="30CF51D5" w14:textId="77777777" w:rsidR="00587408" w:rsidRPr="007314B0" w:rsidRDefault="00587408" w:rsidP="0068452F">
      <w:pPr>
        <w:spacing w:after="0" w:line="240" w:lineRule="auto"/>
      </w:pPr>
    </w:p>
    <w:p w14:paraId="42F91094" w14:textId="77777777" w:rsidR="002D0E74" w:rsidRPr="007314B0" w:rsidRDefault="002D0E74" w:rsidP="0068452F">
      <w:pPr>
        <w:spacing w:after="0" w:line="240" w:lineRule="auto"/>
      </w:pPr>
    </w:p>
    <w:p w14:paraId="43D0F098" w14:textId="77777777" w:rsidR="002D0E74" w:rsidRPr="007314B0" w:rsidRDefault="002D0E74" w:rsidP="0068452F">
      <w:pPr>
        <w:spacing w:after="0" w:line="240" w:lineRule="auto"/>
      </w:pPr>
    </w:p>
    <w:p w14:paraId="624D367F" w14:textId="0E5002F3" w:rsidR="0032523B" w:rsidRPr="007314B0" w:rsidRDefault="0032523B" w:rsidP="0032523B">
      <w:pPr>
        <w:spacing w:after="0" w:line="240" w:lineRule="auto"/>
      </w:pPr>
      <w:r w:rsidRPr="007314B0">
        <w:t xml:space="preserve">L’anneau n’interfère pas avec les rapports sexuels et doit être conservé pendant les rapports. Il peut être utilisé avec des préservatifs (internes et externes) et des lubrifiants compatibles avec les préservatifs. Même si cela est peu </w:t>
      </w:r>
      <w:r w:rsidRPr="007314B0">
        <w:lastRenderedPageBreak/>
        <w:t xml:space="preserve">probable, il est possible que le(s) partenaire(s) de la patiente sente(nt) l’anneau pendant le rapport sexuel. Si cela se produit, la patiente devra peut-être confirmer la </w:t>
      </w:r>
      <w:r w:rsidR="00B9728B" w:rsidRPr="007314B0">
        <w:t xml:space="preserve">bonne </w:t>
      </w:r>
      <w:r w:rsidRPr="007314B0">
        <w:t>position de l’anneau, car il sera peut-être nécessaire de le repousser plus profondément dans le vagin. L’anneau n’est pas dangereux pour les partenaires, mais il n</w:t>
      </w:r>
      <w:r w:rsidR="00B9728B" w:rsidRPr="007314B0">
        <w:t>’</w:t>
      </w:r>
      <w:r w:rsidRPr="007314B0">
        <w:t>empêche pas le(s) partenaire(s) d’une patiente de contracter le VIH.</w:t>
      </w:r>
    </w:p>
    <w:p w14:paraId="39347DB5" w14:textId="77777777" w:rsidR="00361A59" w:rsidRPr="007314B0" w:rsidRDefault="00361A59" w:rsidP="0032523B">
      <w:pPr>
        <w:spacing w:after="0" w:line="240" w:lineRule="auto"/>
      </w:pPr>
    </w:p>
    <w:p w14:paraId="7B0AE57D" w14:textId="5898FE86" w:rsidR="006C7EDA" w:rsidRPr="007314B0" w:rsidRDefault="0032523B" w:rsidP="0032523B">
      <w:pPr>
        <w:spacing w:after="0" w:line="240" w:lineRule="auto"/>
      </w:pPr>
      <w:r w:rsidRPr="007314B0">
        <w:t xml:space="preserve">L’anneau ne couvre pas le col de l’utérus et n’interrompt pas l’écoulement des règles. Il n’y a aucun problème de sécurité lié à l’utilisation de tampons, de serviettes hygiéniques ou d’autres produits </w:t>
      </w:r>
      <w:r w:rsidR="003A3600" w:rsidRPr="007314B0">
        <w:t>hygiéniques</w:t>
      </w:r>
      <w:r w:rsidRPr="007314B0">
        <w:t xml:space="preserve"> pendant l’utilisation de l’anneau. Si la patiente utilise un tampon, elle doit veiller à ne pas retirer accidentellement l’anneau lors du retrait du tampon. </w:t>
      </w:r>
    </w:p>
    <w:p w14:paraId="3EFEC1F5" w14:textId="77777777" w:rsidR="006C7EDA" w:rsidRPr="007314B0" w:rsidRDefault="006C7EDA" w:rsidP="0032523B">
      <w:pPr>
        <w:spacing w:after="0" w:line="240" w:lineRule="auto"/>
      </w:pPr>
    </w:p>
    <w:p w14:paraId="2D22CF0B" w14:textId="55E1050F" w:rsidR="0032523B" w:rsidRPr="007314B0" w:rsidRDefault="0032523B" w:rsidP="0032523B">
      <w:pPr>
        <w:spacing w:after="0" w:line="240" w:lineRule="auto"/>
      </w:pPr>
      <w:r w:rsidRPr="007314B0">
        <w:t>Bien que cela soit peu probable, il est possible que l’anneau tombe. Si cela se produit dans un endroit propre, l’anneau doit être rincé à l’eau claire et remis en place. Si l’anneau tombe dans un endroit sale, il faut le remplacer par un nouvel anneau.</w:t>
      </w:r>
    </w:p>
    <w:p w14:paraId="750656D4" w14:textId="77777777" w:rsidR="0068452F" w:rsidRPr="007314B0" w:rsidRDefault="0068452F" w:rsidP="0068452F">
      <w:pPr>
        <w:spacing w:after="0" w:line="240" w:lineRule="auto"/>
        <w:rPr>
          <w:color w:val="4472C4" w:themeColor="accent1"/>
        </w:rPr>
      </w:pPr>
    </w:p>
    <w:p w14:paraId="1974D969" w14:textId="77777777" w:rsidR="00DD1E57" w:rsidRPr="007314B0" w:rsidRDefault="00DD1E57" w:rsidP="00DD508F">
      <w:pPr>
        <w:pStyle w:val="Heading4"/>
        <w:spacing w:before="0" w:after="120" w:line="240" w:lineRule="auto"/>
        <w:rPr>
          <w:rFonts w:asciiTheme="minorHAnsi" w:hAnsiTheme="minorHAnsi" w:cstheme="minorBidi"/>
          <w:i w:val="0"/>
        </w:rPr>
      </w:pPr>
      <w:bookmarkStart w:id="28" w:name="_Toc124428499"/>
      <w:r w:rsidRPr="007314B0">
        <w:rPr>
          <w:rFonts w:asciiTheme="minorHAnsi" w:hAnsiTheme="minorHAnsi"/>
          <w:i w:val="0"/>
        </w:rPr>
        <w:t>Insérer l’anneau de PrEP</w:t>
      </w:r>
      <w:bookmarkEnd w:id="28"/>
    </w:p>
    <w:p w14:paraId="2662D574" w14:textId="4D1F593F" w:rsidR="00E06B2B" w:rsidRPr="007314B0" w:rsidRDefault="00DD1E57" w:rsidP="0068452F">
      <w:pPr>
        <w:spacing w:after="120" w:line="240" w:lineRule="auto"/>
        <w:rPr>
          <w:rFonts w:cstheme="minorHAnsi"/>
          <w:color w:val="000000" w:themeColor="text1"/>
        </w:rPr>
      </w:pPr>
      <w:r w:rsidRPr="007314B0">
        <w:rPr>
          <w:color w:val="000000" w:themeColor="text1"/>
        </w:rPr>
        <w:t xml:space="preserve">Les patientes peuvent initialement avoir besoin d’une orientation et d’un soutien pour apprendre à utiliser l’anneau. Une fois qu’elles se sentent en confiance, elles peuvent continuer à l’utiliser par elles-mêmes. Certaines patientes sont tout à fait à l’aise pour utiliser l’anneau seule, avec un soutien minimal dès le début. Cependant, pour les patientes qui souhaitent recevoir une aide, un prestataire de soins de santé peut aider à insérer l’anneau ou à confirmer sa bonne mise en place. L’anneau est inséré à la main et il n’est nullement nécessaire d’utiliser un spéculum ou d’autres outils pour </w:t>
      </w:r>
      <w:r w:rsidR="00B9728B" w:rsidRPr="007314B0">
        <w:rPr>
          <w:color w:val="000000" w:themeColor="text1"/>
        </w:rPr>
        <w:t>le mettre en place</w:t>
      </w:r>
      <w:r w:rsidRPr="007314B0">
        <w:rPr>
          <w:color w:val="000000" w:themeColor="text1"/>
        </w:rPr>
        <w:t>. Des instructions visuelles claires doivent être proposées avec l’anneau. Les étapes pour l’insertion de l’anneau par les patientes sont présentées dans l’encadré 2.</w:t>
      </w:r>
    </w:p>
    <w:tbl>
      <w:tblPr>
        <w:tblW w:w="0" w:type="auto"/>
        <w:tblLook w:val="04A0" w:firstRow="1" w:lastRow="0" w:firstColumn="1" w:lastColumn="0" w:noHBand="0" w:noVBand="1"/>
      </w:tblPr>
      <w:tblGrid>
        <w:gridCol w:w="10456"/>
      </w:tblGrid>
      <w:tr w:rsidR="00DD1E57" w:rsidRPr="007314B0" w14:paraId="36296EE4" w14:textId="77777777" w:rsidTr="00A7555C">
        <w:tc>
          <w:tcPr>
            <w:tcW w:w="10456" w:type="dxa"/>
            <w:shd w:val="clear" w:color="auto" w:fill="D9E2F3" w:themeFill="accent1" w:themeFillTint="33"/>
          </w:tcPr>
          <w:p w14:paraId="68E8F3AC" w14:textId="29440D98" w:rsidR="00DD1E57" w:rsidRPr="007314B0" w:rsidRDefault="00D27C06" w:rsidP="00DD508F">
            <w:pPr>
              <w:spacing w:after="120"/>
              <w:rPr>
                <w:rFonts w:cstheme="minorHAnsi"/>
                <w:b/>
              </w:rPr>
            </w:pPr>
            <w:r w:rsidRPr="007314B0">
              <w:rPr>
                <w:b/>
              </w:rPr>
              <w:t xml:space="preserve">Encadré 2. Étapes que doivent suivre les patientes pour insérer l’anneau </w:t>
            </w:r>
          </w:p>
          <w:p w14:paraId="4BD8EC6B" w14:textId="672CEA4A" w:rsidR="00DD1E57" w:rsidRPr="007314B0" w:rsidRDefault="00DD1E57" w:rsidP="00391C93">
            <w:pPr>
              <w:pStyle w:val="ListParagraph"/>
              <w:numPr>
                <w:ilvl w:val="0"/>
                <w:numId w:val="7"/>
              </w:numPr>
              <w:spacing w:after="120"/>
              <w:contextualSpacing w:val="0"/>
              <w:rPr>
                <w:rFonts w:cstheme="minorHAnsi"/>
              </w:rPr>
            </w:pPr>
            <w:r w:rsidRPr="007314B0">
              <w:rPr>
                <w:color w:val="000000"/>
              </w:rPr>
              <w:t>Mettez-vous dans une position confortable pour insérer l’anneau, par exemple accroupie, une jambe levée ou en position allongée. Si un prestataire de soins de santé vous aide, vous devez être allongée.</w:t>
            </w:r>
          </w:p>
          <w:p w14:paraId="5BF2A407" w14:textId="2157B4EC" w:rsidR="00DD1E57" w:rsidRPr="007314B0" w:rsidRDefault="00DD1E57" w:rsidP="00391C93">
            <w:pPr>
              <w:pStyle w:val="ListParagraph"/>
              <w:numPr>
                <w:ilvl w:val="0"/>
                <w:numId w:val="7"/>
              </w:numPr>
              <w:spacing w:after="120"/>
              <w:contextualSpacing w:val="0"/>
              <w:rPr>
                <w:rFonts w:cstheme="minorHAnsi"/>
              </w:rPr>
            </w:pPr>
            <w:r w:rsidRPr="007314B0">
              <w:rPr>
                <w:color w:val="000000"/>
              </w:rPr>
              <w:t xml:space="preserve">Après vous être lavé les mains, prenez l’anneau entre le pouce et l’index en serrant les deux côtés de l’anneau de manière </w:t>
            </w:r>
            <w:r w:rsidR="00B9728B" w:rsidRPr="007314B0">
              <w:rPr>
                <w:color w:val="000000"/>
              </w:rPr>
              <w:t>à</w:t>
            </w:r>
            <w:r w:rsidRPr="007314B0">
              <w:rPr>
                <w:color w:val="000000"/>
              </w:rPr>
              <w:t xml:space="preserve"> forme</w:t>
            </w:r>
            <w:r w:rsidR="00B9728B" w:rsidRPr="007314B0">
              <w:rPr>
                <w:color w:val="000000"/>
              </w:rPr>
              <w:t>r</w:t>
            </w:r>
            <w:r w:rsidRPr="007314B0">
              <w:rPr>
                <w:color w:val="000000"/>
              </w:rPr>
              <w:t xml:space="preserve"> un « 8 ».</w:t>
            </w:r>
          </w:p>
          <w:p w14:paraId="068B949C" w14:textId="65F69FE3" w:rsidR="00DD1E57" w:rsidRPr="007314B0" w:rsidRDefault="00DD1E57" w:rsidP="00391C93">
            <w:pPr>
              <w:pStyle w:val="ListParagraph"/>
              <w:numPr>
                <w:ilvl w:val="0"/>
                <w:numId w:val="7"/>
              </w:numPr>
              <w:spacing w:after="120"/>
              <w:contextualSpacing w:val="0"/>
              <w:rPr>
                <w:rFonts w:cstheme="minorHAnsi"/>
              </w:rPr>
            </w:pPr>
            <w:r w:rsidRPr="007314B0">
              <w:rPr>
                <w:color w:val="000000"/>
              </w:rPr>
              <w:t>Utilisez l’autre main pour séparer les plis de la peau autour du vagin.</w:t>
            </w:r>
          </w:p>
          <w:p w14:paraId="33D0E603" w14:textId="05230AC7" w:rsidR="00DD1E57" w:rsidRPr="007314B0" w:rsidRDefault="00DD1E57" w:rsidP="00391C93">
            <w:pPr>
              <w:pStyle w:val="ListParagraph"/>
              <w:numPr>
                <w:ilvl w:val="0"/>
                <w:numId w:val="7"/>
              </w:numPr>
              <w:spacing w:after="120"/>
              <w:contextualSpacing w:val="0"/>
              <w:rPr>
                <w:rFonts w:cstheme="minorHAnsi"/>
              </w:rPr>
            </w:pPr>
            <w:r w:rsidRPr="007314B0">
              <w:rPr>
                <w:color w:val="000000"/>
              </w:rPr>
              <w:t>Placez l’extrémité de l’anneau dans l’ouverture vaginale et poussez-le délicatement du doigt vers le haut dans le vagin.</w:t>
            </w:r>
          </w:p>
          <w:p w14:paraId="679ED67B" w14:textId="1930373E" w:rsidR="00DD1E57" w:rsidRPr="007314B0" w:rsidRDefault="00DD1E57" w:rsidP="00391C93">
            <w:pPr>
              <w:pStyle w:val="ListParagraph"/>
              <w:numPr>
                <w:ilvl w:val="0"/>
                <w:numId w:val="7"/>
              </w:numPr>
              <w:spacing w:after="120"/>
              <w:contextualSpacing w:val="0"/>
              <w:rPr>
                <w:rFonts w:cstheme="minorHAnsi"/>
              </w:rPr>
            </w:pPr>
            <w:r w:rsidRPr="007314B0">
              <w:rPr>
                <w:color w:val="000000"/>
              </w:rPr>
              <w:t xml:space="preserve">Poussez l’anneau aussi loin que possible vers le bas du dos. Si l’anneau n’est pas confortable, il n’est probablement pas inséré assez loin dans le vagin. Poussez-le du doigt aussi loin que possible dans le vagin. </w:t>
            </w:r>
          </w:p>
          <w:p w14:paraId="3E4CCACF" w14:textId="652BECDE" w:rsidR="004C5979" w:rsidRPr="007314B0" w:rsidRDefault="00DD1E57" w:rsidP="00DD508F">
            <w:pPr>
              <w:spacing w:after="120"/>
              <w:rPr>
                <w:rFonts w:cstheme="minorHAnsi"/>
                <w:i/>
                <w:iCs/>
                <w:color w:val="000000"/>
              </w:rPr>
            </w:pPr>
            <w:r w:rsidRPr="007314B0">
              <w:rPr>
                <w:i/>
                <w:iCs/>
                <w:color w:val="000000"/>
              </w:rPr>
              <w:t>*L’insertion de l’anneau doit être indolore. En cas de saignements ou de gêne lors de l’insertion, contactez votre prestataire de soins de santé.</w:t>
            </w:r>
          </w:p>
          <w:p w14:paraId="66CD72BA" w14:textId="1D202BB4" w:rsidR="00DD1E57" w:rsidRPr="007314B0" w:rsidRDefault="004C5979" w:rsidP="00DD508F">
            <w:pPr>
              <w:spacing w:after="120"/>
              <w:rPr>
                <w:rFonts w:cstheme="minorHAnsi"/>
              </w:rPr>
            </w:pPr>
            <w:r w:rsidRPr="007314B0">
              <w:rPr>
                <w:noProof/>
              </w:rPr>
              <mc:AlternateContent>
                <mc:Choice Requires="wps">
                  <w:drawing>
                    <wp:anchor distT="0" distB="0" distL="114300" distR="114300" simplePos="0" relativeHeight="251658243" behindDoc="0" locked="0" layoutInCell="1" allowOverlap="1" wp14:anchorId="2F91DA18" wp14:editId="3D5B5976">
                      <wp:simplePos x="0" y="0"/>
                      <wp:positionH relativeFrom="column">
                        <wp:posOffset>4549140</wp:posOffset>
                      </wp:positionH>
                      <wp:positionV relativeFrom="paragraph">
                        <wp:posOffset>508000</wp:posOffset>
                      </wp:positionV>
                      <wp:extent cx="342900" cy="123825"/>
                      <wp:effectExtent l="0" t="19050" r="38100" b="47625"/>
                      <wp:wrapNone/>
                      <wp:docPr id="17" name="Arrow: Right 8"/>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3BE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58.2pt;margin-top:40pt;width:27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7314B0">
              <w:rPr>
                <w:noProof/>
              </w:rPr>
              <mc:AlternateContent>
                <mc:Choice Requires="wps">
                  <w:drawing>
                    <wp:anchor distT="0" distB="0" distL="114300" distR="114300" simplePos="0" relativeHeight="251658242" behindDoc="0" locked="0" layoutInCell="1" allowOverlap="1" wp14:anchorId="6467D756" wp14:editId="6603DDA8">
                      <wp:simplePos x="0" y="0"/>
                      <wp:positionH relativeFrom="column">
                        <wp:posOffset>3053715</wp:posOffset>
                      </wp:positionH>
                      <wp:positionV relativeFrom="paragraph">
                        <wp:posOffset>479425</wp:posOffset>
                      </wp:positionV>
                      <wp:extent cx="342900" cy="123825"/>
                      <wp:effectExtent l="0" t="19050" r="38100" b="47625"/>
                      <wp:wrapNone/>
                      <wp:docPr id="16" name="Arrow: Right 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17BD" id="Arrow: Right 9" o:spid="_x0000_s1026" type="#_x0000_t13" style="position:absolute;margin-left:240.45pt;margin-top:37.75pt;width:27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7314B0">
              <w:rPr>
                <w:noProof/>
              </w:rPr>
              <mc:AlternateContent>
                <mc:Choice Requires="wps">
                  <w:drawing>
                    <wp:anchor distT="0" distB="0" distL="114300" distR="114300" simplePos="0" relativeHeight="251658241" behindDoc="0" locked="0" layoutInCell="1" allowOverlap="1" wp14:anchorId="2985252F" wp14:editId="28372143">
                      <wp:simplePos x="0" y="0"/>
                      <wp:positionH relativeFrom="column">
                        <wp:posOffset>1558290</wp:posOffset>
                      </wp:positionH>
                      <wp:positionV relativeFrom="paragraph">
                        <wp:posOffset>452755</wp:posOffset>
                      </wp:positionV>
                      <wp:extent cx="342900" cy="123825"/>
                      <wp:effectExtent l="0" t="19050" r="38100" b="47625"/>
                      <wp:wrapNone/>
                      <wp:docPr id="14" name="Arrow: Right 1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F1C4" id="Arrow: Right 10" o:spid="_x0000_s1026" type="#_x0000_t13" style="position:absolute;margin-left:122.7pt;margin-top:35.65pt;width:27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7314B0">
              <w:rPr>
                <w:noProof/>
              </w:rPr>
              <w:drawing>
                <wp:anchor distT="0" distB="0" distL="114300" distR="114300" simplePos="0" relativeHeight="251658248" behindDoc="1" locked="0" layoutInCell="1" allowOverlap="1" wp14:anchorId="051179BB" wp14:editId="6732F03C">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w:drawing>
                <wp:anchor distT="0" distB="0" distL="114300" distR="114300" simplePos="0" relativeHeight="251658249" behindDoc="1" locked="0" layoutInCell="1" allowOverlap="1" wp14:anchorId="19D77302" wp14:editId="7F4723BC">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w:drawing>
                <wp:anchor distT="0" distB="0" distL="114300" distR="114300" simplePos="0" relativeHeight="251658250" behindDoc="1" locked="0" layoutInCell="1" allowOverlap="1" wp14:anchorId="4DC1F89B" wp14:editId="7245EAA1">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w:drawing>
                <wp:anchor distT="0" distB="0" distL="114300" distR="114300" simplePos="0" relativeHeight="251658251" behindDoc="1" locked="0" layoutInCell="1" allowOverlap="1" wp14:anchorId="3E14853C" wp14:editId="35AE141A">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25A8" w14:textId="77777777" w:rsidR="00DD1E57" w:rsidRPr="007314B0" w:rsidRDefault="00DD1E57" w:rsidP="00DD508F">
            <w:pPr>
              <w:spacing w:after="120"/>
              <w:rPr>
                <w:rFonts w:cstheme="minorHAnsi"/>
              </w:rPr>
            </w:pPr>
          </w:p>
          <w:p w14:paraId="772C80EF" w14:textId="77777777" w:rsidR="00DD1E57" w:rsidRPr="007314B0" w:rsidRDefault="00DD1E57" w:rsidP="00DD508F">
            <w:pPr>
              <w:spacing w:after="120"/>
              <w:rPr>
                <w:rFonts w:cstheme="minorHAnsi"/>
              </w:rPr>
            </w:pPr>
          </w:p>
          <w:p w14:paraId="015B480A" w14:textId="77777777" w:rsidR="00DD1E57" w:rsidRPr="007314B0" w:rsidRDefault="00DD1E57" w:rsidP="00DD508F">
            <w:pPr>
              <w:spacing w:after="120"/>
              <w:rPr>
                <w:rFonts w:cstheme="minorHAnsi"/>
              </w:rPr>
            </w:pPr>
          </w:p>
          <w:p w14:paraId="25E75AD0" w14:textId="77777777" w:rsidR="00DD1E57" w:rsidRPr="007314B0" w:rsidRDefault="00DD1E57" w:rsidP="00DD508F">
            <w:pPr>
              <w:spacing w:after="120"/>
              <w:rPr>
                <w:rFonts w:cstheme="minorHAnsi"/>
              </w:rPr>
            </w:pPr>
          </w:p>
          <w:p w14:paraId="18E57796" w14:textId="40AE244A" w:rsidR="00DD1E57" w:rsidRPr="007314B0" w:rsidRDefault="00DD1E57" w:rsidP="00DD508F">
            <w:pPr>
              <w:spacing w:after="120"/>
              <w:jc w:val="center"/>
              <w:rPr>
                <w:rFonts w:cstheme="minorHAnsi"/>
                <w:color w:val="000000"/>
              </w:rPr>
            </w:pPr>
            <w:r w:rsidRPr="007314B0">
              <w:rPr>
                <w:b/>
                <w:bCs/>
              </w:rPr>
              <w:t>1                                             2                                              3                                               4</w:t>
            </w:r>
          </w:p>
        </w:tc>
      </w:tr>
    </w:tbl>
    <w:p w14:paraId="78DA31FB" w14:textId="6A64A132" w:rsidR="00DD1E57" w:rsidRPr="007314B0" w:rsidRDefault="00DD1E57" w:rsidP="00717D04">
      <w:pPr>
        <w:pStyle w:val="Heading4"/>
        <w:spacing w:before="240" w:after="120" w:line="240" w:lineRule="auto"/>
        <w:rPr>
          <w:rFonts w:asciiTheme="minorHAnsi" w:hAnsiTheme="minorHAnsi" w:cstheme="minorBidi"/>
          <w:i w:val="0"/>
        </w:rPr>
      </w:pPr>
      <w:bookmarkStart w:id="29" w:name="_Toc124428500"/>
      <w:r w:rsidRPr="007314B0">
        <w:rPr>
          <w:rFonts w:asciiTheme="minorHAnsi" w:hAnsiTheme="minorHAnsi"/>
          <w:i w:val="0"/>
        </w:rPr>
        <w:t>Retirer l’anneau de PrEP</w:t>
      </w:r>
      <w:bookmarkEnd w:id="29"/>
    </w:p>
    <w:p w14:paraId="2B09287E" w14:textId="3CC48E9C" w:rsidR="00411551" w:rsidRPr="007314B0" w:rsidRDefault="00DD1E57" w:rsidP="00DD508F">
      <w:pPr>
        <w:spacing w:after="120" w:line="240" w:lineRule="auto"/>
        <w:rPr>
          <w:rFonts w:cstheme="minorHAnsi"/>
          <w:color w:val="000000" w:themeColor="text1"/>
        </w:rPr>
      </w:pPr>
      <w:r w:rsidRPr="007314B0">
        <w:rPr>
          <w:color w:val="000000"/>
        </w:rPr>
        <w:t xml:space="preserve">Les patientes peuvent retirer l’anneau sans l’aide d’un prestataire de soins de santé. Cependant, pour les patientes qui le souhaitent, un prestataire peut les aider à le retirer. </w:t>
      </w:r>
      <w:r w:rsidRPr="007314B0">
        <w:t>L’anneau est retiré à la main et il n’est nullement nécessaire d’utiliser un spéculum ou d’autres outils pour le retirer.</w:t>
      </w:r>
      <w:r w:rsidRPr="007314B0">
        <w:rPr>
          <w:color w:val="000000" w:themeColor="text1"/>
        </w:rPr>
        <w:t xml:space="preserve"> </w:t>
      </w:r>
      <w:r w:rsidRPr="007314B0">
        <w:rPr>
          <w:color w:val="000000"/>
        </w:rPr>
        <w:t xml:space="preserve">Si la patiente est aidée par un prestataire de soins </w:t>
      </w:r>
      <w:r w:rsidRPr="007314B0">
        <w:rPr>
          <w:color w:val="000000"/>
        </w:rPr>
        <w:lastRenderedPageBreak/>
        <w:t xml:space="preserve">de santé, elle doit être allongée pendant le processus. </w:t>
      </w:r>
      <w:r w:rsidRPr="007314B0">
        <w:rPr>
          <w:color w:val="000000" w:themeColor="text1"/>
        </w:rPr>
        <w:t>Les étapes pour le retrait de l’anneau par les patientes sont présentées dans l’encadré 3.</w:t>
      </w:r>
    </w:p>
    <w:tbl>
      <w:tblPr>
        <w:tblW w:w="0" w:type="auto"/>
        <w:tblLook w:val="04A0" w:firstRow="1" w:lastRow="0" w:firstColumn="1" w:lastColumn="0" w:noHBand="0" w:noVBand="1"/>
      </w:tblPr>
      <w:tblGrid>
        <w:gridCol w:w="10456"/>
      </w:tblGrid>
      <w:tr w:rsidR="00A7555C" w:rsidRPr="007314B0" w14:paraId="117B9E33" w14:textId="77777777" w:rsidTr="00A7555C">
        <w:tc>
          <w:tcPr>
            <w:tcW w:w="10456" w:type="dxa"/>
            <w:shd w:val="clear" w:color="auto" w:fill="D9E2F3" w:themeFill="accent1" w:themeFillTint="33"/>
          </w:tcPr>
          <w:p w14:paraId="59D95422" w14:textId="2DBDD1E8" w:rsidR="00A7555C" w:rsidRPr="007314B0" w:rsidRDefault="00D27C06" w:rsidP="00DD508F">
            <w:pPr>
              <w:spacing w:after="120"/>
              <w:rPr>
                <w:rFonts w:cstheme="minorHAnsi"/>
                <w:b/>
              </w:rPr>
            </w:pPr>
            <w:r w:rsidRPr="007314B0">
              <w:rPr>
                <w:b/>
              </w:rPr>
              <w:t>Encadré 3. Étapes que doivent suivre les patientes pour retirer l’anneau</w:t>
            </w:r>
          </w:p>
          <w:p w14:paraId="017D7D3D" w14:textId="23029F17" w:rsidR="00A7555C" w:rsidRPr="007314B0" w:rsidRDefault="00A7555C" w:rsidP="00391C93">
            <w:pPr>
              <w:pStyle w:val="ListParagraph"/>
              <w:numPr>
                <w:ilvl w:val="0"/>
                <w:numId w:val="8"/>
              </w:numPr>
              <w:spacing w:after="120"/>
              <w:contextualSpacing w:val="0"/>
              <w:rPr>
                <w:rFonts w:cstheme="minorHAnsi"/>
              </w:rPr>
            </w:pPr>
            <w:r w:rsidRPr="007314B0">
              <w:rPr>
                <w:color w:val="000000"/>
              </w:rPr>
              <w:t xml:space="preserve">Mettez-vous dans une position confortable pour retirer l’anneau, par exemple accroupie, une jambe levée ou en position allongée. </w:t>
            </w:r>
          </w:p>
          <w:p w14:paraId="463A3B51" w14:textId="27330724" w:rsidR="00A7555C" w:rsidRPr="007314B0" w:rsidRDefault="00A7555C" w:rsidP="00391C93">
            <w:pPr>
              <w:pStyle w:val="ListParagraph"/>
              <w:numPr>
                <w:ilvl w:val="0"/>
                <w:numId w:val="8"/>
              </w:numPr>
              <w:spacing w:after="120"/>
              <w:contextualSpacing w:val="0"/>
              <w:rPr>
                <w:rFonts w:cstheme="minorHAnsi"/>
              </w:rPr>
            </w:pPr>
            <w:r w:rsidRPr="007314B0">
              <w:rPr>
                <w:color w:val="000000"/>
              </w:rPr>
              <w:t>Après vous être lavé les mains, insérez un doigt dans le vagin et attrapez le bord de l’anneau.</w:t>
            </w:r>
          </w:p>
          <w:p w14:paraId="4E5F5115" w14:textId="302B55CD" w:rsidR="00A7555C" w:rsidRPr="007314B0" w:rsidRDefault="00A7555C" w:rsidP="00391C93">
            <w:pPr>
              <w:pStyle w:val="ListParagraph"/>
              <w:numPr>
                <w:ilvl w:val="0"/>
                <w:numId w:val="8"/>
              </w:numPr>
              <w:spacing w:after="120"/>
              <w:contextualSpacing w:val="0"/>
              <w:rPr>
                <w:rFonts w:cstheme="minorHAnsi"/>
              </w:rPr>
            </w:pPr>
            <w:r w:rsidRPr="007314B0">
              <w:rPr>
                <w:color w:val="000000"/>
              </w:rPr>
              <w:t>Retirez délicatement l’anneau du vagin.</w:t>
            </w:r>
          </w:p>
          <w:p w14:paraId="253E36D9" w14:textId="48B96857" w:rsidR="00A7555C" w:rsidRPr="007314B0" w:rsidRDefault="00A7555C" w:rsidP="00DD508F">
            <w:pPr>
              <w:spacing w:after="120"/>
              <w:rPr>
                <w:rFonts w:cstheme="minorHAnsi"/>
                <w:color w:val="000000"/>
              </w:rPr>
            </w:pPr>
            <w:r w:rsidRPr="007314B0">
              <w:rPr>
                <w:i/>
                <w:iCs/>
                <w:color w:val="000000"/>
              </w:rPr>
              <w:t>*Le retrait de l’anneau doit être indolore. En cas de saignements ou de gêne lors du retrait, contactez votre prestataire de soins de santé.</w:t>
            </w:r>
            <w:r w:rsidRPr="007314B0">
              <w:rPr>
                <w:color w:val="000000"/>
              </w:rPr>
              <w:t xml:space="preserve"> </w:t>
            </w:r>
          </w:p>
          <w:p w14:paraId="5ECAE092" w14:textId="54FCB4D4" w:rsidR="00A7555C" w:rsidRPr="007314B0" w:rsidRDefault="00897915" w:rsidP="00DD508F">
            <w:pPr>
              <w:spacing w:after="120"/>
              <w:rPr>
                <w:rFonts w:cstheme="minorHAnsi"/>
                <w:color w:val="000000"/>
              </w:rPr>
            </w:pPr>
            <w:r w:rsidRPr="007314B0">
              <w:rPr>
                <w:noProof/>
              </w:rPr>
              <w:drawing>
                <wp:anchor distT="0" distB="0" distL="114300" distR="114300" simplePos="0" relativeHeight="251658247" behindDoc="1" locked="0" layoutInCell="1" allowOverlap="1" wp14:anchorId="533D05C7" wp14:editId="4A64ACA8">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15"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340"/>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14B0">
              <w:rPr>
                <w:noProof/>
              </w:rPr>
              <mc:AlternateContent>
                <mc:Choice Requires="wps">
                  <w:drawing>
                    <wp:anchor distT="0" distB="0" distL="114300" distR="114300" simplePos="0" relativeHeight="251658245" behindDoc="0" locked="0" layoutInCell="1" allowOverlap="1" wp14:anchorId="74B9903B" wp14:editId="49CE0F74">
                      <wp:simplePos x="0" y="0"/>
                      <wp:positionH relativeFrom="column">
                        <wp:posOffset>1863725</wp:posOffset>
                      </wp:positionH>
                      <wp:positionV relativeFrom="paragraph">
                        <wp:posOffset>495935</wp:posOffset>
                      </wp:positionV>
                      <wp:extent cx="342900" cy="123825"/>
                      <wp:effectExtent l="0" t="19050" r="38100" b="47625"/>
                      <wp:wrapNone/>
                      <wp:docPr id="20"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4FE8" id="Arrow: Right 14" o:spid="_x0000_s1026" type="#_x0000_t13" style="position:absolute;margin-left:146.75pt;margin-top:39.05pt;width:27pt;height: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7314B0">
              <w:rPr>
                <w:noProof/>
              </w:rPr>
              <w:drawing>
                <wp:anchor distT="0" distB="0" distL="114300" distR="114300" simplePos="0" relativeHeight="251658252" behindDoc="1" locked="0" layoutInCell="1" allowOverlap="1" wp14:anchorId="458783F5" wp14:editId="7ADE3374">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15"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mc:AlternateContent>
                <mc:Choice Requires="wps">
                  <w:drawing>
                    <wp:anchor distT="0" distB="0" distL="114300" distR="114300" simplePos="0" relativeHeight="251658246" behindDoc="0" locked="0" layoutInCell="1" allowOverlap="1" wp14:anchorId="3968E719" wp14:editId="08766A99">
                      <wp:simplePos x="0" y="0"/>
                      <wp:positionH relativeFrom="column">
                        <wp:posOffset>3349625</wp:posOffset>
                      </wp:positionH>
                      <wp:positionV relativeFrom="paragraph">
                        <wp:posOffset>522605</wp:posOffset>
                      </wp:positionV>
                      <wp:extent cx="342900" cy="123825"/>
                      <wp:effectExtent l="0" t="19050" r="38100" b="47625"/>
                      <wp:wrapNone/>
                      <wp:docPr id="19"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F433" id="Arrow: Right 16" o:spid="_x0000_s1026" type="#_x0000_t13" style="position:absolute;margin-left:263.75pt;margin-top:41.15pt;width:27pt;height: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7314B0">
              <w:rPr>
                <w:noProof/>
              </w:rPr>
              <w:drawing>
                <wp:anchor distT="0" distB="0" distL="114300" distR="114300" simplePos="0" relativeHeight="251658253" behindDoc="1" locked="0" layoutInCell="1" allowOverlap="1" wp14:anchorId="41E4321E" wp14:editId="6A638E20">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34A8" w14:textId="4F283817" w:rsidR="00A7555C" w:rsidRPr="007314B0" w:rsidRDefault="00A7555C" w:rsidP="00DD508F">
            <w:pPr>
              <w:spacing w:after="120"/>
              <w:rPr>
                <w:rFonts w:cstheme="minorHAnsi"/>
                <w:color w:val="000000"/>
              </w:rPr>
            </w:pPr>
            <w:r w:rsidRPr="007314B0">
              <w:rPr>
                <w:noProof/>
                <w:color w:val="000000"/>
              </w:rPr>
              <mc:AlternateContent>
                <mc:Choice Requires="wps">
                  <w:drawing>
                    <wp:anchor distT="0" distB="0" distL="114300" distR="114300" simplePos="0" relativeHeight="251658244" behindDoc="0" locked="0" layoutInCell="1" allowOverlap="1" wp14:anchorId="08504AAE" wp14:editId="69C32014">
                      <wp:simplePos x="0" y="0"/>
                      <wp:positionH relativeFrom="column">
                        <wp:posOffset>2341245</wp:posOffset>
                      </wp:positionH>
                      <wp:positionV relativeFrom="paragraph">
                        <wp:posOffset>8255</wp:posOffset>
                      </wp:positionV>
                      <wp:extent cx="854710" cy="857885"/>
                      <wp:effectExtent l="0" t="0" r="21590" b="18415"/>
                      <wp:wrapNone/>
                      <wp:docPr id="3" name="Oval 18"/>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647" w14:textId="77777777" w:rsidR="00A7555C" w:rsidRDefault="00A7555C" w:rsidP="00A75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04AAE" id="Oval 18" o:spid="_x0000_s1027" style="position:absolute;margin-left:184.35pt;margin-top:.65pt;width:67.3pt;height: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" filled="f" strokecolor="#525252 [1606]" strokeweight="1.5pt">
                      <v:stroke joinstyle="miter"/>
                      <v:textbox>
                        <w:txbxContent>
                          <w:p w14:paraId="4E70D647" w14:textId="77777777" w:rsidR="00A7555C" w:rsidRDefault="00A7555C" w:rsidP="00A7555C">
                            <w:pPr>
                              <w:jc w:val="center"/>
                            </w:pPr>
                          </w:p>
                        </w:txbxContent>
                      </v:textbox>
                    </v:oval>
                  </w:pict>
                </mc:Fallback>
              </mc:AlternateContent>
            </w:r>
          </w:p>
          <w:p w14:paraId="76EECEEB" w14:textId="5CAEB134" w:rsidR="00A7555C" w:rsidRPr="007314B0" w:rsidRDefault="00A7555C" w:rsidP="00DD508F">
            <w:pPr>
              <w:spacing w:after="120"/>
              <w:rPr>
                <w:rFonts w:cstheme="minorHAnsi"/>
                <w:color w:val="000000"/>
              </w:rPr>
            </w:pPr>
          </w:p>
          <w:p w14:paraId="42850EEC" w14:textId="1AEF6E91" w:rsidR="00A7555C" w:rsidRPr="007314B0" w:rsidRDefault="00A7555C" w:rsidP="00DD508F">
            <w:pPr>
              <w:spacing w:after="120"/>
              <w:rPr>
                <w:rFonts w:cstheme="minorHAnsi"/>
                <w:color w:val="000000"/>
              </w:rPr>
            </w:pPr>
          </w:p>
          <w:p w14:paraId="532E6503" w14:textId="77777777" w:rsidR="00A7555C" w:rsidRPr="007314B0" w:rsidRDefault="00A7555C" w:rsidP="00DD508F">
            <w:pPr>
              <w:spacing w:after="120"/>
              <w:rPr>
                <w:rFonts w:cstheme="minorHAnsi"/>
                <w:color w:val="000000"/>
              </w:rPr>
            </w:pPr>
          </w:p>
          <w:p w14:paraId="066FFE4E" w14:textId="6D68FA0D" w:rsidR="00A7555C" w:rsidRPr="007314B0" w:rsidRDefault="00A7555C" w:rsidP="00DD508F">
            <w:pPr>
              <w:spacing w:after="120"/>
              <w:rPr>
                <w:rFonts w:cstheme="minorHAnsi"/>
                <w:b/>
                <w:bCs/>
              </w:rPr>
            </w:pPr>
            <w:r w:rsidRPr="007314B0">
              <w:t xml:space="preserve">                                       </w:t>
            </w:r>
            <w:r w:rsidRPr="007314B0">
              <w:rPr>
                <w:b/>
                <w:bCs/>
              </w:rPr>
              <w:t xml:space="preserve">1                                             2                                              3                 </w:t>
            </w:r>
          </w:p>
        </w:tc>
      </w:tr>
      <w:bookmarkEnd w:id="27"/>
    </w:tbl>
    <w:p w14:paraId="0C65F7B5" w14:textId="77777777" w:rsidR="52CC4247" w:rsidRPr="007314B0" w:rsidRDefault="52CC4247" w:rsidP="007B158F">
      <w:pPr>
        <w:pStyle w:val="Heading2"/>
      </w:pPr>
    </w:p>
    <w:p w14:paraId="7F4733ED" w14:textId="32EB6A9E" w:rsidR="008E5D37" w:rsidRPr="007314B0" w:rsidRDefault="007B158F" w:rsidP="007B158F">
      <w:pPr>
        <w:pStyle w:val="Heading2"/>
        <w:rPr>
          <w:rFonts w:asciiTheme="minorHAnsi" w:hAnsiTheme="minorHAnsi" w:cstheme="minorHAnsi"/>
        </w:rPr>
      </w:pPr>
      <w:bookmarkStart w:id="30" w:name="_Toc124428501"/>
      <w:r w:rsidRPr="007314B0">
        <w:rPr>
          <w:rFonts w:asciiTheme="minorHAnsi" w:hAnsiTheme="minorHAnsi"/>
        </w:rPr>
        <w:t>Présentation de la CAB PrEP</w:t>
      </w:r>
      <w:bookmarkEnd w:id="30"/>
    </w:p>
    <w:p w14:paraId="3C0B8127" w14:textId="2C99AABD" w:rsidR="000434B3" w:rsidRPr="007314B0" w:rsidRDefault="34151F09" w:rsidP="000434B3">
      <w:r w:rsidRPr="007314B0">
        <w:t xml:space="preserve">La CAB PrEP est une méthode de PrEP à action prolongée contenant 600 mg de suspension injectable de </w:t>
      </w:r>
      <w:proofErr w:type="spellStart"/>
      <w:r w:rsidRPr="007314B0">
        <w:t>cabotégravir</w:t>
      </w:r>
      <w:proofErr w:type="spellEnd"/>
      <w:r w:rsidRPr="007314B0">
        <w:t xml:space="preserve"> à libération prolongée. Il s’agit d’une injection intramusculaire dans le muscle fessier. La CAB PrEP ne doit être injectée que dans le muscle fessier. En effet, la pharmacocinétique et l’efficacité de la CAB PrEP lorsqu’elle est injectée dans d’autres sites n’ont pas été étudiées. La deuxième injection a lieu </w:t>
      </w:r>
      <w:r w:rsidR="00355C25" w:rsidRPr="007314B0">
        <w:t>un mois</w:t>
      </w:r>
      <w:r w:rsidRPr="007314B0">
        <w:t xml:space="preserve"> après la première, les </w:t>
      </w:r>
      <w:r w:rsidR="00F05AB6" w:rsidRPr="007314B0">
        <w:t>suivantes</w:t>
      </w:r>
      <w:r w:rsidRPr="007314B0">
        <w:t xml:space="preserve"> ayant lieu tou</w:t>
      </w:r>
      <w:r w:rsidR="00355C25" w:rsidRPr="007314B0">
        <w:t>s</w:t>
      </w:r>
      <w:r w:rsidRPr="007314B0">
        <w:t xml:space="preserve"> les </w:t>
      </w:r>
      <w:r w:rsidR="00355C25" w:rsidRPr="007314B0">
        <w:t>deux mois</w:t>
      </w:r>
      <w:r w:rsidRPr="007314B0">
        <w:t xml:space="preserve"> Le </w:t>
      </w:r>
      <w:proofErr w:type="spellStart"/>
      <w:r w:rsidRPr="007314B0">
        <w:t>cab</w:t>
      </w:r>
      <w:r w:rsidR="00DF3220" w:rsidRPr="007314B0">
        <w:t>o</w:t>
      </w:r>
      <w:r w:rsidRPr="007314B0">
        <w:t>tégravir</w:t>
      </w:r>
      <w:proofErr w:type="spellEnd"/>
      <w:r w:rsidRPr="007314B0">
        <w:t xml:space="preserve"> appartient à une classe d’ARV appelés inhibiteurs de transfert du brin de l’intégrase qui réduisent la capacité du VIH à se reproduire à l’intérieur d’une cellule saine. L</w:t>
      </w:r>
      <w:r w:rsidR="00F05AB6" w:rsidRPr="007314B0">
        <w:t>a</w:t>
      </w:r>
      <w:r w:rsidRPr="007314B0">
        <w:t xml:space="preserve"> CAB PrEP délivre le </w:t>
      </w:r>
      <w:proofErr w:type="spellStart"/>
      <w:r w:rsidRPr="007314B0">
        <w:t>cabotégravir</w:t>
      </w:r>
      <w:proofErr w:type="spellEnd"/>
      <w:r w:rsidRPr="007314B0">
        <w:t xml:space="preserve"> par voie systémique, de sorte que le médicament est absorbé dans tout le corps. </w:t>
      </w:r>
    </w:p>
    <w:p w14:paraId="20669155" w14:textId="66BD3D50" w:rsidR="000434B3" w:rsidRPr="007314B0" w:rsidRDefault="7136C5AD" w:rsidP="000434B3">
      <w:r w:rsidRPr="007314B0">
        <w:t>Les résultats de deux essais contrôlés randomisés montrent que la CAB PrEP est très efficace pour éviter de contracter le VIH par voie sexuelle et qu’elle peut être proposée comme autre choix de prévention dans le cadre d’approches de prévention combinées. Elle n’a pas encore fait l’objet d’études pour la prévention du VIH en cas d’exposition parentérale ou pour les personnes susceptibles d’être exposées lors d’une transmission verticale pendant la grossesse, l’accouchement ou l’allaitement.</w:t>
      </w:r>
      <w:r w:rsidRPr="007314B0">
        <w:rPr>
          <w:rStyle w:val="FootnoteReference"/>
        </w:rPr>
        <w:t xml:space="preserve"> </w:t>
      </w:r>
      <w:r w:rsidRPr="007314B0">
        <w:t xml:space="preserve">La CAB PrEP peut convenir aux patients qui souhaitent des dosages moins fréquents ou </w:t>
      </w:r>
      <w:r w:rsidR="00F05AB6" w:rsidRPr="007314B0">
        <w:t xml:space="preserve">une </w:t>
      </w:r>
      <w:r w:rsidRPr="007314B0">
        <w:t xml:space="preserve">plus </w:t>
      </w:r>
      <w:r w:rsidR="00F05AB6" w:rsidRPr="007314B0">
        <w:t xml:space="preserve">grande </w:t>
      </w:r>
      <w:r w:rsidRPr="007314B0">
        <w:t xml:space="preserve">intimité concernant la prise de la PrEP. </w:t>
      </w:r>
    </w:p>
    <w:p w14:paraId="7F50DB5B" w14:textId="5E2429E8" w:rsidR="007B158F" w:rsidRPr="007314B0" w:rsidRDefault="00FE76E9">
      <w:pPr>
        <w:pStyle w:val="Heading3"/>
        <w:rPr>
          <w:rFonts w:asciiTheme="minorHAnsi" w:hAnsiTheme="minorHAnsi" w:cstheme="minorHAnsi"/>
        </w:rPr>
      </w:pPr>
      <w:bookmarkStart w:id="31" w:name="_Toc124428502"/>
      <w:r w:rsidRPr="007314B0">
        <w:rPr>
          <w:rFonts w:asciiTheme="minorHAnsi" w:hAnsiTheme="minorHAnsi"/>
        </w:rPr>
        <w:t>Formulation de la CAB PrEP</w:t>
      </w:r>
      <w:bookmarkEnd w:id="31"/>
    </w:p>
    <w:p w14:paraId="2C68A0DE" w14:textId="7D9721E7" w:rsidR="00915A29" w:rsidRPr="007314B0" w:rsidRDefault="007D467D" w:rsidP="00915A29">
      <w:r w:rsidRPr="007314B0">
        <w:t xml:space="preserve">La CAB PrEP est l’injection d’une suspension injectable de 600 mg de </w:t>
      </w:r>
      <w:proofErr w:type="spellStart"/>
      <w:r w:rsidRPr="007314B0">
        <w:t>cabotégravir</w:t>
      </w:r>
      <w:proofErr w:type="spellEnd"/>
      <w:r w:rsidRPr="007314B0">
        <w:t xml:space="preserve"> à libération prolongée (3 ml). </w:t>
      </w:r>
    </w:p>
    <w:p w14:paraId="6B672EA3" w14:textId="307A72CD" w:rsidR="00FE76E9" w:rsidRPr="007314B0" w:rsidRDefault="00FE76E9">
      <w:pPr>
        <w:pStyle w:val="Heading3"/>
        <w:rPr>
          <w:rFonts w:asciiTheme="minorHAnsi" w:hAnsiTheme="minorHAnsi" w:cstheme="minorHAnsi"/>
        </w:rPr>
      </w:pPr>
      <w:bookmarkStart w:id="32" w:name="_Toc124428503"/>
      <w:r w:rsidRPr="007314B0">
        <w:rPr>
          <w:rFonts w:asciiTheme="minorHAnsi" w:hAnsiTheme="minorHAnsi"/>
        </w:rPr>
        <w:t>Efficacité de la CAB PrEP</w:t>
      </w:r>
      <w:bookmarkEnd w:id="32"/>
    </w:p>
    <w:p w14:paraId="47C6D1E0" w14:textId="180423B4" w:rsidR="00F2621D" w:rsidRPr="007314B0" w:rsidRDefault="79AB6D72" w:rsidP="003C5E44">
      <w:r w:rsidRPr="007314B0">
        <w:t xml:space="preserve">Lors des essais cliniques, la CAB PrEP s’est avérée très efficace chez les femmes cisgenres et transgenres et chez les hommes cisgenres. Lors de récents essais contrôlés randomisés, la CAB PrEP s’est révélée être plus efficace que la PrEP orale, bien que cela soit probablement dû en grande partie à une meilleure adhésion </w:t>
      </w:r>
      <w:r w:rsidR="00F05AB6" w:rsidRPr="007314B0">
        <w:t>au traitement</w:t>
      </w:r>
      <w:r w:rsidRPr="007314B0">
        <w:t xml:space="preserve">. Si un patient utilise la CAB PrEP pour la prévention du VIH, il est important qu’il respecte les visites pour les injections afin de garantir un niveau suffisant de </w:t>
      </w:r>
      <w:proofErr w:type="spellStart"/>
      <w:r w:rsidRPr="007314B0">
        <w:t>cabotégravir</w:t>
      </w:r>
      <w:proofErr w:type="spellEnd"/>
      <w:r w:rsidRPr="007314B0">
        <w:t xml:space="preserve"> dans le corps </w:t>
      </w:r>
      <w:r w:rsidR="00F05AB6" w:rsidRPr="007314B0">
        <w:t>et assurer</w:t>
      </w:r>
      <w:r w:rsidRPr="007314B0">
        <w:t xml:space="preserve"> </w:t>
      </w:r>
      <w:r w:rsidR="00F05AB6" w:rsidRPr="007314B0">
        <w:t xml:space="preserve">une </w:t>
      </w:r>
      <w:r w:rsidRPr="007314B0">
        <w:t>prévention continue contre le VIH. Si un patient manque une injection prévue ou arrête la CAB PrEP, les concentrations du médicament dans le corps diminuent lentement. Pendant cette « </w:t>
      </w:r>
      <w:r w:rsidR="00F05AB6" w:rsidRPr="007314B0">
        <w:t>queue</w:t>
      </w:r>
      <w:r w:rsidRPr="007314B0">
        <w:t> » pharmacocinétique, l</w:t>
      </w:r>
      <w:r w:rsidR="00F05AB6" w:rsidRPr="007314B0">
        <w:t>a</w:t>
      </w:r>
      <w:r w:rsidRPr="007314B0">
        <w:t xml:space="preserve"> CAB PrEP protège de moins en moins contre l’acquisition du VIH et une séroconversion peut avoir lieu si le patient est toujours </w:t>
      </w:r>
      <w:r w:rsidR="00DF3220" w:rsidRPr="007314B0">
        <w:t>exposé</w:t>
      </w:r>
      <w:r w:rsidRPr="007314B0">
        <w:t xml:space="preserve"> au virus. Pour obtenir de plus amples informations sur la « période de queue » pharmacocinétique, prière de se reporter à la section </w:t>
      </w:r>
      <w:r w:rsidRPr="007314B0">
        <w:rPr>
          <w:i/>
          <w:iCs/>
        </w:rPr>
        <w:t>Arrêter la CAB PrEP</w:t>
      </w:r>
      <w:r w:rsidRPr="007314B0">
        <w:t xml:space="preserve"> ci-</w:t>
      </w:r>
      <w:r w:rsidR="00F05AB6" w:rsidRPr="007314B0">
        <w:t>après</w:t>
      </w:r>
      <w:r w:rsidRPr="007314B0">
        <w:t xml:space="preserve">.  </w:t>
      </w:r>
    </w:p>
    <w:p w14:paraId="53094B07" w14:textId="67B595C0" w:rsidR="00FE76E9" w:rsidRPr="007314B0" w:rsidRDefault="00663F47">
      <w:pPr>
        <w:pStyle w:val="Heading3"/>
        <w:rPr>
          <w:rFonts w:asciiTheme="minorHAnsi" w:hAnsiTheme="minorHAnsi" w:cstheme="minorHAnsi"/>
        </w:rPr>
      </w:pPr>
      <w:bookmarkStart w:id="33" w:name="_Toc124428504"/>
      <w:r w:rsidRPr="007314B0">
        <w:rPr>
          <w:rFonts w:asciiTheme="minorHAnsi" w:hAnsiTheme="minorHAnsi"/>
        </w:rPr>
        <w:lastRenderedPageBreak/>
        <w:t>Effets secondaires potentiels de la CAB PrEP</w:t>
      </w:r>
      <w:bookmarkEnd w:id="33"/>
    </w:p>
    <w:p w14:paraId="7F35BBA8" w14:textId="2116D6E6" w:rsidR="004340E9" w:rsidRPr="007314B0" w:rsidRDefault="0000014B" w:rsidP="00124632">
      <w:r w:rsidRPr="007314B0">
        <w:t>Les effets secondaires les plus courants de la CAB PrEP sont les suivants :</w:t>
      </w:r>
    </w:p>
    <w:p w14:paraId="3661832A" w14:textId="7C7906D4" w:rsidR="004340E9" w:rsidRPr="007314B0" w:rsidRDefault="004340E9" w:rsidP="004340E9">
      <w:pPr>
        <w:pStyle w:val="ListParagraph"/>
        <w:numPr>
          <w:ilvl w:val="0"/>
          <w:numId w:val="30"/>
        </w:numPr>
      </w:pPr>
      <w:r w:rsidRPr="007314B0">
        <w:t>Maux de tête</w:t>
      </w:r>
    </w:p>
    <w:p w14:paraId="2695E741" w14:textId="4A07EC79" w:rsidR="00EF118B" w:rsidRPr="007314B0" w:rsidRDefault="00EF118B" w:rsidP="004340E9">
      <w:pPr>
        <w:pStyle w:val="ListParagraph"/>
        <w:numPr>
          <w:ilvl w:val="0"/>
          <w:numId w:val="30"/>
        </w:numPr>
      </w:pPr>
      <w:r w:rsidRPr="007314B0">
        <w:t>Nausée</w:t>
      </w:r>
    </w:p>
    <w:p w14:paraId="12436540" w14:textId="2D07C8BB" w:rsidR="00EF118B" w:rsidRPr="007314B0" w:rsidRDefault="002947F4" w:rsidP="004340E9">
      <w:pPr>
        <w:pStyle w:val="ListParagraph"/>
        <w:numPr>
          <w:ilvl w:val="0"/>
          <w:numId w:val="30"/>
        </w:numPr>
      </w:pPr>
      <w:r w:rsidRPr="007314B0">
        <w:t>Diarrhée</w:t>
      </w:r>
    </w:p>
    <w:p w14:paraId="39D3699A" w14:textId="1EAC818E" w:rsidR="006F7001" w:rsidRPr="007314B0" w:rsidRDefault="00EF118B" w:rsidP="00EF118B">
      <w:pPr>
        <w:pStyle w:val="ListParagraph"/>
        <w:numPr>
          <w:ilvl w:val="0"/>
          <w:numId w:val="30"/>
        </w:numPr>
      </w:pPr>
      <w:r w:rsidRPr="007314B0">
        <w:t xml:space="preserve">Fatigue </w:t>
      </w:r>
    </w:p>
    <w:p w14:paraId="66A18321" w14:textId="5AF2F356" w:rsidR="0081022D" w:rsidRPr="007314B0" w:rsidRDefault="28B07FC8" w:rsidP="00EF118B">
      <w:pPr>
        <w:pStyle w:val="ListParagraph"/>
        <w:numPr>
          <w:ilvl w:val="0"/>
          <w:numId w:val="30"/>
        </w:numPr>
      </w:pPr>
      <w:r w:rsidRPr="007314B0">
        <w:t xml:space="preserve">Réactions au site d’injection (RSI) </w:t>
      </w:r>
    </w:p>
    <w:p w14:paraId="22374B55" w14:textId="76A5432D" w:rsidR="00B87E36" w:rsidRPr="007314B0" w:rsidRDefault="00D11530" w:rsidP="00EF118B">
      <w:r w:rsidRPr="007314B0">
        <w:t>Ces effets secondaires sont généralement légers ou modérés. Des réactions</w:t>
      </w:r>
      <w:r w:rsidR="004D51F1" w:rsidRPr="007314B0">
        <w:t xml:space="preserve"> au site d’injection (RSI)</w:t>
      </w:r>
      <w:r w:rsidRPr="007314B0">
        <w:t xml:space="preserve"> légères ou modérées sont plus fréquentes que les autres effets secondaires potentiels et se résorbent avec le temps à mesure que les patients s’habituent à l’injection. Les RSI peuvent inclure des rougeurs, une douleur et un gonflemen</w:t>
      </w:r>
      <w:r w:rsidR="004D51F1" w:rsidRPr="007314B0">
        <w:t>t</w:t>
      </w:r>
      <w:r w:rsidRPr="007314B0">
        <w:t xml:space="preserve">. </w:t>
      </w:r>
    </w:p>
    <w:p w14:paraId="1F8FFA79" w14:textId="6CAE595C" w:rsidR="00F22A7E" w:rsidRPr="007314B0" w:rsidRDefault="00F22A7E" w:rsidP="00EF118B">
      <w:pPr>
        <w:rPr>
          <w:rFonts w:cstheme="minorHAnsi"/>
          <w:bdr w:val="none" w:sz="0" w:space="0" w:color="auto" w:frame="1"/>
        </w:rPr>
      </w:pPr>
      <w:r w:rsidRPr="007314B0">
        <w:rPr>
          <w:bdr w:val="none" w:sz="0" w:space="0" w:color="auto" w:frame="1"/>
        </w:rPr>
        <w:t xml:space="preserve">Pour obtenir des informations sur les effets secondaires moins courants, prière de consulter l’étiquette du produit. </w:t>
      </w:r>
    </w:p>
    <w:p w14:paraId="37E5CCE3" w14:textId="549FFECD" w:rsidR="00FE76E9" w:rsidRPr="007314B0" w:rsidRDefault="00FE76E9">
      <w:pPr>
        <w:pStyle w:val="Heading3"/>
        <w:rPr>
          <w:rFonts w:asciiTheme="minorHAnsi" w:hAnsiTheme="minorHAnsi" w:cstheme="minorHAnsi"/>
        </w:rPr>
      </w:pPr>
      <w:bookmarkStart w:id="34" w:name="_Toc124428505"/>
      <w:r w:rsidRPr="007314B0">
        <w:rPr>
          <w:rFonts w:asciiTheme="minorHAnsi" w:hAnsiTheme="minorHAnsi"/>
        </w:rPr>
        <w:t>Interactions entre la CAB PrEP et d’autres médicaments</w:t>
      </w:r>
      <w:bookmarkEnd w:id="34"/>
    </w:p>
    <w:p w14:paraId="133E9736" w14:textId="661CFECE" w:rsidR="00754135" w:rsidRPr="007314B0" w:rsidRDefault="00D05B73" w:rsidP="00754135">
      <w:r w:rsidRPr="007314B0">
        <w:t xml:space="preserve">Certains anticonvulsivants (carbamazépine, </w:t>
      </w:r>
      <w:proofErr w:type="spellStart"/>
      <w:r w:rsidRPr="007314B0">
        <w:t>oxcarbazépine</w:t>
      </w:r>
      <w:proofErr w:type="spellEnd"/>
      <w:r w:rsidRPr="007314B0">
        <w:t xml:space="preserve">, phénobarbital et phénytoïne) et certains médicaments </w:t>
      </w:r>
      <w:proofErr w:type="spellStart"/>
      <w:r w:rsidRPr="007314B0">
        <w:t>antimycobactériens</w:t>
      </w:r>
      <w:proofErr w:type="spellEnd"/>
      <w:r w:rsidRPr="007314B0">
        <w:t xml:space="preserve"> (</w:t>
      </w:r>
      <w:proofErr w:type="spellStart"/>
      <w:r w:rsidRPr="007314B0">
        <w:t>rifampine</w:t>
      </w:r>
      <w:proofErr w:type="spellEnd"/>
      <w:r w:rsidRPr="007314B0">
        <w:t xml:space="preserve">, parfois appelée rifampicine, et </w:t>
      </w:r>
      <w:proofErr w:type="spellStart"/>
      <w:r w:rsidRPr="007314B0">
        <w:t>rifapentine</w:t>
      </w:r>
      <w:proofErr w:type="spellEnd"/>
      <w:r w:rsidRPr="007314B0">
        <w:t xml:space="preserve">) peuvent produire des interactions avec la CAB PrEP et réduire son efficacité en diminuant de manière significative les concentrations de </w:t>
      </w:r>
      <w:proofErr w:type="spellStart"/>
      <w:r w:rsidRPr="007314B0">
        <w:t>cabotégravir</w:t>
      </w:r>
      <w:proofErr w:type="spellEnd"/>
      <w:r w:rsidRPr="007314B0">
        <w:t xml:space="preserve"> dans le plasma sanguin. Une administration concomitante de ces médicaments et de la CAB PrEP est donc déconseillée et les patients qui en prennent devront choisir une autre méthode de PrEP ou une autre stratégie de prévention du VIH. Lorsqu’un patient termine son traitement </w:t>
      </w:r>
      <w:r w:rsidR="004D51F1" w:rsidRPr="007314B0">
        <w:t>de</w:t>
      </w:r>
      <w:r w:rsidRPr="007314B0">
        <w:t xml:space="preserve"> rifampicine ou </w:t>
      </w:r>
      <w:r w:rsidR="004D51F1" w:rsidRPr="007314B0">
        <w:t>de</w:t>
      </w:r>
      <w:r w:rsidRPr="007314B0">
        <w:t xml:space="preserve"> </w:t>
      </w:r>
      <w:proofErr w:type="spellStart"/>
      <w:r w:rsidRPr="007314B0">
        <w:t>rifapentine</w:t>
      </w:r>
      <w:proofErr w:type="spellEnd"/>
      <w:r w:rsidRPr="007314B0">
        <w:t xml:space="preserve">, il peut </w:t>
      </w:r>
      <w:r w:rsidR="006B2417" w:rsidRPr="007314B0">
        <w:t>envisager</w:t>
      </w:r>
      <w:r w:rsidRPr="007314B0">
        <w:t xml:space="preserve"> </w:t>
      </w:r>
      <w:r w:rsidR="004D51F1" w:rsidRPr="007314B0">
        <w:t xml:space="preserve">de </w:t>
      </w:r>
      <w:r w:rsidRPr="007314B0">
        <w:t xml:space="preserve">prendre la CAB PrEP après deux semaines. </w:t>
      </w:r>
    </w:p>
    <w:p w14:paraId="715D16B6" w14:textId="679E03F2" w:rsidR="008C27B4" w:rsidRPr="007314B0" w:rsidRDefault="0E9B7F06" w:rsidP="00754135">
      <w:r w:rsidRPr="007314B0">
        <w:rPr>
          <w:color w:val="000000" w:themeColor="text1"/>
        </w:rPr>
        <w:t>Il n’existe pas d’interactions connues entre la CAB PrEP et les hormones contraceptives ou d’autres formes de contraception.</w:t>
      </w:r>
      <w:r w:rsidRPr="007314B0">
        <w:t xml:space="preserve"> Les données disponibles suggèrent que l’utilisation d’hormones d’affirmation du genre par les femmes transgenres n’affecte pas les niveaux de </w:t>
      </w:r>
      <w:proofErr w:type="spellStart"/>
      <w:r w:rsidRPr="007314B0">
        <w:t>cabotégravir</w:t>
      </w:r>
      <w:proofErr w:type="spellEnd"/>
      <w:r w:rsidRPr="007314B0">
        <w:t>.</w:t>
      </w:r>
      <w:r w:rsidR="008C27B4" w:rsidRPr="007314B0">
        <w:rPr>
          <w:rStyle w:val="FootnoteReference"/>
        </w:rPr>
        <w:footnoteReference w:id="28"/>
      </w:r>
    </w:p>
    <w:p w14:paraId="70A83ABC" w14:textId="41FC5C4B" w:rsidR="007C4870" w:rsidRPr="007314B0" w:rsidRDefault="16AE0F78" w:rsidP="7D32EE1A">
      <w:pPr>
        <w:spacing w:after="120" w:line="240" w:lineRule="auto"/>
        <w:rPr>
          <w:color w:val="000000" w:themeColor="text1"/>
        </w:rPr>
      </w:pPr>
      <w:r w:rsidRPr="007314B0">
        <w:t xml:space="preserve">Il n’existe pas d’interactions connues entre la CAB PrEP et les drogues récréatives ou l’alcool, mais la consommation d’alcool et de drogues pourrait affecter la capacité de la personne à se rendre aux visites médicales requises et par conséquent manquer des injections. </w:t>
      </w:r>
      <w:r w:rsidRPr="007314B0">
        <w:rPr>
          <w:color w:val="000000" w:themeColor="text1"/>
        </w:rPr>
        <w:t xml:space="preserve">Cependant, si un patient ou un patient potentiel pense que sa consommation d’alcool ou d’autres substances interfère ou pourrait interférer avec une bonne utilisation de la CAB PrEP, le prestataire de soins de santé doit lui </w:t>
      </w:r>
      <w:r w:rsidR="004D51F1" w:rsidRPr="007314B0">
        <w:rPr>
          <w:color w:val="000000" w:themeColor="text1"/>
        </w:rPr>
        <w:t>indiquer</w:t>
      </w:r>
      <w:r w:rsidRPr="007314B0">
        <w:rPr>
          <w:color w:val="000000" w:themeColor="text1"/>
        </w:rPr>
        <w:t xml:space="preserve"> quel soutien ou quelles orientations pourraient être utiles pour l’aider à utiliser le produit efficacement, tout en lui présentant d’autres options de prévention, y compris d’autres méthodes de PrEP, ainsi que l’utilisation du préservatif et de lubrifiants compatibles avec les préservatifs.</w:t>
      </w:r>
    </w:p>
    <w:tbl>
      <w:tblPr>
        <w:tblW w:w="0" w:type="auto"/>
        <w:tblLook w:val="04A0" w:firstRow="1" w:lastRow="0" w:firstColumn="1" w:lastColumn="0" w:noHBand="0" w:noVBand="1"/>
      </w:tblPr>
      <w:tblGrid>
        <w:gridCol w:w="10456"/>
      </w:tblGrid>
      <w:tr w:rsidR="00175F71" w:rsidRPr="007314B0" w14:paraId="556F9685" w14:textId="77777777" w:rsidTr="56D00486">
        <w:tc>
          <w:tcPr>
            <w:tcW w:w="10456" w:type="dxa"/>
            <w:shd w:val="clear" w:color="auto" w:fill="C5E0B3" w:themeFill="accent6" w:themeFillTint="66"/>
          </w:tcPr>
          <w:p w14:paraId="486582AC" w14:textId="22E5EC26" w:rsidR="00A0031C" w:rsidRPr="007314B0" w:rsidRDefault="00175F71" w:rsidP="00F76585">
            <w:pPr>
              <w:spacing w:after="120"/>
            </w:pPr>
            <w:r w:rsidRPr="007314B0">
              <w:rPr>
                <w:b/>
              </w:rPr>
              <w:t xml:space="preserve">Point à prendre en compte : </w:t>
            </w:r>
            <w:r w:rsidRPr="007314B0">
              <w:t>Les patients qui prennent de la méthadone ou de la rifabutine peuvent aussi prendre la CAB PrEP, mais des précautions supplémentaires peuvent s’imposer. La dose prescrite aux personnes qui prennent de la méthadone pourrait devoir être ajustée afin de maintenir l’efficacité du médicament pendant qu’elles utilisent la CAB PrEP. Inversement, la dose de CAB PrEP prescrite aux patients prenant de la rifabutine pourrait devoir être ajustée, notamment en augmentant la fréquence des injections. Les patients ayant pris de fortes doses d’aspirine au cours de la semaine précédente, comme des anti-inflammatoires non stéroïdiens contre la douleur, des anticoagulants ou d’autres antiplaquettaires, risquent d’être plus susceptibles aux ecchymoses ou saignements au site d’injection et devraient donc être informés et conseillés sur les façons d</w:t>
            </w:r>
            <w:r w:rsidR="004D51F1" w:rsidRPr="007314B0">
              <w:t>’en</w:t>
            </w:r>
            <w:r w:rsidRPr="007314B0">
              <w:t xml:space="preserve"> réduire les risques, le cas échéant. </w:t>
            </w:r>
          </w:p>
          <w:p w14:paraId="4C8220BE" w14:textId="039D6743" w:rsidR="00052833" w:rsidRPr="007314B0" w:rsidRDefault="002D65FB" w:rsidP="00F76585">
            <w:pPr>
              <w:spacing w:after="120"/>
            </w:pPr>
            <w:r w:rsidRPr="007314B0">
              <w:t xml:space="preserve">Si on diagnostique une tuberculose (TB) à un patient qui utilise la CAB PrEP, il devra interrompre temporairement ce traitement et recevoir un traitement standard à base de rifampicine. Dans l’intervalle, le patient peut avoir recours à une autre méthode de PrEP ou une autre stratégie de prévention du VIH. Si le patient termine son </w:t>
            </w:r>
            <w:r w:rsidRPr="007314B0">
              <w:lastRenderedPageBreak/>
              <w:t>traitement antituberculeux et souhaite reprendre la CAB PrEP, il faudra d’abord l’évaluer et il pourra recommencer la CAB PrEP en recevant la première injection d’initiation. Il est possible de commencer la CAB PrEP deux semaines après avoir terminé le traitement antituberculeux.</w:t>
            </w:r>
          </w:p>
          <w:p w14:paraId="6E9140CB" w14:textId="31E32953" w:rsidR="002F09BC" w:rsidRPr="007314B0" w:rsidRDefault="1E110FE9" w:rsidP="00D365D5">
            <w:pPr>
              <w:spacing w:after="120"/>
            </w:pPr>
            <w:r w:rsidRPr="007314B0">
              <w:t xml:space="preserve">Les patients qui reçoivent un traitement antituberculeux à base de </w:t>
            </w:r>
            <w:proofErr w:type="spellStart"/>
            <w:r w:rsidRPr="007314B0">
              <w:t>rifapentine</w:t>
            </w:r>
            <w:proofErr w:type="spellEnd"/>
            <w:r w:rsidRPr="007314B0">
              <w:t xml:space="preserve">-isoniazide une fois par semaine pendant 12 semaines (également appelé 3HP) devraient interrompre temporairement la CAB PrEP pendant qu’ils prennent de la </w:t>
            </w:r>
            <w:proofErr w:type="spellStart"/>
            <w:r w:rsidRPr="007314B0">
              <w:t>rifapentine</w:t>
            </w:r>
            <w:proofErr w:type="spellEnd"/>
            <w:r w:rsidRPr="007314B0">
              <w:t xml:space="preserve">. Il est possible de recommencer la CAB PrEP deux semaines après avoir terminé la 3HP. </w:t>
            </w:r>
          </w:p>
        </w:tc>
      </w:tr>
    </w:tbl>
    <w:p w14:paraId="0EFD8E77" w14:textId="77777777" w:rsidR="00B03AD4" w:rsidRPr="007314B0" w:rsidRDefault="00B03AD4" w:rsidP="00B03AD4">
      <w:pPr>
        <w:spacing w:after="120" w:line="240" w:lineRule="auto"/>
        <w:rPr>
          <w:color w:val="000000" w:themeColor="text1"/>
        </w:rPr>
      </w:pPr>
    </w:p>
    <w:p w14:paraId="0613B2DF" w14:textId="240B1224" w:rsidR="00B03AD4" w:rsidRPr="007314B0" w:rsidRDefault="00B03AD4" w:rsidP="00B03AD4">
      <w:pPr>
        <w:spacing w:after="120" w:line="240" w:lineRule="auto"/>
        <w:rPr>
          <w:color w:val="000000" w:themeColor="text1"/>
        </w:rPr>
      </w:pPr>
      <w:r w:rsidRPr="007314B0">
        <w:rPr>
          <w:color w:val="000000" w:themeColor="text1"/>
        </w:rPr>
        <w:t xml:space="preserve">Pour obtenir des informations sur l’utilisation concomitante de la CAB PrEP avec d’autres produits de PrEP, prière de consulter la section </w:t>
      </w:r>
      <w:r w:rsidRPr="007314B0">
        <w:rPr>
          <w:i/>
          <w:iCs/>
          <w:color w:val="000000" w:themeColor="text1"/>
        </w:rPr>
        <w:t>Passer d’une méthode de PrEP à une autre et utilisation simultanée</w:t>
      </w:r>
      <w:r w:rsidRPr="007314B0">
        <w:rPr>
          <w:color w:val="000000" w:themeColor="text1"/>
        </w:rPr>
        <w:t xml:space="preserve"> ci-</w:t>
      </w:r>
      <w:r w:rsidR="006E73A7" w:rsidRPr="007314B0">
        <w:rPr>
          <w:color w:val="000000" w:themeColor="text1"/>
        </w:rPr>
        <w:t>après</w:t>
      </w:r>
      <w:r w:rsidRPr="007314B0">
        <w:rPr>
          <w:color w:val="000000" w:themeColor="text1"/>
        </w:rPr>
        <w:t xml:space="preserve">. </w:t>
      </w:r>
    </w:p>
    <w:p w14:paraId="0C93C8F4" w14:textId="699264FE" w:rsidR="00FE76E9" w:rsidRPr="007314B0" w:rsidRDefault="34B9A145">
      <w:pPr>
        <w:pStyle w:val="Heading3"/>
        <w:rPr>
          <w:rFonts w:asciiTheme="minorHAnsi" w:hAnsiTheme="minorHAnsi" w:cstheme="minorHAnsi"/>
        </w:rPr>
      </w:pPr>
      <w:bookmarkStart w:id="35" w:name="_Toc124428506"/>
      <w:r w:rsidRPr="007314B0">
        <w:rPr>
          <w:rFonts w:asciiTheme="minorHAnsi" w:hAnsiTheme="minorHAnsi"/>
        </w:rPr>
        <w:t>Contrindications à l’utilisation de la CAB PrEP</w:t>
      </w:r>
      <w:bookmarkEnd w:id="35"/>
    </w:p>
    <w:p w14:paraId="30396381" w14:textId="55124389" w:rsidR="00AB0451" w:rsidRPr="007314B0" w:rsidRDefault="099F4DE8" w:rsidP="00AB0451">
      <w:r w:rsidRPr="007314B0">
        <w:t xml:space="preserve">La CAB PrEP ne doit pas être fournie </w:t>
      </w:r>
      <w:r w:rsidR="006E73A7" w:rsidRPr="007314B0">
        <w:t>en cas de</w:t>
      </w:r>
      <w:r w:rsidRPr="007314B0">
        <w:t> :</w:t>
      </w:r>
    </w:p>
    <w:p w14:paraId="61BDE222" w14:textId="66B6922D" w:rsidR="007F6141" w:rsidRPr="007314B0" w:rsidRDefault="006E73A7" w:rsidP="007F6141">
      <w:pPr>
        <w:pStyle w:val="ListParagraph"/>
        <w:numPr>
          <w:ilvl w:val="0"/>
          <w:numId w:val="27"/>
        </w:numPr>
      </w:pPr>
      <w:r w:rsidRPr="007314B0">
        <w:t>T</w:t>
      </w:r>
      <w:r w:rsidR="00CE04BB" w:rsidRPr="007314B0">
        <w:t>est positif au VIH selon l’algorithme national de dépistage du VIH</w:t>
      </w:r>
    </w:p>
    <w:p w14:paraId="4D31D863" w14:textId="730B843C" w:rsidR="00CE04BB" w:rsidRPr="007314B0" w:rsidRDefault="006E73A7" w:rsidP="00CE04BB">
      <w:pPr>
        <w:pStyle w:val="ListParagraph"/>
        <w:numPr>
          <w:ilvl w:val="0"/>
          <w:numId w:val="27"/>
        </w:numPr>
      </w:pPr>
      <w:r w:rsidRPr="007314B0">
        <w:t>E</w:t>
      </w:r>
      <w:r w:rsidR="00FD394F" w:rsidRPr="007314B0">
        <w:t xml:space="preserve">xposition potentielle au VIH au cours des dernières 72 heures (proposer une PEP à ces patients) </w:t>
      </w:r>
    </w:p>
    <w:p w14:paraId="6A355268" w14:textId="1BDCF11A" w:rsidR="00D61224" w:rsidRPr="007314B0" w:rsidRDefault="006E73A7" w:rsidP="00880849">
      <w:pPr>
        <w:pStyle w:val="ListParagraph"/>
        <w:numPr>
          <w:ilvl w:val="0"/>
          <w:numId w:val="27"/>
        </w:numPr>
        <w:rPr>
          <w:i/>
        </w:rPr>
      </w:pPr>
      <w:r w:rsidRPr="007314B0">
        <w:t>S</w:t>
      </w:r>
      <w:r w:rsidR="00327C5D" w:rsidRPr="007314B0">
        <w:t xml:space="preserve">ignes d’AHI (Encadré 1) </w:t>
      </w:r>
      <w:r w:rsidR="00327C5D" w:rsidRPr="007314B0">
        <w:rPr>
          <w:i/>
          <w:iCs/>
        </w:rPr>
        <w:t xml:space="preserve">ET exposition potentielle au VIH au cours des 14 derniers jours </w:t>
      </w:r>
    </w:p>
    <w:p w14:paraId="56AF048D" w14:textId="061A3D4D" w:rsidR="00880849" w:rsidRPr="007314B0" w:rsidRDefault="006E73A7" w:rsidP="00880849">
      <w:pPr>
        <w:pStyle w:val="ListParagraph"/>
        <w:numPr>
          <w:ilvl w:val="0"/>
          <w:numId w:val="27"/>
        </w:numPr>
      </w:pPr>
      <w:r w:rsidRPr="007314B0">
        <w:t>Utilisation de c</w:t>
      </w:r>
      <w:r w:rsidR="41C9A4D6" w:rsidRPr="007314B0">
        <w:t xml:space="preserve">ertains anticonvulsivants ou </w:t>
      </w:r>
      <w:proofErr w:type="spellStart"/>
      <w:r w:rsidR="41C9A4D6" w:rsidRPr="007314B0">
        <w:t>antimycobactériens</w:t>
      </w:r>
      <w:proofErr w:type="spellEnd"/>
      <w:r w:rsidR="41C9A4D6" w:rsidRPr="007314B0">
        <w:t xml:space="preserve"> </w:t>
      </w:r>
      <w:r w:rsidR="00DF3220" w:rsidRPr="007314B0">
        <w:t>coadministrés</w:t>
      </w:r>
      <w:r w:rsidR="41C9A4D6" w:rsidRPr="007314B0">
        <w:t xml:space="preserve"> (voir la section </w:t>
      </w:r>
      <w:r w:rsidR="41C9A4D6" w:rsidRPr="007314B0">
        <w:rPr>
          <w:i/>
          <w:iCs/>
        </w:rPr>
        <w:t>Interactions entre la CAB PrEP et d’autres médicaments</w:t>
      </w:r>
      <w:r w:rsidR="41C9A4D6" w:rsidRPr="007314B0">
        <w:t xml:space="preserve"> ci-dessus)</w:t>
      </w:r>
    </w:p>
    <w:p w14:paraId="46659979" w14:textId="28E3DDC6" w:rsidR="003616FB" w:rsidRPr="007314B0" w:rsidRDefault="006E73A7" w:rsidP="00DC3C07">
      <w:pPr>
        <w:pStyle w:val="ListParagraph"/>
        <w:numPr>
          <w:ilvl w:val="0"/>
          <w:numId w:val="27"/>
        </w:numPr>
      </w:pPr>
      <w:r w:rsidRPr="007314B0">
        <w:rPr>
          <w:color w:val="000000"/>
        </w:rPr>
        <w:t>R</w:t>
      </w:r>
      <w:r w:rsidR="008D590A" w:rsidRPr="007314B0">
        <w:rPr>
          <w:color w:val="000000"/>
        </w:rPr>
        <w:t xml:space="preserve">efus ou incapacité de s’engager à utiliser efficacement la CAB PrEP </w:t>
      </w:r>
    </w:p>
    <w:p w14:paraId="59EFCF70" w14:textId="76B75CE5" w:rsidR="00DC3C07" w:rsidRPr="007314B0" w:rsidRDefault="006E73A7" w:rsidP="00DC3C07">
      <w:pPr>
        <w:pStyle w:val="ListParagraph"/>
        <w:numPr>
          <w:ilvl w:val="0"/>
          <w:numId w:val="27"/>
        </w:numPr>
      </w:pPr>
      <w:r w:rsidRPr="007314B0">
        <w:t>R</w:t>
      </w:r>
      <w:r w:rsidR="00D26A0C" w:rsidRPr="007314B0">
        <w:t xml:space="preserve">éactions allergiques ou hypersensibilité lors d’une utilisation antérieure du </w:t>
      </w:r>
      <w:proofErr w:type="spellStart"/>
      <w:r w:rsidR="00D26A0C" w:rsidRPr="007314B0">
        <w:t>cabotégravir</w:t>
      </w:r>
      <w:proofErr w:type="spellEnd"/>
      <w:r w:rsidR="00D26A0C" w:rsidRPr="007314B0">
        <w:t xml:space="preserve"> ou d’autres inhibiteurs de l’intégrase. </w:t>
      </w:r>
    </w:p>
    <w:p w14:paraId="6F2547A2" w14:textId="13DBD0C9" w:rsidR="00FE76E9" w:rsidRPr="007314B0" w:rsidRDefault="00881DE6">
      <w:pPr>
        <w:pStyle w:val="Heading3"/>
        <w:rPr>
          <w:rFonts w:asciiTheme="minorHAnsi" w:hAnsiTheme="minorHAnsi" w:cstheme="minorHAnsi"/>
        </w:rPr>
      </w:pPr>
      <w:bookmarkStart w:id="36" w:name="_Toc124428507"/>
      <w:r w:rsidRPr="007314B0">
        <w:rPr>
          <w:rFonts w:asciiTheme="minorHAnsi" w:hAnsiTheme="minorHAnsi"/>
        </w:rPr>
        <w:t>Utilisation de la CAB PrEP</w:t>
      </w:r>
      <w:bookmarkEnd w:id="36"/>
    </w:p>
    <w:p w14:paraId="5AFF26E3" w14:textId="72AFE349" w:rsidR="008A25A3" w:rsidRPr="007314B0" w:rsidRDefault="280B131C" w:rsidP="00C4147F">
      <w:r w:rsidRPr="007314B0">
        <w:t xml:space="preserve">La CAB PrEP est une méthode de PrEP administrée sous forme d’injection de 600 mg de médicament (3ml) dans le muscle fessier. La deuxième injection a lieu </w:t>
      </w:r>
      <w:r w:rsidR="00451375" w:rsidRPr="007314B0">
        <w:t>un mois</w:t>
      </w:r>
      <w:r w:rsidRPr="007314B0">
        <w:t xml:space="preserve"> après la première, les autres ayant lieu tous les </w:t>
      </w:r>
      <w:r w:rsidR="00451375" w:rsidRPr="007314B0">
        <w:t>deux mois</w:t>
      </w:r>
      <w:r w:rsidRPr="007314B0">
        <w:t xml:space="preserve">. Les données actuelles montrent qu’il faut environ une semaine pour que les concentrations du médicament atteignent les niveaux auxquels la CAB PrEP est censée être la plus efficace après la première injection d’initiation. Il est donc recommandé de conseiller aux patients d’utiliser une autre stratégie de prévention du VIH pendant la première semaine. </w:t>
      </w:r>
      <w:r w:rsidR="00A857A5" w:rsidRPr="007314B0">
        <w:t xml:space="preserve">Le médicament restera dans l’organisme après qu’un client arrête d’utiliser la PrEP CAB en raison de sa longue demi-vie, mais à des niveaux qui pourraient ne pas prévenir le </w:t>
      </w:r>
      <w:proofErr w:type="gramStart"/>
      <w:r w:rsidR="00A857A5" w:rsidRPr="007314B0">
        <w:t>VIH.</w:t>
      </w:r>
      <w:r w:rsidRPr="007314B0">
        <w:t>.</w:t>
      </w:r>
      <w:proofErr w:type="gramEnd"/>
      <w:r w:rsidRPr="007314B0">
        <w:t xml:space="preserve"> </w:t>
      </w:r>
    </w:p>
    <w:p w14:paraId="72E575E7" w14:textId="6EF69EC2" w:rsidR="004F0275" w:rsidRPr="007314B0" w:rsidRDefault="00F271E4" w:rsidP="00F271E4">
      <w:pPr>
        <w:pStyle w:val="Heading4"/>
        <w:rPr>
          <w:rFonts w:asciiTheme="minorHAnsi" w:hAnsiTheme="minorHAnsi" w:cstheme="minorHAnsi"/>
          <w:i w:val="0"/>
          <w:iCs w:val="0"/>
        </w:rPr>
      </w:pPr>
      <w:bookmarkStart w:id="37" w:name="_Toc124428508"/>
      <w:r w:rsidRPr="007314B0">
        <w:rPr>
          <w:rFonts w:asciiTheme="minorHAnsi" w:hAnsiTheme="minorHAnsi"/>
          <w:i w:val="0"/>
          <w:iCs w:val="0"/>
        </w:rPr>
        <w:t>Commencer à utiliser la CAB PrEP</w:t>
      </w:r>
      <w:bookmarkEnd w:id="37"/>
    </w:p>
    <w:p w14:paraId="72305373" w14:textId="7B3DF10D" w:rsidR="007B4595" w:rsidRPr="007314B0" w:rsidRDefault="008C7ACD" w:rsidP="00323055">
      <w:r w:rsidRPr="007314B0">
        <w:t xml:space="preserve">Les injections de CAB PrEP peuvent être administrées par des professionnels de la santé agréés au niveau national. L’injection nécessite une aiguille de 23G, 38 mm (1,5 pouce), mais il faut tenir compte de la corpulence du patient pour choisir la bonne longueur d’aiguille. Le prestataire de soins de santé peut demander au patient de s’allonger sur le côté ou toute autre position qui lui est confortable. Il doit nettoyer le site d’injection sur le côté ou à l’arrière de la fesse. Le médicament peut rester dans la seringue pendant deux heures, mais il est préférable d’injecter le médicament dès que possible après avoir nettoyé le site d’injection. Si le médicament est dans la seringue depuis plus de deux heures, </w:t>
      </w:r>
      <w:r w:rsidR="006E73A7" w:rsidRPr="007314B0">
        <w:t xml:space="preserve">il faudra </w:t>
      </w:r>
      <w:r w:rsidRPr="007314B0">
        <w:t>jete</w:t>
      </w:r>
      <w:r w:rsidR="006E73A7" w:rsidRPr="007314B0">
        <w:t>r</w:t>
      </w:r>
      <w:r w:rsidRPr="007314B0">
        <w:t xml:space="preserve"> le médicament, la seringue et l’aiguille. Ne pas tenter de conserver le médicament en le réfrigérant. Après l’injection, le prestataire peut appuyer sur le site à l’aide d’une compresse de gaze et, si nécessaire ou si le patient le lui demande, appliquer un pansement adhésif. </w:t>
      </w:r>
    </w:p>
    <w:p w14:paraId="67E96133" w14:textId="023BBBC5" w:rsidR="00BF4243" w:rsidRPr="007314B0" w:rsidRDefault="00390841" w:rsidP="00323055">
      <w:r w:rsidRPr="007314B0">
        <w:t xml:space="preserve">Après la première injection d’initiation lors de la visite d’initiation 1, les </w:t>
      </w:r>
      <w:r w:rsidR="006E73A7" w:rsidRPr="007314B0">
        <w:t>prestataires de soins</w:t>
      </w:r>
      <w:r w:rsidRPr="007314B0">
        <w:t xml:space="preserve"> de santé doivent </w:t>
      </w:r>
      <w:r w:rsidR="006B2417" w:rsidRPr="007314B0">
        <w:t>fixer</w:t>
      </w:r>
      <w:r w:rsidRPr="007314B0">
        <w:t xml:space="preserve"> un rendez-vous </w:t>
      </w:r>
      <w:r w:rsidR="00A857A5" w:rsidRPr="007314B0">
        <w:t xml:space="preserve">un </w:t>
      </w:r>
      <w:proofErr w:type="spellStart"/>
      <w:r w:rsidR="00A857A5" w:rsidRPr="007314B0">
        <w:t>mois</w:t>
      </w:r>
      <w:r w:rsidRPr="007314B0">
        <w:t>après</w:t>
      </w:r>
      <w:proofErr w:type="spellEnd"/>
      <w:r w:rsidRPr="007314B0">
        <w:t xml:space="preserve"> la date de la première injection pour la visite d’initiation 2 à laquelle sera </w:t>
      </w:r>
      <w:r w:rsidR="006E73A7" w:rsidRPr="007314B0">
        <w:t>effectuée</w:t>
      </w:r>
      <w:r w:rsidRPr="007314B0">
        <w:t xml:space="preserve"> la deuxième injection d’initiation. Après les injections d’initiation 1 et 2, les visites pour les injections de suivi doivent être programmées tous les </w:t>
      </w:r>
      <w:r w:rsidR="00A857A5" w:rsidRPr="007314B0">
        <w:t>deux mois</w:t>
      </w:r>
      <w:r w:rsidRPr="007314B0">
        <w:t xml:space="preserve"> </w:t>
      </w:r>
    </w:p>
    <w:tbl>
      <w:tblPr>
        <w:tblW w:w="0" w:type="auto"/>
        <w:shd w:val="clear" w:color="auto" w:fill="C5E0B3" w:themeFill="accent6" w:themeFillTint="66"/>
        <w:tblLook w:val="04A0" w:firstRow="1" w:lastRow="0" w:firstColumn="1" w:lastColumn="0" w:noHBand="0" w:noVBand="1"/>
      </w:tblPr>
      <w:tblGrid>
        <w:gridCol w:w="10456"/>
      </w:tblGrid>
      <w:tr w:rsidR="006504FB" w:rsidRPr="007314B0" w14:paraId="56F9557A" w14:textId="77777777" w:rsidTr="1D9AD929">
        <w:tc>
          <w:tcPr>
            <w:tcW w:w="10456" w:type="dxa"/>
            <w:shd w:val="clear" w:color="auto" w:fill="C5E0B3" w:themeFill="accent6" w:themeFillTint="66"/>
          </w:tcPr>
          <w:p w14:paraId="06F4519D" w14:textId="4FBC5AAE" w:rsidR="006504FB" w:rsidRPr="007314B0" w:rsidRDefault="05179857" w:rsidP="00F76585">
            <w:pPr>
              <w:spacing w:after="120"/>
            </w:pPr>
            <w:r w:rsidRPr="007314B0">
              <w:rPr>
                <w:b/>
                <w:bCs/>
              </w:rPr>
              <w:t xml:space="preserve">Point à prendre en compte : </w:t>
            </w:r>
            <w:hyperlink r:id="rId32" w:history="1">
              <w:r w:rsidRPr="007314B0">
                <w:rPr>
                  <w:rStyle w:val="Hyperlink"/>
                </w:rPr>
                <w:t>L’étiquette d’</w:t>
              </w:r>
              <w:proofErr w:type="spellStart"/>
              <w:r w:rsidRPr="007314B0">
                <w:rPr>
                  <w:rStyle w:val="Hyperlink"/>
                </w:rPr>
                <w:t>Apretude</w:t>
              </w:r>
              <w:proofErr w:type="spellEnd"/>
              <w:r w:rsidRPr="007314B0">
                <w:rPr>
                  <w:rStyle w:val="Hyperlink"/>
                </w:rPr>
                <w:t xml:space="preserve"> de la Food and Drug Administration des États-Unis</w:t>
              </w:r>
            </w:hyperlink>
            <w:r w:rsidRPr="007314B0">
              <w:t xml:space="preserve"> comprend des recommandations pour la programmation des visites d’injection. Lorsqu’ils </w:t>
            </w:r>
            <w:r w:rsidR="006B2417" w:rsidRPr="007314B0">
              <w:t>fixent</w:t>
            </w:r>
            <w:r w:rsidRPr="007314B0">
              <w:t xml:space="preserve"> le rendez-vous pour les injections initiales 1 et 2, les </w:t>
            </w:r>
            <w:r w:rsidR="006E73A7" w:rsidRPr="007314B0">
              <w:t>prestataires</w:t>
            </w:r>
            <w:r w:rsidRPr="007314B0">
              <w:t xml:space="preserve"> de santé peuvent considérer la date de la première injection d’initiation comme étant le jour 0. La deuxième injection d’initiation doit être prévue quatre semaines plus tard, aux alentours du jour 28. La deuxième injection d’initiation peut être administrée dans une fenêtre de +/- 7 jours. </w:t>
            </w:r>
            <w:r w:rsidRPr="007314B0">
              <w:lastRenderedPageBreak/>
              <w:t xml:space="preserve">Après les injections d’initiation 1 et 2, les visites de suivi sont à programmer </w:t>
            </w:r>
            <w:r w:rsidR="00674C70" w:rsidRPr="007314B0">
              <w:t>deux mois</w:t>
            </w:r>
            <w:r w:rsidRPr="007314B0">
              <w:t xml:space="preserve"> après la deuxième injection d’initiation, puis tous les </w:t>
            </w:r>
            <w:r w:rsidR="00674C70" w:rsidRPr="007314B0">
              <w:t>deux mois</w:t>
            </w:r>
            <w:r w:rsidRPr="007314B0">
              <w:t xml:space="preserve"> après chaque injection de suivi. Les injections de suivi peuvent être administrées dans une fenêtre de +/- 7 jours. </w:t>
            </w:r>
          </w:p>
          <w:p w14:paraId="722EC17E" w14:textId="28E0DF21" w:rsidR="00457747" w:rsidRPr="007314B0" w:rsidRDefault="00457747" w:rsidP="00F76585">
            <w:pPr>
              <w:spacing w:after="120"/>
            </w:pPr>
            <w:r w:rsidRPr="007314B0">
              <w:t xml:space="preserve">Dans l’idéal, un patient continuellement exposé au VIH qui souhaite prendre la CAB PrEP aurait le planning d’injections suivant (sans </w:t>
            </w:r>
            <w:r w:rsidR="006E73A7" w:rsidRPr="007314B0">
              <w:t>report</w:t>
            </w:r>
            <w:r w:rsidRPr="007314B0">
              <w:t xml:space="preserve"> ni interruption) :</w:t>
            </w:r>
          </w:p>
          <w:p w14:paraId="17455E66" w14:textId="48BFCEC5" w:rsidR="00457747" w:rsidRPr="007314B0" w:rsidRDefault="00182244" w:rsidP="00457747">
            <w:pPr>
              <w:pStyle w:val="ListParagraph"/>
              <w:numPr>
                <w:ilvl w:val="0"/>
                <w:numId w:val="32"/>
              </w:numPr>
              <w:spacing w:after="120"/>
            </w:pPr>
            <w:r w:rsidRPr="007314B0">
              <w:t>Injection d’initiation 1</w:t>
            </w:r>
          </w:p>
          <w:p w14:paraId="3D21C0A2" w14:textId="5D423242" w:rsidR="00457747" w:rsidRPr="007314B0" w:rsidRDefault="00182244" w:rsidP="00457747">
            <w:pPr>
              <w:pStyle w:val="ListParagraph"/>
              <w:numPr>
                <w:ilvl w:val="0"/>
                <w:numId w:val="32"/>
              </w:numPr>
              <w:spacing w:after="120"/>
            </w:pPr>
            <w:r w:rsidRPr="007314B0">
              <w:t xml:space="preserve">Injection d’initiation 2 : </w:t>
            </w:r>
            <w:r w:rsidR="00674C70" w:rsidRPr="007314B0">
              <w:t>un mois</w:t>
            </w:r>
            <w:r w:rsidRPr="007314B0">
              <w:t xml:space="preserve"> après l’injection d’initiation 1, à +/- 7 jours</w:t>
            </w:r>
          </w:p>
          <w:p w14:paraId="0A18080B" w14:textId="6583272F" w:rsidR="00457747" w:rsidRPr="007314B0" w:rsidRDefault="00182244" w:rsidP="001E29C7">
            <w:pPr>
              <w:pStyle w:val="ListParagraph"/>
              <w:numPr>
                <w:ilvl w:val="0"/>
                <w:numId w:val="32"/>
              </w:numPr>
              <w:spacing w:after="120"/>
              <w:rPr>
                <w:color w:val="FF0000"/>
              </w:rPr>
            </w:pPr>
            <w:r w:rsidRPr="007314B0">
              <w:t xml:space="preserve">Injections de suivi : </w:t>
            </w:r>
            <w:r w:rsidR="00674C70" w:rsidRPr="007314B0">
              <w:t>deux mois</w:t>
            </w:r>
            <w:r w:rsidRPr="007314B0">
              <w:t xml:space="preserve"> après l’injection d’initiation 2, à +/- 7 jours, avec injections de suivi </w:t>
            </w:r>
            <w:proofErr w:type="gramStart"/>
            <w:r w:rsidRPr="007314B0">
              <w:t xml:space="preserve">toutes les </w:t>
            </w:r>
            <w:r w:rsidR="00674C70" w:rsidRPr="007314B0">
              <w:t>deux mois</w:t>
            </w:r>
            <w:proofErr w:type="gramEnd"/>
            <w:r w:rsidRPr="007314B0">
              <w:t>, aussi longtemps que le patient souhaite prendre la CAB PrEP et qu’il est potentiellement exposé au VIH.</w:t>
            </w:r>
          </w:p>
        </w:tc>
      </w:tr>
    </w:tbl>
    <w:p w14:paraId="30790DBD" w14:textId="77777777" w:rsidR="006504FB" w:rsidRPr="007314B0" w:rsidRDefault="006504FB" w:rsidP="00323055"/>
    <w:p w14:paraId="70AE6F79" w14:textId="5BDB0F4E" w:rsidR="00F271E4" w:rsidRPr="007314B0" w:rsidRDefault="00F271E4" w:rsidP="00F271E4">
      <w:pPr>
        <w:pStyle w:val="Heading4"/>
        <w:rPr>
          <w:rFonts w:asciiTheme="minorHAnsi" w:hAnsiTheme="minorHAnsi" w:cstheme="minorHAnsi"/>
          <w:i w:val="0"/>
          <w:iCs w:val="0"/>
        </w:rPr>
      </w:pPr>
      <w:bookmarkStart w:id="38" w:name="_Toc124428509"/>
      <w:r w:rsidRPr="007314B0">
        <w:rPr>
          <w:rFonts w:asciiTheme="minorHAnsi" w:hAnsiTheme="minorHAnsi"/>
          <w:i w:val="0"/>
          <w:iCs w:val="0"/>
        </w:rPr>
        <w:t>Arrêter la CAB PrEP</w:t>
      </w:r>
      <w:bookmarkEnd w:id="38"/>
    </w:p>
    <w:p w14:paraId="2E4B06AB" w14:textId="3960E0E6" w:rsidR="00A34080" w:rsidRPr="007314B0" w:rsidRDefault="7305D919" w:rsidP="00A40BBC">
      <w:pPr>
        <w:rPr>
          <w:rFonts w:cstheme="minorHAnsi"/>
        </w:rPr>
      </w:pPr>
      <w:r w:rsidRPr="007314B0">
        <w:t xml:space="preserve">Si un patient décide d’arrêter d’utiliser la CAB PrEP, il peut cesser de recevoir les injections. La quantité de </w:t>
      </w:r>
      <w:proofErr w:type="spellStart"/>
      <w:r w:rsidRPr="007314B0">
        <w:t>cabotégravir</w:t>
      </w:r>
      <w:proofErr w:type="spellEnd"/>
      <w:r w:rsidRPr="007314B0">
        <w:t xml:space="preserve"> dans le sang reste à des niveaux efficaces pendant au moins huit semaines après la dernière injection.</w:t>
      </w:r>
      <w:r w:rsidR="0024710A" w:rsidRPr="007314B0">
        <w:rPr>
          <w:rStyle w:val="FootnoteReference"/>
        </w:rPr>
        <w:footnoteReference w:id="29"/>
      </w:r>
      <w:r w:rsidR="00667CFE" w:rsidRPr="007314B0">
        <w:t xml:space="preserve">’ Le temps après la dernière injection de CAB PrEP où le </w:t>
      </w:r>
      <w:proofErr w:type="spellStart"/>
      <w:r w:rsidR="00667CFE" w:rsidRPr="007314B0">
        <w:t>cabotégravir</w:t>
      </w:r>
      <w:proofErr w:type="spellEnd"/>
      <w:r w:rsidR="00667CFE" w:rsidRPr="007314B0">
        <w:t xml:space="preserve"> reste dans le corps mais à des niveaux qui peuvent ne pas prévenir le VIH est connu sous le nom de "période de queue</w:t>
      </w:r>
      <w:proofErr w:type="gramStart"/>
      <w:r w:rsidR="00667CFE" w:rsidRPr="007314B0">
        <w:rPr>
          <w:i/>
          <w:iCs/>
        </w:rPr>
        <w:t>"</w:t>
      </w:r>
      <w:r w:rsidR="00ED0E66" w:rsidRPr="007314B0">
        <w:rPr>
          <w:i/>
          <w:iCs/>
        </w:rPr>
        <w:t>(</w:t>
      </w:r>
      <w:proofErr w:type="gramEnd"/>
      <w:r w:rsidR="00ED0E66" w:rsidRPr="007314B0">
        <w:rPr>
          <w:i/>
          <w:iCs/>
        </w:rPr>
        <w:t>voir figure 7</w:t>
      </w:r>
      <w:r w:rsidR="00ED0E66" w:rsidRPr="007314B0">
        <w:rPr>
          <w:rFonts w:cstheme="minorHAnsi"/>
          <w:i/>
          <w:iCs/>
        </w:rPr>
        <w:t>)</w:t>
      </w:r>
      <w:r w:rsidR="003E7A04" w:rsidRPr="007314B0">
        <w:rPr>
          <w:rFonts w:cstheme="minorHAnsi"/>
        </w:rPr>
        <w:t xml:space="preserve">. Cette </w:t>
      </w:r>
      <w:r w:rsidR="003E7A04" w:rsidRPr="007314B0">
        <w:rPr>
          <w:rStyle w:val="cf01"/>
          <w:rFonts w:asciiTheme="minorHAnsi" w:hAnsiTheme="minorHAnsi" w:cstheme="minorHAnsi"/>
          <w:sz w:val="22"/>
          <w:szCs w:val="22"/>
        </w:rPr>
        <w:t xml:space="preserve">période de queue" commence 8 semaines après la dernière injection de </w:t>
      </w:r>
      <w:proofErr w:type="spellStart"/>
      <w:r w:rsidR="003E7A04" w:rsidRPr="007314B0">
        <w:rPr>
          <w:rStyle w:val="cf01"/>
          <w:rFonts w:asciiTheme="minorHAnsi" w:hAnsiTheme="minorHAnsi" w:cstheme="minorHAnsi"/>
          <w:sz w:val="22"/>
          <w:szCs w:val="22"/>
        </w:rPr>
        <w:t>cabotégravir</w:t>
      </w:r>
      <w:proofErr w:type="spellEnd"/>
      <w:r w:rsidR="003E7A04" w:rsidRPr="007314B0">
        <w:rPr>
          <w:rStyle w:val="cf01"/>
          <w:rFonts w:asciiTheme="minorHAnsi" w:hAnsiTheme="minorHAnsi" w:cstheme="minorHAnsi"/>
          <w:sz w:val="22"/>
          <w:szCs w:val="22"/>
        </w:rPr>
        <w:t>.</w:t>
      </w:r>
    </w:p>
    <w:p w14:paraId="1F9D14D0" w14:textId="209F50AE" w:rsidR="00A34080" w:rsidRPr="007314B0" w:rsidRDefault="00A34080" w:rsidP="00A40BBC">
      <w:pPr>
        <w:rPr>
          <w:b/>
          <w:bCs/>
        </w:rPr>
      </w:pPr>
      <w:r w:rsidRPr="007314B0">
        <w:rPr>
          <w:b/>
          <w:bCs/>
        </w:rPr>
        <w:t>Figure 7. « Période de queue » de la CAB PrEP</w:t>
      </w:r>
    </w:p>
    <w:p w14:paraId="4D6F89E8" w14:textId="75B08383" w:rsidR="00A34080" w:rsidRPr="007314B0" w:rsidRDefault="000A538F" w:rsidP="000A538F">
      <w:pPr>
        <w:jc w:val="center"/>
      </w:pPr>
      <w:r w:rsidRPr="007314B0">
        <w:rPr>
          <w:noProof/>
        </w:rPr>
        <w:drawing>
          <wp:inline distT="0" distB="0" distL="0" distR="0" wp14:anchorId="13D40284" wp14:editId="732B95B5">
            <wp:extent cx="608481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020" t="15838" r="7828" b="14474"/>
                    <a:stretch/>
                  </pic:blipFill>
                  <pic:spPr bwMode="auto">
                    <a:xfrm>
                      <a:off x="0" y="0"/>
                      <a:ext cx="6090815" cy="2898458"/>
                    </a:xfrm>
                    <a:prstGeom prst="rect">
                      <a:avLst/>
                    </a:prstGeom>
                    <a:noFill/>
                    <a:ln>
                      <a:noFill/>
                    </a:ln>
                    <a:extLst>
                      <a:ext uri="{53640926-AAD7-44D8-BBD7-CCE9431645EC}">
                        <a14:shadowObscured xmlns:a14="http://schemas.microsoft.com/office/drawing/2010/main"/>
                      </a:ext>
                    </a:extLst>
                  </pic:spPr>
                </pic:pic>
              </a:graphicData>
            </a:graphic>
          </wp:inline>
        </w:drawing>
      </w:r>
    </w:p>
    <w:p w14:paraId="17B2B9AF" w14:textId="21854635" w:rsidR="00A40BBC" w:rsidRPr="007314B0" w:rsidRDefault="2E14595D" w:rsidP="00A40BBC">
      <w:r w:rsidRPr="007314B0">
        <w:t>La « période de queue » peut durer jusqu’à un an, mais ce délai varie d’une personne à l’autre en fonction du sexe assigné à la naissance.</w:t>
      </w:r>
      <w:r w:rsidR="00930757" w:rsidRPr="007314B0">
        <w:rPr>
          <w:rStyle w:val="FootnoteReference"/>
        </w:rPr>
        <w:footnoteReference w:id="30"/>
      </w:r>
      <w:r w:rsidRPr="007314B0">
        <w:t xml:space="preserve"> Les données sur </w:t>
      </w:r>
      <w:r w:rsidR="003057B7" w:rsidRPr="007314B0">
        <w:t>le risque de contracter le</w:t>
      </w:r>
      <w:r w:rsidRPr="007314B0">
        <w:t xml:space="preserve"> VIH pendant cette période sont limitées. Pour les personnes qui contractent le VIH pendant cette période, un retard de diagnostic du VIH est possible et pourrait entraîner une résistance aux médicaments, ce qui signifie que les médicaments utilisés pour traiter le VIH peuvent être moins efficaces ou ne pas fonctionner du tout. Comme pour toutes les méthodes de PrEP, si un patient </w:t>
      </w:r>
      <w:r w:rsidRPr="007314B0">
        <w:lastRenderedPageBreak/>
        <w:t xml:space="preserve">interrompt la CAB PrEP, il doit utiliser une autre méthode de PrEP ou une stratégie de prévention du VIH pendant la période de queue si une exposition au VIH est possible. </w:t>
      </w:r>
    </w:p>
    <w:p w14:paraId="1C3D90AB" w14:textId="6E6196DE" w:rsidR="0044582B" w:rsidRPr="007314B0" w:rsidRDefault="173F17C2" w:rsidP="0044582B">
      <w:r w:rsidRPr="007314B0">
        <w:t xml:space="preserve">Si un patient est potentiellement exposé au VIH pendant la période de queue et qu’il n’utilise pas de méthode de prévention, il devrait en parler à un prestataire de soins de santé aussitôt que possible. En effet, une </w:t>
      </w:r>
      <w:r w:rsidR="00E55E87" w:rsidRPr="007314B0">
        <w:t xml:space="preserve">PPE </w:t>
      </w:r>
      <w:r w:rsidRPr="007314B0">
        <w:t xml:space="preserve">peut être nécessaire et, dans l’idéal, devrait commencer dès que possible dans les 72 heures suivant l’exposition potentielle. </w:t>
      </w:r>
    </w:p>
    <w:p w14:paraId="09D53068" w14:textId="53FF66B1" w:rsidR="004661AB" w:rsidRPr="007314B0" w:rsidRDefault="004661AB" w:rsidP="004661AB">
      <w:pPr>
        <w:pStyle w:val="Heading4"/>
        <w:rPr>
          <w:rFonts w:asciiTheme="minorHAnsi" w:hAnsiTheme="minorHAnsi" w:cstheme="minorHAnsi"/>
          <w:i w:val="0"/>
          <w:iCs w:val="0"/>
        </w:rPr>
      </w:pPr>
      <w:bookmarkStart w:id="39" w:name="_Toc124428510"/>
      <w:r w:rsidRPr="007314B0">
        <w:rPr>
          <w:rFonts w:asciiTheme="minorHAnsi" w:hAnsiTheme="minorHAnsi"/>
          <w:i w:val="0"/>
          <w:iCs w:val="0"/>
        </w:rPr>
        <w:t>Oublier une injection</w:t>
      </w:r>
      <w:bookmarkEnd w:id="39"/>
      <w:r w:rsidRPr="007314B0">
        <w:rPr>
          <w:rFonts w:asciiTheme="minorHAnsi" w:hAnsiTheme="minorHAnsi"/>
          <w:i w:val="0"/>
          <w:iCs w:val="0"/>
        </w:rPr>
        <w:t xml:space="preserve"> </w:t>
      </w:r>
    </w:p>
    <w:p w14:paraId="253E877F" w14:textId="5758301E" w:rsidR="004661AB" w:rsidRPr="007314B0" w:rsidRDefault="02DED8DA" w:rsidP="00A35D25">
      <w:r w:rsidRPr="007314B0">
        <w:t xml:space="preserve">Il est important de respecter le calendrier d’injections pour que la CAB PrEP soit efficace. Si un patient oublie une injection, il doit immédiatement contacter son prestataire de soins de santé pour obtenir des conseils sur la façon de continuer à utiliser la CAB PrEP ou sur l’adoption d’une autre stratégie de prévention du VIH, qui peut inclure l’utilisation d’une autre méthode de PrEP. </w:t>
      </w:r>
    </w:p>
    <w:tbl>
      <w:tblPr>
        <w:tblW w:w="0" w:type="auto"/>
        <w:tblLook w:val="04A0" w:firstRow="1" w:lastRow="0" w:firstColumn="1" w:lastColumn="0" w:noHBand="0" w:noVBand="1"/>
      </w:tblPr>
      <w:tblGrid>
        <w:gridCol w:w="2160"/>
        <w:gridCol w:w="3150"/>
        <w:gridCol w:w="5156"/>
      </w:tblGrid>
      <w:tr w:rsidR="00080E36" w:rsidRPr="007314B0" w14:paraId="411A6CAC" w14:textId="77777777" w:rsidTr="00277604">
        <w:tc>
          <w:tcPr>
            <w:tcW w:w="10466" w:type="dxa"/>
            <w:gridSpan w:val="3"/>
            <w:shd w:val="clear" w:color="auto" w:fill="C5E0B3" w:themeFill="accent6" w:themeFillTint="66"/>
          </w:tcPr>
          <w:p w14:paraId="43586A1C" w14:textId="27F60CE8" w:rsidR="00080E36" w:rsidRPr="007314B0" w:rsidRDefault="00080E36" w:rsidP="0077064B">
            <w:pPr>
              <w:spacing w:after="120"/>
            </w:pPr>
            <w:r w:rsidRPr="007314B0">
              <w:rPr>
                <w:b/>
                <w:bCs/>
              </w:rPr>
              <w:t>Point à prendre en compte :</w:t>
            </w:r>
            <w:r w:rsidRPr="007314B0">
              <w:t xml:space="preserve"> Au moment de la rédaction de ce document, l’OMS n’offre pas de directives concernant l’oubli d’injections et ne fait pas de recommandations sur le moment où un patient </w:t>
            </w:r>
            <w:r w:rsidR="003057B7" w:rsidRPr="007314B0">
              <w:t>qui suit un traitement de</w:t>
            </w:r>
            <w:r w:rsidRPr="007314B0">
              <w:t xml:space="preserve"> PrEP doit être considéré comme ayant cessé de suivre son traitement ou sur les procédures à appliquer pour la reprise de la PrEP après un arrêt d’utilisation. Si le patient ne souhaite pas continuer la CAB PrEP, les </w:t>
            </w:r>
            <w:r w:rsidR="003057B7" w:rsidRPr="007314B0">
              <w:t>prestataires</w:t>
            </w:r>
            <w:r w:rsidRPr="007314B0">
              <w:t xml:space="preserve"> de santé doivent le soutenir en l’orientant vers d’autres méthodes de PrEP ou une autre stratégie de prévention du VIH s’il est toujours potentiellement exposé au virus alors qu’il choisi</w:t>
            </w:r>
            <w:r w:rsidR="003057B7" w:rsidRPr="007314B0">
              <w:t>t</w:t>
            </w:r>
            <w:r w:rsidRPr="007314B0">
              <w:t xml:space="preserve"> d’arrêter la CAB PrEP. Des scénarios potentiels adaptés de </w:t>
            </w:r>
            <w:hyperlink r:id="rId34">
              <w:r w:rsidRPr="007314B0">
                <w:rPr>
                  <w:rStyle w:val="Hyperlink"/>
                </w:rPr>
                <w:t>l’étiquette d’</w:t>
              </w:r>
              <w:proofErr w:type="spellStart"/>
              <w:r w:rsidRPr="007314B0">
                <w:rPr>
                  <w:rStyle w:val="Hyperlink"/>
                </w:rPr>
                <w:t>Apretude</w:t>
              </w:r>
              <w:proofErr w:type="spellEnd"/>
              <w:r w:rsidRPr="007314B0">
                <w:rPr>
                  <w:rStyle w:val="Hyperlink"/>
                </w:rPr>
                <w:t xml:space="preserve"> de la Food and Drug Administration des États-Unis</w:t>
              </w:r>
            </w:hyperlink>
            <w:r w:rsidRPr="007314B0">
              <w:rPr>
                <w:rStyle w:val="Hyperlink"/>
              </w:rPr>
              <w:t xml:space="preserve"> </w:t>
            </w:r>
            <w:r w:rsidRPr="007314B0">
              <w:t xml:space="preserve"> pour les patients qui manquent des visites d’injection, en fonction de l’intervalle de temps entre les injections, sont présentés ci-dessous :</w:t>
            </w:r>
          </w:p>
          <w:p w14:paraId="30C2ED68" w14:textId="7BE9BABC" w:rsidR="00080E36" w:rsidRPr="007314B0" w:rsidRDefault="00080E36" w:rsidP="001A459D">
            <w:pPr>
              <w:spacing w:after="120"/>
              <w:jc w:val="center"/>
              <w:rPr>
                <w:b/>
                <w:bCs/>
              </w:rPr>
            </w:pPr>
            <w:r w:rsidRPr="007314B0">
              <w:rPr>
                <w:b/>
                <w:bCs/>
              </w:rPr>
              <w:t>Recommandations sur le dosage des injections après avoir manqué des injections</w:t>
            </w:r>
          </w:p>
        </w:tc>
      </w:tr>
      <w:tr w:rsidR="007E13B9" w:rsidRPr="007314B0" w14:paraId="5CF73D46" w14:textId="77777777" w:rsidTr="001A459D">
        <w:tc>
          <w:tcPr>
            <w:tcW w:w="2160" w:type="dxa"/>
            <w:tcBorders>
              <w:bottom w:val="single" w:sz="4" w:space="0" w:color="auto"/>
            </w:tcBorders>
            <w:shd w:val="clear" w:color="auto" w:fill="C5E0B3" w:themeFill="accent6" w:themeFillTint="66"/>
          </w:tcPr>
          <w:p w14:paraId="66178BBC" w14:textId="078115AA" w:rsidR="007E13B9" w:rsidRPr="007314B0" w:rsidRDefault="00080E36" w:rsidP="0077064B">
            <w:pPr>
              <w:spacing w:after="120"/>
              <w:rPr>
                <w:i/>
                <w:iCs/>
              </w:rPr>
            </w:pPr>
            <w:r w:rsidRPr="007314B0">
              <w:rPr>
                <w:i/>
                <w:iCs/>
              </w:rPr>
              <w:t>Type d’injection manquée</w:t>
            </w:r>
          </w:p>
        </w:tc>
        <w:tc>
          <w:tcPr>
            <w:tcW w:w="3150" w:type="dxa"/>
            <w:tcBorders>
              <w:bottom w:val="single" w:sz="4" w:space="0" w:color="auto"/>
            </w:tcBorders>
            <w:shd w:val="clear" w:color="auto" w:fill="C5E0B3" w:themeFill="accent6" w:themeFillTint="66"/>
          </w:tcPr>
          <w:p w14:paraId="1388DE54" w14:textId="669E6863" w:rsidR="007E13B9" w:rsidRPr="007314B0" w:rsidRDefault="007E13B9" w:rsidP="0077064B">
            <w:pPr>
              <w:spacing w:after="120"/>
              <w:rPr>
                <w:i/>
                <w:iCs/>
              </w:rPr>
            </w:pPr>
            <w:r w:rsidRPr="007314B0">
              <w:rPr>
                <w:i/>
                <w:iCs/>
              </w:rPr>
              <w:t>Temps écoulé depuis la dernière injection</w:t>
            </w:r>
          </w:p>
        </w:tc>
        <w:tc>
          <w:tcPr>
            <w:tcW w:w="5156" w:type="dxa"/>
            <w:tcBorders>
              <w:bottom w:val="single" w:sz="4" w:space="0" w:color="auto"/>
            </w:tcBorders>
            <w:shd w:val="clear" w:color="auto" w:fill="C5E0B3" w:themeFill="accent6" w:themeFillTint="66"/>
          </w:tcPr>
          <w:p w14:paraId="6C2EDD93" w14:textId="50ADC937" w:rsidR="007E13B9" w:rsidRPr="007314B0" w:rsidRDefault="00030457" w:rsidP="0077064B">
            <w:pPr>
              <w:spacing w:after="120"/>
            </w:pPr>
            <w:r w:rsidRPr="007314B0">
              <w:t>Action recommandée pour le prestataire de santé</w:t>
            </w:r>
          </w:p>
        </w:tc>
      </w:tr>
      <w:tr w:rsidR="007E13B9" w:rsidRPr="007314B0" w14:paraId="7B0ADA0A" w14:textId="77777777" w:rsidTr="001A459D">
        <w:tc>
          <w:tcPr>
            <w:tcW w:w="2160" w:type="dxa"/>
            <w:shd w:val="clear" w:color="auto" w:fill="C5E0B3" w:themeFill="accent6" w:themeFillTint="66"/>
          </w:tcPr>
          <w:p w14:paraId="4A9A6D4B" w14:textId="4B5756C3" w:rsidR="007E13B9" w:rsidRPr="007314B0" w:rsidRDefault="000423CB" w:rsidP="001A459D">
            <w:pPr>
              <w:spacing w:after="120"/>
              <w:rPr>
                <w:rFonts w:cstheme="minorHAnsi"/>
                <w:b/>
                <w:bCs/>
              </w:rPr>
            </w:pPr>
            <w:r w:rsidRPr="007314B0">
              <w:rPr>
                <w:b/>
                <w:bCs/>
              </w:rPr>
              <w:t>Injection d’initiation 2</w:t>
            </w:r>
          </w:p>
        </w:tc>
        <w:tc>
          <w:tcPr>
            <w:tcW w:w="3150" w:type="dxa"/>
            <w:shd w:val="clear" w:color="auto" w:fill="C5E0B3" w:themeFill="accent6" w:themeFillTint="66"/>
          </w:tcPr>
          <w:p w14:paraId="7F2D3A1B" w14:textId="0F1D6A8C" w:rsidR="007E13B9" w:rsidRPr="007314B0" w:rsidRDefault="007E13B9" w:rsidP="001A459D">
            <w:pPr>
              <w:spacing w:after="120"/>
            </w:pPr>
            <w:r w:rsidRPr="007314B0">
              <w:t xml:space="preserve">≤ </w:t>
            </w:r>
            <w:r w:rsidR="009179A5" w:rsidRPr="007314B0">
              <w:t>2 mois</w:t>
            </w:r>
            <w:r w:rsidRPr="007314B0">
              <w:t xml:space="preserve"> depuis l’injection d’initiation 1</w:t>
            </w:r>
          </w:p>
        </w:tc>
        <w:tc>
          <w:tcPr>
            <w:tcW w:w="5156" w:type="dxa"/>
            <w:shd w:val="clear" w:color="auto" w:fill="C5E0B3" w:themeFill="accent6" w:themeFillTint="66"/>
          </w:tcPr>
          <w:p w14:paraId="051B1540" w14:textId="0EDAA884" w:rsidR="007E13B9" w:rsidRPr="007314B0" w:rsidRDefault="00030457" w:rsidP="0077064B">
            <w:pPr>
              <w:spacing w:after="120"/>
            </w:pPr>
            <w:r w:rsidRPr="007314B0">
              <w:t xml:space="preserve">Procéder à l’injection d’initiation 2 et programmer l’injection de suivi </w:t>
            </w:r>
            <w:r w:rsidR="00C701B4" w:rsidRPr="007314B0">
              <w:t>deux mois</w:t>
            </w:r>
            <w:r w:rsidRPr="007314B0">
              <w:t xml:space="preserve"> plus tard comme visite de suivi.</w:t>
            </w:r>
          </w:p>
        </w:tc>
      </w:tr>
      <w:tr w:rsidR="007E13B9" w:rsidRPr="007314B0" w14:paraId="4B9BA0A4" w14:textId="77777777" w:rsidTr="001A459D">
        <w:tc>
          <w:tcPr>
            <w:tcW w:w="2160" w:type="dxa"/>
            <w:tcBorders>
              <w:bottom w:val="single" w:sz="4" w:space="0" w:color="auto"/>
            </w:tcBorders>
            <w:shd w:val="clear" w:color="auto" w:fill="C5E0B3" w:themeFill="accent6" w:themeFillTint="66"/>
          </w:tcPr>
          <w:p w14:paraId="0A2EFD4E" w14:textId="77777777" w:rsidR="007E13B9" w:rsidRPr="007314B0" w:rsidRDefault="007E13B9" w:rsidP="00805F97">
            <w:pPr>
              <w:spacing w:after="120"/>
              <w:ind w:left="720"/>
            </w:pPr>
          </w:p>
        </w:tc>
        <w:tc>
          <w:tcPr>
            <w:tcW w:w="3150" w:type="dxa"/>
            <w:tcBorders>
              <w:bottom w:val="single" w:sz="4" w:space="0" w:color="auto"/>
            </w:tcBorders>
            <w:shd w:val="clear" w:color="auto" w:fill="C5E0B3" w:themeFill="accent6" w:themeFillTint="66"/>
          </w:tcPr>
          <w:p w14:paraId="45E3C48E" w14:textId="0EE59745" w:rsidR="007E13B9" w:rsidRPr="007314B0" w:rsidRDefault="007E13B9" w:rsidP="001A459D">
            <w:pPr>
              <w:spacing w:after="120"/>
            </w:pPr>
            <w:r w:rsidRPr="007314B0">
              <w:t xml:space="preserve">&gt; </w:t>
            </w:r>
            <w:r w:rsidR="009179A5" w:rsidRPr="007314B0">
              <w:t>2 mois</w:t>
            </w:r>
            <w:r w:rsidRPr="007314B0">
              <w:t xml:space="preserve"> depuis l’injection d’initiation 1</w:t>
            </w:r>
          </w:p>
        </w:tc>
        <w:tc>
          <w:tcPr>
            <w:tcW w:w="5156" w:type="dxa"/>
            <w:tcBorders>
              <w:bottom w:val="single" w:sz="4" w:space="0" w:color="auto"/>
            </w:tcBorders>
            <w:shd w:val="clear" w:color="auto" w:fill="C5E0B3" w:themeFill="accent6" w:themeFillTint="66"/>
          </w:tcPr>
          <w:p w14:paraId="35D238D3" w14:textId="395B8468" w:rsidR="008269D6" w:rsidRPr="007314B0" w:rsidRDefault="008269D6" w:rsidP="008269D6">
            <w:pPr>
              <w:spacing w:after="120"/>
            </w:pPr>
            <w:r w:rsidRPr="007314B0">
              <w:t xml:space="preserve">Évaluer le patient pour savoir s’il existe des contrindications à la CAB PrEP en suivant la procédure d’initiation et, en l’absence de contrindications, administrer de nouveau l’injection d’initiation 1 ce jour-là et programmer la visite d’initiation 2 </w:t>
            </w:r>
            <w:proofErr w:type="gramStart"/>
            <w:r w:rsidR="009179A5" w:rsidRPr="007314B0">
              <w:t xml:space="preserve">un  </w:t>
            </w:r>
            <w:proofErr w:type="spellStart"/>
            <w:r w:rsidR="009179A5" w:rsidRPr="007314B0">
              <w:t>mois</w:t>
            </w:r>
            <w:r w:rsidRPr="007314B0">
              <w:t>plus</w:t>
            </w:r>
            <w:proofErr w:type="spellEnd"/>
            <w:proofErr w:type="gramEnd"/>
            <w:r w:rsidRPr="007314B0">
              <w:t xml:space="preserve"> tard. </w:t>
            </w:r>
          </w:p>
          <w:p w14:paraId="4DF859D8" w14:textId="051A0364" w:rsidR="007E13B9" w:rsidRPr="007314B0" w:rsidRDefault="008269D6" w:rsidP="008269D6">
            <w:pPr>
              <w:spacing w:after="120"/>
            </w:pPr>
            <w:r w:rsidRPr="007314B0">
              <w:t xml:space="preserve">Les visites de suivi doivent ensuite être programmées toutes les </w:t>
            </w:r>
            <w:r w:rsidR="009179A5" w:rsidRPr="007314B0">
              <w:t>deux mois</w:t>
            </w:r>
          </w:p>
        </w:tc>
      </w:tr>
      <w:tr w:rsidR="007E13B9" w:rsidRPr="007314B0" w14:paraId="37D1BA8D" w14:textId="77777777" w:rsidTr="001A459D">
        <w:trPr>
          <w:trHeight w:val="1107"/>
        </w:trPr>
        <w:tc>
          <w:tcPr>
            <w:tcW w:w="2160" w:type="dxa"/>
            <w:shd w:val="clear" w:color="auto" w:fill="C5E0B3" w:themeFill="accent6" w:themeFillTint="66"/>
          </w:tcPr>
          <w:p w14:paraId="27894C69" w14:textId="22C3EF31" w:rsidR="007E13B9" w:rsidRPr="007314B0" w:rsidRDefault="008269D6" w:rsidP="001A459D">
            <w:pPr>
              <w:spacing w:after="120"/>
              <w:rPr>
                <w:rFonts w:cstheme="minorHAnsi"/>
                <w:b/>
                <w:bCs/>
              </w:rPr>
            </w:pPr>
            <w:r w:rsidRPr="007314B0">
              <w:rPr>
                <w:b/>
                <w:bCs/>
              </w:rPr>
              <w:t>Injection de suivi</w:t>
            </w:r>
          </w:p>
        </w:tc>
        <w:tc>
          <w:tcPr>
            <w:tcW w:w="3150" w:type="dxa"/>
            <w:shd w:val="clear" w:color="auto" w:fill="C5E0B3" w:themeFill="accent6" w:themeFillTint="66"/>
          </w:tcPr>
          <w:p w14:paraId="32D74C51" w14:textId="3F1AFB97" w:rsidR="007E13B9" w:rsidRPr="007314B0" w:rsidRDefault="007E13B9" w:rsidP="001A459D">
            <w:pPr>
              <w:spacing w:after="120"/>
              <w:rPr>
                <w:b/>
                <w:bCs/>
              </w:rPr>
            </w:pPr>
            <w:r w:rsidRPr="007314B0">
              <w:t>≤ 3 mois depuis la dernière injection</w:t>
            </w:r>
          </w:p>
        </w:tc>
        <w:tc>
          <w:tcPr>
            <w:tcW w:w="5156" w:type="dxa"/>
            <w:shd w:val="clear" w:color="auto" w:fill="C5E0B3" w:themeFill="accent6" w:themeFillTint="66"/>
          </w:tcPr>
          <w:p w14:paraId="089784E3" w14:textId="302A26E0" w:rsidR="007E13B9" w:rsidRPr="007314B0" w:rsidRDefault="004006D6" w:rsidP="0077064B">
            <w:pPr>
              <w:spacing w:after="120"/>
            </w:pPr>
            <w:r w:rsidRPr="007314B0">
              <w:t xml:space="preserve">Procéder à l’injection de suivi ce jour-là et programmer l’injection de suivi </w:t>
            </w:r>
            <w:r w:rsidR="009179A5" w:rsidRPr="007314B0">
              <w:t>deux mois</w:t>
            </w:r>
            <w:r w:rsidRPr="007314B0">
              <w:t xml:space="preserve"> plus tard comme visite de suivi.</w:t>
            </w:r>
          </w:p>
        </w:tc>
      </w:tr>
      <w:tr w:rsidR="007E13B9" w:rsidRPr="007314B0" w14:paraId="1DBE41B0" w14:textId="77777777" w:rsidTr="001A459D">
        <w:tc>
          <w:tcPr>
            <w:tcW w:w="2160" w:type="dxa"/>
            <w:shd w:val="clear" w:color="auto" w:fill="C5E0B3" w:themeFill="accent6" w:themeFillTint="66"/>
          </w:tcPr>
          <w:p w14:paraId="5957A9B4" w14:textId="77777777" w:rsidR="007E13B9" w:rsidRPr="007314B0" w:rsidRDefault="007E13B9" w:rsidP="00805F97">
            <w:pPr>
              <w:spacing w:after="120"/>
              <w:ind w:left="720"/>
            </w:pPr>
          </w:p>
        </w:tc>
        <w:tc>
          <w:tcPr>
            <w:tcW w:w="3150" w:type="dxa"/>
            <w:shd w:val="clear" w:color="auto" w:fill="C5E0B3" w:themeFill="accent6" w:themeFillTint="66"/>
          </w:tcPr>
          <w:p w14:paraId="4955A01B" w14:textId="29EED30E" w:rsidR="007E13B9" w:rsidRPr="007314B0" w:rsidRDefault="007E13B9" w:rsidP="001A459D">
            <w:pPr>
              <w:spacing w:after="120"/>
            </w:pPr>
            <w:r w:rsidRPr="007314B0">
              <w:t>&gt; 3 mois depuis la dernière injection</w:t>
            </w:r>
          </w:p>
        </w:tc>
        <w:tc>
          <w:tcPr>
            <w:tcW w:w="5156" w:type="dxa"/>
            <w:shd w:val="clear" w:color="auto" w:fill="C5E0B3" w:themeFill="accent6" w:themeFillTint="66"/>
          </w:tcPr>
          <w:p w14:paraId="515FEFAC" w14:textId="7A785162" w:rsidR="002E6D9B" w:rsidRPr="007314B0" w:rsidRDefault="002E6D9B" w:rsidP="002E6D9B">
            <w:pPr>
              <w:spacing w:after="120"/>
            </w:pPr>
            <w:r w:rsidRPr="007314B0">
              <w:t xml:space="preserve">Effectuer un nouveau test de dépistage pour une éventuelle nouvelle utilisation et, en l’absence de contrindications, administrer de nouveau l’injection d’initiation 1 ce jour-là et programmer l’injection d’initiation 2 </w:t>
            </w:r>
            <w:r w:rsidR="005334C2" w:rsidRPr="007314B0">
              <w:t>un mois</w:t>
            </w:r>
            <w:r w:rsidRPr="007314B0">
              <w:t xml:space="preserve"> plus tard. </w:t>
            </w:r>
          </w:p>
          <w:p w14:paraId="74EC0665" w14:textId="0D87B0E6" w:rsidR="007E13B9" w:rsidRPr="007314B0" w:rsidRDefault="002E6D9B" w:rsidP="002E6D9B">
            <w:pPr>
              <w:spacing w:after="120"/>
            </w:pPr>
            <w:r w:rsidRPr="007314B0">
              <w:t xml:space="preserve">Les visites de suivi doivent ensuite être programmées toutes les </w:t>
            </w:r>
            <w:r w:rsidR="005334C2" w:rsidRPr="007314B0">
              <w:t>deux mois</w:t>
            </w:r>
          </w:p>
        </w:tc>
      </w:tr>
    </w:tbl>
    <w:p w14:paraId="716B1434" w14:textId="77777777" w:rsidR="00DF1193" w:rsidRPr="007314B0" w:rsidRDefault="00DF1193" w:rsidP="00574173">
      <w:pPr>
        <w:pStyle w:val="Heading4"/>
        <w:rPr>
          <w:i w:val="0"/>
          <w:iCs w:val="0"/>
        </w:rPr>
      </w:pPr>
    </w:p>
    <w:p w14:paraId="5A3277F5" w14:textId="4E101DDD" w:rsidR="00574173" w:rsidRPr="007314B0" w:rsidRDefault="00574173" w:rsidP="00574173">
      <w:pPr>
        <w:pStyle w:val="Heading4"/>
        <w:rPr>
          <w:rFonts w:asciiTheme="minorHAnsi" w:hAnsiTheme="minorHAnsi" w:cstheme="minorHAnsi"/>
          <w:i w:val="0"/>
          <w:iCs w:val="0"/>
        </w:rPr>
      </w:pPr>
      <w:bookmarkStart w:id="40" w:name="_Toc124428511"/>
      <w:r w:rsidRPr="007314B0">
        <w:rPr>
          <w:rFonts w:asciiTheme="minorHAnsi" w:hAnsiTheme="minorHAnsi"/>
          <w:i w:val="0"/>
          <w:iCs w:val="0"/>
        </w:rPr>
        <w:t>Recommencer à utiliser la CAB PrEP</w:t>
      </w:r>
      <w:bookmarkEnd w:id="40"/>
      <w:r w:rsidRPr="007314B0">
        <w:rPr>
          <w:rFonts w:asciiTheme="minorHAnsi" w:hAnsiTheme="minorHAnsi"/>
          <w:i w:val="0"/>
          <w:iCs w:val="0"/>
        </w:rPr>
        <w:t xml:space="preserve"> </w:t>
      </w:r>
    </w:p>
    <w:p w14:paraId="5B5681F2" w14:textId="18A90D71" w:rsidR="00A973BA" w:rsidRPr="007314B0" w:rsidRDefault="00A973BA" w:rsidP="003153A1">
      <w:r w:rsidRPr="007314B0">
        <w:t xml:space="preserve">Les patients ayant pris la CAB PrEP, </w:t>
      </w:r>
      <w:r w:rsidR="003057B7" w:rsidRPr="007314B0">
        <w:t xml:space="preserve">qui </w:t>
      </w:r>
      <w:r w:rsidRPr="007314B0">
        <w:t xml:space="preserve">ont arrêté le traitement, </w:t>
      </w:r>
      <w:r w:rsidR="003057B7" w:rsidRPr="007314B0">
        <w:t xml:space="preserve">et qui </w:t>
      </w:r>
      <w:r w:rsidRPr="007314B0">
        <w:t xml:space="preserve">souhaitent </w:t>
      </w:r>
      <w:r w:rsidR="003057B7" w:rsidRPr="007314B0">
        <w:t xml:space="preserve">ensuite </w:t>
      </w:r>
      <w:r w:rsidRPr="007314B0">
        <w:t xml:space="preserve">le reprendre, doivent contacter leur prestataire de soins de santé pour discuter des stratégies de reprise du traitement. </w:t>
      </w:r>
    </w:p>
    <w:tbl>
      <w:tblPr>
        <w:tblW w:w="0" w:type="auto"/>
        <w:tblLook w:val="04A0" w:firstRow="1" w:lastRow="0" w:firstColumn="1" w:lastColumn="0" w:noHBand="0" w:noVBand="1"/>
      </w:tblPr>
      <w:tblGrid>
        <w:gridCol w:w="10456"/>
      </w:tblGrid>
      <w:tr w:rsidR="00574173" w:rsidRPr="007314B0" w14:paraId="33CC91DC" w14:textId="77777777" w:rsidTr="56D00486">
        <w:tc>
          <w:tcPr>
            <w:tcW w:w="10456" w:type="dxa"/>
            <w:shd w:val="clear" w:color="auto" w:fill="C5E0B3" w:themeFill="accent6" w:themeFillTint="66"/>
          </w:tcPr>
          <w:p w14:paraId="5D30CA45" w14:textId="33726226" w:rsidR="003153A1" w:rsidRPr="007314B0" w:rsidRDefault="4CAF1F51" w:rsidP="00B13690">
            <w:pPr>
              <w:spacing w:after="120"/>
            </w:pPr>
            <w:r w:rsidRPr="007314B0">
              <w:rPr>
                <w:b/>
                <w:bCs/>
              </w:rPr>
              <w:t xml:space="preserve">Point à prendre en compte : </w:t>
            </w:r>
            <w:r w:rsidRPr="007314B0">
              <w:t xml:space="preserve">Pour les patients qui ont arrêté d’utiliser la CAB PrEP, leur prise en charge clinique peut varier en fonction du temps écoulé depuis la dernière injection que le patient a reçue. Les </w:t>
            </w:r>
            <w:r w:rsidR="006B2417" w:rsidRPr="007314B0">
              <w:t>prestataires</w:t>
            </w:r>
            <w:r w:rsidRPr="007314B0">
              <w:t xml:space="preserve"> de santé peuvent se référer au tableau des recommandations sur le dosage après avoir manqué </w:t>
            </w:r>
            <w:proofErr w:type="gramStart"/>
            <w:r w:rsidRPr="007314B0">
              <w:t>des injections présenté</w:t>
            </w:r>
            <w:r w:rsidR="005334C2" w:rsidRPr="007314B0">
              <w:t>s</w:t>
            </w:r>
            <w:proofErr w:type="gramEnd"/>
            <w:r w:rsidRPr="007314B0">
              <w:t xml:space="preserve"> dans l’encadré vert ci-dessus. </w:t>
            </w:r>
          </w:p>
        </w:tc>
      </w:tr>
    </w:tbl>
    <w:p w14:paraId="6D3206F2" w14:textId="77777777" w:rsidR="00BE445E" w:rsidRPr="007314B0" w:rsidRDefault="00BE445E" w:rsidP="00BE445E"/>
    <w:p w14:paraId="0242C351" w14:textId="433E19F6" w:rsidR="004E7E4A" w:rsidRPr="007314B0" w:rsidRDefault="005343A2" w:rsidP="00582747">
      <w:pPr>
        <w:pStyle w:val="Heading2"/>
        <w:rPr>
          <w:rFonts w:asciiTheme="minorHAnsi" w:hAnsiTheme="minorHAnsi" w:cstheme="minorHAnsi"/>
        </w:rPr>
      </w:pPr>
      <w:bookmarkStart w:id="41" w:name="_Toc124428512"/>
      <w:r w:rsidRPr="007314B0">
        <w:rPr>
          <w:rFonts w:asciiTheme="minorHAnsi" w:hAnsiTheme="minorHAnsi"/>
        </w:rPr>
        <w:t>Passer d’une méthode de PrEP à une autre et utilisation simultanée</w:t>
      </w:r>
      <w:bookmarkEnd w:id="41"/>
      <w:r w:rsidRPr="007314B0">
        <w:rPr>
          <w:rFonts w:asciiTheme="minorHAnsi" w:hAnsiTheme="minorHAnsi"/>
        </w:rPr>
        <w:t xml:space="preserve"> </w:t>
      </w:r>
    </w:p>
    <w:p w14:paraId="5EDAC357" w14:textId="58C8F8EA" w:rsidR="004237AC" w:rsidRPr="007314B0" w:rsidRDefault="739448FD" w:rsidP="00DD508F">
      <w:pPr>
        <w:spacing w:after="120" w:line="240" w:lineRule="auto"/>
      </w:pPr>
      <w:r w:rsidRPr="007314B0">
        <w:t>Les patients peuvent choisir de passer d’une méthode de PrEP à une autre. Les modes d’utilisation des différentes méthodes de PrEP sont nombreux. Cependant, on</w:t>
      </w:r>
      <w:r w:rsidR="00E55E87" w:rsidRPr="007314B0">
        <w:t xml:space="preserve"> ne</w:t>
      </w:r>
      <w:r w:rsidRPr="007314B0">
        <w:t xml:space="preserve"> connait pas encore le mode idéal lors d’une transition entre les méthodes ; un soutien appuyé et une évaluation minutieuse seront donc nécessaires. </w:t>
      </w:r>
    </w:p>
    <w:p w14:paraId="449551B7" w14:textId="52F924DB" w:rsidR="004237AC" w:rsidRPr="007314B0" w:rsidRDefault="004237AC" w:rsidP="00DD508F">
      <w:pPr>
        <w:spacing w:after="120" w:line="240" w:lineRule="auto"/>
      </w:pPr>
      <w:r w:rsidRPr="007314B0">
        <w:t xml:space="preserve">Les données sur la sécurité de l’utilisation simultanée de plusieurs méthodes de PrEP sont limitées ou inexistantes pour certaines méthodes. Bien que l’utilisation de plusieurs méthodes ne soit pas susceptible d’être moins bien tolérée qu’avec une utilisation </w:t>
      </w:r>
      <w:r w:rsidR="003057B7" w:rsidRPr="007314B0">
        <w:t>unique</w:t>
      </w:r>
      <w:r w:rsidRPr="007314B0">
        <w:t xml:space="preserve">, des données supplémentaires sont nécessaires pour confirmer </w:t>
      </w:r>
      <w:r w:rsidR="003057B7" w:rsidRPr="007314B0">
        <w:t>l’innocuité</w:t>
      </w:r>
      <w:r w:rsidRPr="007314B0">
        <w:t xml:space="preserve"> et l’efficacité d’une utilisation simultanée.</w:t>
      </w:r>
    </w:p>
    <w:p w14:paraId="58133174" w14:textId="6249BCE3" w:rsidR="008650E4" w:rsidRPr="007314B0" w:rsidRDefault="004237AC" w:rsidP="00DD508F">
      <w:pPr>
        <w:spacing w:after="120" w:line="240" w:lineRule="auto"/>
      </w:pPr>
      <w:r w:rsidRPr="007314B0">
        <w:t xml:space="preserve">Certains patients peuvent décider d’utiliser plusieurs méthodes de PrEP en même temps. Cependant, rien n’indique que leur utilisation simultanée présente un quelconque avantage. Quel que soit le choix, il est important d’utiliser la méthode de PrEP </w:t>
      </w:r>
      <w:proofErr w:type="gramStart"/>
      <w:r w:rsidRPr="007314B0">
        <w:t>de manière à ce</w:t>
      </w:r>
      <w:proofErr w:type="gramEnd"/>
      <w:r w:rsidRPr="007314B0">
        <w:t xml:space="preserve"> que son effet prophylactique soit efficace (aussi fréquemment qu’indiqué et aussi longtemps que nécessaire pour couvrir les périodes d’exposition potentielle) et optimiser son efficacité. </w:t>
      </w:r>
    </w:p>
    <w:p w14:paraId="480F1576" w14:textId="72323165" w:rsidR="00E75894" w:rsidRPr="007314B0" w:rsidRDefault="00E75894" w:rsidP="00E75894">
      <w:pPr>
        <w:spacing w:after="120" w:line="240" w:lineRule="auto"/>
      </w:pPr>
      <w:r w:rsidRPr="007314B0">
        <w:t xml:space="preserve">Pour obtenir des instructions sur le passage d’une PrEP orale quotidienne à une ED-PrEP, prière de consulter la section </w:t>
      </w:r>
      <w:r w:rsidRPr="007314B0">
        <w:rPr>
          <w:i/>
          <w:iCs/>
        </w:rPr>
        <w:t>Utilisation de la PrEP orale</w:t>
      </w:r>
      <w:r w:rsidRPr="007314B0">
        <w:t xml:space="preserve"> ci-dessus.</w:t>
      </w:r>
    </w:p>
    <w:tbl>
      <w:tblPr>
        <w:tblW w:w="0" w:type="auto"/>
        <w:tblLook w:val="04A0" w:firstRow="1" w:lastRow="0" w:firstColumn="1" w:lastColumn="0" w:noHBand="0" w:noVBand="1"/>
      </w:tblPr>
      <w:tblGrid>
        <w:gridCol w:w="10456"/>
      </w:tblGrid>
      <w:tr w:rsidR="00DF1193" w:rsidRPr="007314B0" w14:paraId="624506D2" w14:textId="77777777" w:rsidTr="00D04167">
        <w:trPr>
          <w:trHeight w:val="1305"/>
        </w:trPr>
        <w:tc>
          <w:tcPr>
            <w:tcW w:w="10456" w:type="dxa"/>
            <w:shd w:val="clear" w:color="auto" w:fill="C5E0B3" w:themeFill="accent6" w:themeFillTint="66"/>
          </w:tcPr>
          <w:p w14:paraId="23006C3C" w14:textId="5A0C51FF" w:rsidR="00CE7681" w:rsidRPr="007314B0" w:rsidRDefault="1D09ADDF" w:rsidP="56D00486">
            <w:pPr>
              <w:tabs>
                <w:tab w:val="center" w:pos="5120"/>
              </w:tabs>
              <w:spacing w:after="120"/>
              <w:rPr>
                <w:b/>
                <w:bCs/>
                <w:color w:val="FF0000"/>
              </w:rPr>
            </w:pPr>
            <w:r w:rsidRPr="007314B0">
              <w:rPr>
                <w:b/>
                <w:bCs/>
              </w:rPr>
              <w:t xml:space="preserve">Point à prendre en compte : </w:t>
            </w:r>
            <w:r w:rsidRPr="007314B0">
              <w:t xml:space="preserve">Le processus de changement de méthode de PrEP dépend des méthodes utilisées. Lorsqu’ils conseillent les patients pour passer d’une méthode de PrEP à une autre, les </w:t>
            </w:r>
            <w:r w:rsidR="00571AA3" w:rsidRPr="007314B0">
              <w:t>prestataires</w:t>
            </w:r>
            <w:r w:rsidRPr="007314B0">
              <w:t xml:space="preserve"> de santé doivent faire preuve du meilleur jugement clinique </w:t>
            </w:r>
            <w:r w:rsidR="00571AA3" w:rsidRPr="007314B0">
              <w:t xml:space="preserve">possible </w:t>
            </w:r>
            <w:r w:rsidRPr="007314B0">
              <w:t xml:space="preserve">en tenant compte du délai d’efficacité et de l’efficacité de chaque méthode de PrEP après l’arrêt du traitement, de la couverture des expositions potentielles antérieures et futures au VIH et des préférences du patient. </w:t>
            </w:r>
          </w:p>
        </w:tc>
      </w:tr>
    </w:tbl>
    <w:p w14:paraId="00DD7780" w14:textId="77777777" w:rsidR="00F42CD8" w:rsidRPr="007314B0" w:rsidRDefault="00F42CD8" w:rsidP="00DD508F">
      <w:pPr>
        <w:pStyle w:val="Heading1"/>
        <w:spacing w:before="0" w:after="120" w:line="240" w:lineRule="auto"/>
        <w:rPr>
          <w:rFonts w:asciiTheme="minorHAnsi" w:hAnsiTheme="minorHAnsi" w:cstheme="minorHAnsi"/>
        </w:rPr>
      </w:pPr>
    </w:p>
    <w:p w14:paraId="28F4B6C2" w14:textId="0D57EAF5" w:rsidR="00925536" w:rsidRPr="007314B0" w:rsidRDefault="00925536" w:rsidP="00DD508F">
      <w:pPr>
        <w:pStyle w:val="Heading1"/>
        <w:spacing w:before="0" w:after="120" w:line="240" w:lineRule="auto"/>
        <w:rPr>
          <w:rFonts w:asciiTheme="minorHAnsi" w:hAnsiTheme="minorHAnsi" w:cstheme="minorBidi"/>
        </w:rPr>
      </w:pPr>
      <w:bookmarkStart w:id="42" w:name="_Toc124428513"/>
      <w:r w:rsidRPr="007314B0">
        <w:rPr>
          <w:rFonts w:asciiTheme="minorHAnsi" w:hAnsiTheme="minorHAnsi"/>
        </w:rPr>
        <w:t>Visite d’initiation à la PrEP</w:t>
      </w:r>
      <w:bookmarkEnd w:id="42"/>
      <w:r w:rsidRPr="007314B0">
        <w:rPr>
          <w:rFonts w:asciiTheme="minorHAnsi" w:hAnsiTheme="minorHAnsi"/>
        </w:rPr>
        <w:t xml:space="preserve"> </w:t>
      </w:r>
    </w:p>
    <w:p w14:paraId="0F6F48BA" w14:textId="2C40568A" w:rsidR="004A3732" w:rsidRPr="007314B0" w:rsidRDefault="00925536" w:rsidP="00DD508F">
      <w:pPr>
        <w:pBdr>
          <w:top w:val="nil"/>
          <w:left w:val="nil"/>
          <w:bottom w:val="nil"/>
          <w:right w:val="nil"/>
          <w:between w:val="nil"/>
        </w:pBdr>
        <w:spacing w:after="120" w:line="240" w:lineRule="auto"/>
        <w:rPr>
          <w:i/>
          <w:color w:val="000000"/>
          <w:u w:val="single"/>
        </w:rPr>
      </w:pPr>
      <w:r w:rsidRPr="007314B0">
        <w:rPr>
          <w:color w:val="000000" w:themeColor="text1"/>
        </w:rPr>
        <w:t>Pour la plupart des patients, la PrEP peut être initiée le jour même. Cependant, dans certains cas, comme indiqué ci-dessous, il est recommandé d’en différer l’initiation. Les patients doivent répondre à quatre critères pour commencer la PrEP</w:t>
      </w:r>
      <w:r w:rsidR="00B866DD" w:rsidRPr="007314B0">
        <w:rPr>
          <w:color w:val="000000" w:themeColor="text1"/>
        </w:rPr>
        <w:t>, notamment</w:t>
      </w:r>
      <w:r w:rsidRPr="007314B0">
        <w:rPr>
          <w:color w:val="000000" w:themeColor="text1"/>
        </w:rPr>
        <w:t> :</w:t>
      </w:r>
    </w:p>
    <w:p w14:paraId="3B45B92C" w14:textId="02054CA0" w:rsidR="004A3732" w:rsidRPr="007314B0"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Être séronégatifs</w:t>
      </w:r>
    </w:p>
    <w:p w14:paraId="42E60884" w14:textId="77777777" w:rsidR="00A167C6" w:rsidRPr="007314B0"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 xml:space="preserve">Ne pas être candidats à la PEP </w:t>
      </w:r>
    </w:p>
    <w:p w14:paraId="7CDDB043" w14:textId="13FA4268" w:rsidR="004A3732" w:rsidRPr="007314B0" w:rsidRDefault="00F20EB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Évalué pour l’IAH</w:t>
      </w:r>
    </w:p>
    <w:p w14:paraId="5FBFEE07" w14:textId="1AF6A6CD" w:rsidR="004A3732" w:rsidRPr="007314B0"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Demander la PrEP ou être candidats pour l’utilisation de la PrEP</w:t>
      </w:r>
    </w:p>
    <w:p w14:paraId="47332F6D" w14:textId="0369D20B" w:rsidR="004A3732" w:rsidRPr="007314B0"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Ne pas avoir de contrindications à l’utilisation de la méthode de PrEP choisie</w:t>
      </w:r>
    </w:p>
    <w:p w14:paraId="4F140226" w14:textId="71F6538A" w:rsidR="00925536" w:rsidRPr="007314B0" w:rsidRDefault="00925536" w:rsidP="00DD508F">
      <w:pPr>
        <w:pBdr>
          <w:top w:val="nil"/>
          <w:left w:val="nil"/>
          <w:bottom w:val="nil"/>
          <w:right w:val="nil"/>
          <w:between w:val="nil"/>
        </w:pBdr>
        <w:spacing w:after="120" w:line="240" w:lineRule="auto"/>
        <w:rPr>
          <w:color w:val="000000"/>
        </w:rPr>
      </w:pPr>
      <w:r w:rsidRPr="007314B0">
        <w:rPr>
          <w:color w:val="000000" w:themeColor="text1"/>
        </w:rPr>
        <w:t xml:space="preserve">Les quatre composantes essentielles des visites d’initiation à la PrEP sont les suivantes : 1) dépistage du VIH et counseling, 2) évaluations, 3) counseling en matière de PrEP et 4) prescription de la PrEP. Une visite d’initiation aura lieu pour les patients qui choisissent la PrEP orale ou l’anneau de PrEP. Pour les patients qui choisissent la CAB PrEP, deux visites d’initiation sont prévues à </w:t>
      </w:r>
      <w:r w:rsidR="00F20EB2" w:rsidRPr="007314B0">
        <w:rPr>
          <w:color w:val="000000" w:themeColor="text1"/>
        </w:rPr>
        <w:t>deux mois</w:t>
      </w:r>
      <w:r w:rsidRPr="007314B0">
        <w:rPr>
          <w:color w:val="000000" w:themeColor="text1"/>
        </w:rPr>
        <w:t xml:space="preserve"> d’intervalle pour la première injection d’initiation et la deuxième injection d’initiation, respectivement. </w:t>
      </w:r>
    </w:p>
    <w:p w14:paraId="3CE7143F" w14:textId="79024491" w:rsidR="00925536" w:rsidRPr="007314B0" w:rsidRDefault="00925536" w:rsidP="00DD508F">
      <w:pPr>
        <w:pStyle w:val="Heading2"/>
        <w:spacing w:before="0" w:after="120" w:line="240" w:lineRule="auto"/>
        <w:rPr>
          <w:rFonts w:asciiTheme="minorHAnsi" w:hAnsiTheme="minorHAnsi" w:cstheme="minorHAnsi"/>
          <w:bCs/>
        </w:rPr>
      </w:pPr>
      <w:bookmarkStart w:id="43" w:name="_Toc124428514"/>
      <w:r w:rsidRPr="007314B0">
        <w:rPr>
          <w:rFonts w:asciiTheme="minorHAnsi" w:hAnsiTheme="minorHAnsi"/>
          <w:bCs/>
        </w:rPr>
        <w:lastRenderedPageBreak/>
        <w:t>Composante 1 : Dépistage du VIH et counseling</w:t>
      </w:r>
      <w:bookmarkEnd w:id="43"/>
      <w:r w:rsidRPr="007314B0">
        <w:rPr>
          <w:rFonts w:asciiTheme="minorHAnsi" w:hAnsiTheme="minorHAnsi"/>
          <w:bCs/>
        </w:rPr>
        <w:t xml:space="preserve"> </w:t>
      </w:r>
    </w:p>
    <w:p w14:paraId="4C5F37EB" w14:textId="2AACA62F" w:rsidR="00C16A47" w:rsidRPr="007314B0" w:rsidRDefault="21064260"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Le dépistage du VIH et le counseling doivent être effectués conformément aux directives nationales. Il est vivement recommandé d’effectuer un dépistage du VIH le même jour. Si le résultat du test est négatif, le patient peut poursuivre la visite d’initiation et peut être en mesure de commencer la PrEP. En revanche, si le résultat est positif, le patient ne doit pas commencer la PrEP mais doit subir d’autres tests selon l’algorithme national et, si le résultat positif est confirmé, il doit immédiatement commencer ou être orienté vers </w:t>
      </w:r>
      <w:r w:rsidR="002C7A89" w:rsidRPr="007314B0">
        <w:rPr>
          <w:color w:val="000000" w:themeColor="text1"/>
        </w:rPr>
        <w:t>le traitement ARV</w:t>
      </w:r>
      <w:r w:rsidRPr="007314B0">
        <w:rPr>
          <w:color w:val="000000" w:themeColor="text1"/>
        </w:rPr>
        <w:t xml:space="preserve">. </w:t>
      </w:r>
      <w:r w:rsidRPr="007314B0">
        <w:t>Si le résultat du test n’est pas concluant, il faudra reporter la PrEP et suivre l’algorithme national jusqu’à obtenir un résultat concluant du test de dépistage du VIH.</w:t>
      </w:r>
      <w:r w:rsidRPr="007314B0">
        <w:rPr>
          <w:color w:val="000000" w:themeColor="text1"/>
        </w:rPr>
        <w:t xml:space="preserve"> S’il est disponible et conforme à l’algorithme national de dépistage, l’auto-dépistage du VIH peut être utilisé en complément des stratégies existantes de dépistage du VIH pour commencer, reprendre ou poursuivre la PrEP orale et l’utilisation de l’anneau. </w:t>
      </w:r>
    </w:p>
    <w:p w14:paraId="3CAE5CD7" w14:textId="2111F0C9" w:rsidR="00925536" w:rsidRPr="007314B0" w:rsidRDefault="0089567B" w:rsidP="00DD508F">
      <w:pPr>
        <w:pBdr>
          <w:top w:val="nil"/>
          <w:left w:val="nil"/>
          <w:bottom w:val="nil"/>
          <w:right w:val="nil"/>
          <w:between w:val="nil"/>
        </w:pBdr>
        <w:spacing w:after="120" w:line="240" w:lineRule="auto"/>
        <w:rPr>
          <w:color w:val="000000"/>
        </w:rPr>
      </w:pPr>
      <w:r w:rsidRPr="007314B0">
        <w:rPr>
          <w:color w:val="000000" w:themeColor="text1"/>
        </w:rPr>
        <w:t>Dans le cadre du dépistage du VIH et du counseling, la prévention combinée du VIH doit être communiquée aux patients et ils doivent recevoir des préservatifs et un lubrifiant compatible avec les préservatifs.</w:t>
      </w:r>
    </w:p>
    <w:tbl>
      <w:tblPr>
        <w:tblW w:w="0" w:type="auto"/>
        <w:tblLook w:val="04A0" w:firstRow="1" w:lastRow="0" w:firstColumn="1" w:lastColumn="0" w:noHBand="0" w:noVBand="1"/>
      </w:tblPr>
      <w:tblGrid>
        <w:gridCol w:w="10456"/>
      </w:tblGrid>
      <w:tr w:rsidR="0004218C" w:rsidRPr="007314B0" w14:paraId="3066DA49" w14:textId="77777777" w:rsidTr="56D00486">
        <w:tc>
          <w:tcPr>
            <w:tcW w:w="10456" w:type="dxa"/>
            <w:shd w:val="clear" w:color="auto" w:fill="C5E0B3" w:themeFill="accent6" w:themeFillTint="66"/>
          </w:tcPr>
          <w:p w14:paraId="7CFA7BA8" w14:textId="552FADCA" w:rsidR="0004218C" w:rsidRPr="007314B0" w:rsidRDefault="5BDF0F2F" w:rsidP="00DD508F">
            <w:pPr>
              <w:spacing w:after="120"/>
              <w:rPr>
                <w:color w:val="000000"/>
              </w:rPr>
            </w:pPr>
            <w:r w:rsidRPr="007314B0">
              <w:rPr>
                <w:b/>
                <w:bCs/>
                <w:color w:val="000000" w:themeColor="text1"/>
              </w:rPr>
              <w:t xml:space="preserve">Point à prendre en compte : </w:t>
            </w:r>
            <w:r w:rsidRPr="007314B0">
              <w:t>Dans certains contextes, il peut être difficile d’offrir une PrEP à un patient le même jour que le test de dépistage négatif. Certains programmes acceptent les résultats de tests effectués au cours des trois à sept derniers jours si le patient n’a pas eu d’exposition potentielle au VIH depuis son test.</w:t>
            </w:r>
          </w:p>
        </w:tc>
      </w:tr>
    </w:tbl>
    <w:p w14:paraId="7F7F0BBF" w14:textId="12BDB9E6" w:rsidR="00925536" w:rsidRPr="007314B0" w:rsidRDefault="00925536" w:rsidP="00387455">
      <w:pPr>
        <w:pStyle w:val="Heading2"/>
        <w:spacing w:before="240" w:after="120" w:line="240" w:lineRule="auto"/>
        <w:rPr>
          <w:rFonts w:asciiTheme="minorHAnsi" w:hAnsiTheme="minorHAnsi" w:cstheme="minorBidi"/>
        </w:rPr>
      </w:pPr>
      <w:bookmarkStart w:id="44" w:name="_Toc124428515"/>
      <w:r w:rsidRPr="007314B0">
        <w:rPr>
          <w:rFonts w:asciiTheme="minorHAnsi" w:hAnsiTheme="minorHAnsi"/>
        </w:rPr>
        <w:t>Composante 2 : Évaluations</w:t>
      </w:r>
      <w:bookmarkEnd w:id="44"/>
    </w:p>
    <w:p w14:paraId="667B9F81" w14:textId="1BF2F372" w:rsidR="00A243ED" w:rsidRPr="007314B0" w:rsidRDefault="11C62A1B" w:rsidP="00DD508F">
      <w:pPr>
        <w:spacing w:after="120" w:line="240" w:lineRule="auto"/>
      </w:pPr>
      <w:r w:rsidRPr="007314B0">
        <w:t xml:space="preserve">Le but de l’évaluation de la PrEP est de s’assurer qu’un patient : 1) reçoit un traitement de </w:t>
      </w:r>
      <w:r w:rsidR="002C7A89" w:rsidRPr="007314B0">
        <w:t>PPE</w:t>
      </w:r>
      <w:r w:rsidRPr="007314B0">
        <w:t>, au lieu d’une PrEP, en cas d’exposition potentielle au VIH au cours des dernières 72 </w:t>
      </w:r>
      <w:r w:rsidR="006B2417" w:rsidRPr="007314B0">
        <w:t>heures, 2</w:t>
      </w:r>
      <w:r w:rsidRPr="007314B0">
        <w:t xml:space="preserve">) </w:t>
      </w:r>
      <w:r w:rsidR="00405A75" w:rsidRPr="007314B0">
        <w:t>a été évalué pour l’IAH et si l’IAH est possible, l’utilisation de la PrEP est différée en attendant un nouveau test</w:t>
      </w:r>
      <w:r w:rsidRPr="007314B0">
        <w:t xml:space="preserve"> 3) est un bon candidat pour l’utilisation de la PrEP et/ou demande une PrEP et 4) ne présente pas de contrindications pour l’utilisation de la méthode de PrEP choisie.</w:t>
      </w:r>
      <w:r w:rsidR="007201EC" w:rsidRPr="007314B0">
        <w:rPr>
          <w:rStyle w:val="FootnoteReference"/>
        </w:rPr>
        <w:footnoteReference w:id="31"/>
      </w:r>
      <w:r w:rsidR="0078445B" w:rsidRPr="007314B0">
        <w:t xml:space="preserve"> Le diagramme 1 présente l'algorithme permettant d'exclure le VIH grâce au dépistage du VIH et à l'évaluation de la PPE et de l'IAH. Une fois que l’exposition ou l’acquisition potentielle du VIH a été exclue au cours de ces trois étapes, les cliniciens peuvent évaluer les contre-indications cliniques pour s’assurer que le client est éligible à la méthode PrEP qu’il a choisie.</w:t>
      </w:r>
      <w:r w:rsidR="007314B0" w:rsidRPr="007314B0" w:rsidDel="007314B0">
        <w:t xml:space="preserve"> </w:t>
      </w:r>
    </w:p>
    <w:p w14:paraId="5A8CAE6A" w14:textId="4237D1D5" w:rsidR="00D407E1" w:rsidRPr="007314B0" w:rsidRDefault="00925536" w:rsidP="007314B0">
      <w:pPr>
        <w:spacing w:after="120" w:line="240" w:lineRule="auto"/>
        <w:rPr>
          <w:b/>
          <w:color w:val="000000"/>
          <w:u w:val="single"/>
        </w:rPr>
      </w:pPr>
      <w:r w:rsidRPr="007314B0">
        <w:rPr>
          <w:b/>
          <w:bCs/>
          <w:u w:val="single"/>
        </w:rPr>
        <w:t xml:space="preserve">Évaluer le besoin de prescrire une </w:t>
      </w:r>
      <w:r w:rsidR="002C7A89" w:rsidRPr="007314B0">
        <w:rPr>
          <w:b/>
          <w:bCs/>
          <w:u w:val="single"/>
        </w:rPr>
        <w:t>PPE</w:t>
      </w:r>
    </w:p>
    <w:p w14:paraId="5010DD2A" w14:textId="4FF1C87C" w:rsidR="00925536" w:rsidRPr="007314B0" w:rsidRDefault="00925536" w:rsidP="00DD508F">
      <w:pPr>
        <w:pBdr>
          <w:top w:val="nil"/>
          <w:left w:val="nil"/>
          <w:bottom w:val="nil"/>
          <w:right w:val="nil"/>
          <w:between w:val="nil"/>
        </w:pBdr>
        <w:spacing w:after="120" w:line="240" w:lineRule="auto"/>
        <w:rPr>
          <w:color w:val="000000"/>
        </w:rPr>
      </w:pPr>
      <w:r w:rsidRPr="007314B0">
        <w:rPr>
          <w:b/>
          <w:bCs/>
          <w:color w:val="000000" w:themeColor="text1"/>
        </w:rPr>
        <w:t>Patients exposés au VIH au cours des dernières 72 heures :</w:t>
      </w:r>
      <w:r w:rsidRPr="007314B0">
        <w:rPr>
          <w:color w:val="000000" w:themeColor="text1"/>
        </w:rPr>
        <w:t xml:space="preserve"> Si un patient signale une exposition au VIH au cours des dernières 72 heures, il faut effectuer des tests de dépistage pour déterminer si une </w:t>
      </w:r>
      <w:r w:rsidR="002C7A89" w:rsidRPr="007314B0">
        <w:rPr>
          <w:color w:val="000000" w:themeColor="text1"/>
        </w:rPr>
        <w:t>PPE</w:t>
      </w:r>
      <w:r w:rsidRPr="007314B0">
        <w:rPr>
          <w:color w:val="000000" w:themeColor="text1"/>
        </w:rPr>
        <w:t xml:space="preserve"> est indiquée au lieu de la PrEP et </w:t>
      </w:r>
      <w:r w:rsidR="00C96671" w:rsidRPr="007314B0">
        <w:rPr>
          <w:color w:val="000000" w:themeColor="text1"/>
        </w:rPr>
        <w:t xml:space="preserve">lui </w:t>
      </w:r>
      <w:r w:rsidRPr="007314B0">
        <w:rPr>
          <w:color w:val="000000" w:themeColor="text1"/>
        </w:rPr>
        <w:t xml:space="preserve">fournir la </w:t>
      </w:r>
      <w:r w:rsidR="002C7A89" w:rsidRPr="007314B0">
        <w:rPr>
          <w:color w:val="000000" w:themeColor="text1"/>
        </w:rPr>
        <w:t>PPE</w:t>
      </w:r>
      <w:r w:rsidRPr="007314B0">
        <w:rPr>
          <w:color w:val="000000" w:themeColor="text1"/>
        </w:rPr>
        <w:t xml:space="preserve"> conformément aux directives nationales. Les patients doivent être informés sur les différences entre la </w:t>
      </w:r>
      <w:r w:rsidR="002C7A89" w:rsidRPr="007314B0">
        <w:rPr>
          <w:color w:val="000000" w:themeColor="text1"/>
        </w:rPr>
        <w:t>PPE</w:t>
      </w:r>
      <w:r w:rsidRPr="007314B0">
        <w:rPr>
          <w:color w:val="000000" w:themeColor="text1"/>
        </w:rPr>
        <w:t xml:space="preserve">, la PrEP et les </w:t>
      </w:r>
      <w:r w:rsidR="002C7A89" w:rsidRPr="007314B0">
        <w:rPr>
          <w:color w:val="000000" w:themeColor="text1"/>
        </w:rPr>
        <w:t xml:space="preserve">traitements </w:t>
      </w:r>
      <w:r w:rsidRPr="007314B0">
        <w:rPr>
          <w:color w:val="000000" w:themeColor="text1"/>
        </w:rPr>
        <w:t>AR</w:t>
      </w:r>
      <w:r w:rsidR="002C7A89" w:rsidRPr="007314B0">
        <w:rPr>
          <w:color w:val="000000" w:themeColor="text1"/>
        </w:rPr>
        <w:t>V</w:t>
      </w:r>
      <w:r w:rsidRPr="007314B0">
        <w:rPr>
          <w:color w:val="000000" w:themeColor="text1"/>
        </w:rPr>
        <w:t xml:space="preserve"> et il faut leur proposer un counseling sur la réduction de l’exposition au VIH. Après 28 jours de </w:t>
      </w:r>
      <w:r w:rsidR="002C7A89" w:rsidRPr="007314B0">
        <w:rPr>
          <w:color w:val="000000" w:themeColor="text1"/>
        </w:rPr>
        <w:t>PPE</w:t>
      </w:r>
      <w:r w:rsidRPr="007314B0">
        <w:rPr>
          <w:color w:val="000000" w:themeColor="text1"/>
        </w:rPr>
        <w:t xml:space="preserve">, un patient peut passer de la </w:t>
      </w:r>
      <w:r w:rsidR="002C7A89" w:rsidRPr="007314B0">
        <w:rPr>
          <w:color w:val="000000" w:themeColor="text1"/>
        </w:rPr>
        <w:t>PPE</w:t>
      </w:r>
      <w:r w:rsidRPr="007314B0">
        <w:rPr>
          <w:color w:val="000000" w:themeColor="text1"/>
        </w:rPr>
        <w:t xml:space="preserve"> à la PrEP sans interruption si le test de dépistage du VIH est négatif et s’il répond aux autres critères d’utilisation de la PrEP.</w:t>
      </w:r>
    </w:p>
    <w:p w14:paraId="6E991C68" w14:textId="090F5B5C" w:rsidR="00D407E1" w:rsidRPr="007314B0" w:rsidRDefault="00925536" w:rsidP="00DD508F">
      <w:pPr>
        <w:pBdr>
          <w:top w:val="nil"/>
          <w:left w:val="nil"/>
          <w:bottom w:val="nil"/>
          <w:right w:val="nil"/>
          <w:between w:val="nil"/>
        </w:pBdr>
        <w:spacing w:after="120" w:line="240" w:lineRule="auto"/>
        <w:rPr>
          <w:b/>
          <w:color w:val="000000"/>
          <w:u w:val="single"/>
        </w:rPr>
      </w:pPr>
      <w:r w:rsidRPr="007314B0">
        <w:rPr>
          <w:b/>
          <w:bCs/>
          <w:u w:val="single"/>
        </w:rPr>
        <w:t>Évaluer la possibilité d’infection aiguë par le VIH</w:t>
      </w:r>
    </w:p>
    <w:p w14:paraId="553E157C" w14:textId="086977F1" w:rsidR="00824D3D" w:rsidRPr="007314B0" w:rsidRDefault="00925536" w:rsidP="00DD508F">
      <w:pPr>
        <w:pBdr>
          <w:top w:val="nil"/>
          <w:left w:val="nil"/>
          <w:bottom w:val="nil"/>
          <w:right w:val="nil"/>
          <w:between w:val="nil"/>
        </w:pBdr>
        <w:spacing w:after="120" w:line="240" w:lineRule="auto"/>
        <w:rPr>
          <w:color w:val="000000" w:themeColor="text1"/>
        </w:rPr>
      </w:pPr>
      <w:r w:rsidRPr="007314B0">
        <w:rPr>
          <w:b/>
          <w:bCs/>
          <w:color w:val="000000" w:themeColor="text1"/>
        </w:rPr>
        <w:t>Patients suspectés d’AHI :</w:t>
      </w:r>
      <w:r w:rsidR="00CA3D14" w:rsidRPr="007314B0">
        <w:t xml:space="preserve"> </w:t>
      </w:r>
      <w:r w:rsidR="00CA3D14" w:rsidRPr="007314B0">
        <w:rPr>
          <w:color w:val="000000" w:themeColor="text1"/>
        </w:rPr>
        <w:t xml:space="preserve">Si un client présente ou a présenté des signes et symptômes d'une infection aiguë par le VIH (voir l'encadré 1 ci-dessus) ET une exposition possible au VIH dans les 14 jours précédant l'apparition des symptômes, il est possible que les symptômes du client soient dus à une IHA, surtout si un La méthode de prévention n’était pas </w:t>
      </w:r>
      <w:proofErr w:type="gramStart"/>
      <w:r w:rsidR="00CA3D14" w:rsidRPr="007314B0">
        <w:rPr>
          <w:color w:val="000000" w:themeColor="text1"/>
        </w:rPr>
        <w:t>utilisée</w:t>
      </w:r>
      <w:proofErr w:type="gramEnd"/>
      <w:r w:rsidR="00CA3D14" w:rsidRPr="007314B0">
        <w:rPr>
          <w:color w:val="000000" w:themeColor="text1"/>
        </w:rPr>
        <w:t xml:space="preserve"> ou n’était pas utilisée efficacement</w:t>
      </w:r>
      <w:r w:rsidRPr="007314B0">
        <w:rPr>
          <w:color w:val="000000" w:themeColor="text1"/>
        </w:rPr>
        <w:t xml:space="preserve">. 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 Les patients doivent recevoir un counseling sur la réduction de l’exposition au VIH, ainsi que sur le dépistage, le diagnostic et la prise en charge des IST, le cas échéant. Si le résultat du nouveau test de dépistage du VIH est négatif et le patient répond aux autres critères d’utilisation de la PrEP, il peut alors commencer le traitement. </w:t>
      </w:r>
    </w:p>
    <w:tbl>
      <w:tblPr>
        <w:tblW w:w="0" w:type="auto"/>
        <w:tblLook w:val="04A0" w:firstRow="1" w:lastRow="0" w:firstColumn="1" w:lastColumn="0" w:noHBand="0" w:noVBand="1"/>
      </w:tblPr>
      <w:tblGrid>
        <w:gridCol w:w="10456"/>
      </w:tblGrid>
      <w:tr w:rsidR="00D84EB6" w:rsidRPr="007314B0" w14:paraId="167AC896" w14:textId="77777777" w:rsidTr="0035658E">
        <w:tc>
          <w:tcPr>
            <w:tcW w:w="10456" w:type="dxa"/>
            <w:shd w:val="clear" w:color="auto" w:fill="C5E0B3" w:themeFill="accent6" w:themeFillTint="66"/>
          </w:tcPr>
          <w:p w14:paraId="1AA3BC48" w14:textId="276B169C" w:rsidR="00D84EB6" w:rsidRPr="007314B0" w:rsidRDefault="00FF4C4D" w:rsidP="0035658E">
            <w:pPr>
              <w:spacing w:after="120"/>
              <w:rPr>
                <w:color w:val="000000"/>
              </w:rPr>
            </w:pPr>
            <w:r w:rsidRPr="007314B0">
              <w:t xml:space="preserve"> </w:t>
            </w:r>
            <w:r w:rsidRPr="007314B0">
              <w:rPr>
                <w:color w:val="000000" w:themeColor="text1"/>
              </w:rPr>
              <w:t xml:space="preserve">À considérer : Il existe actuellement des outils de travail disponibles pour aider les prestataires à évaluer la PPE et l'IAH afin d'exclure toute acquisition antérieure du VIH chez les clients intéressés à commencer ou à poursuivre la PrEP, avec des outils de travail distincts pour la PrEP orale, l'anneau de PrEP et la PrEP CAB. Trouvées ici, ces ressources aident à formaliser les évaluations cliniques pour compléter le dépistage du VIH en identifiant les </w:t>
            </w:r>
            <w:r w:rsidRPr="007314B0">
              <w:rPr>
                <w:color w:val="000000" w:themeColor="text1"/>
              </w:rPr>
              <w:lastRenderedPageBreak/>
              <w:t>clients présentant une indication de PPE et une suspicion d'IAH, et en proposant des suggestions de prise en charge clinique pour les clients nouveaux et anciens adhérents et non adhérents à la PrEP, classés par méthode PrEP.</w:t>
            </w:r>
            <w:r w:rsidR="00D84EB6" w:rsidRPr="007314B0">
              <w:rPr>
                <w:color w:val="000000" w:themeColor="text1"/>
              </w:rPr>
              <w:t xml:space="preserve">   </w:t>
            </w:r>
          </w:p>
        </w:tc>
      </w:tr>
    </w:tbl>
    <w:p w14:paraId="1A7E8887" w14:textId="77777777" w:rsidR="00D83733" w:rsidRPr="007314B0" w:rsidRDefault="00D83733" w:rsidP="00DD508F">
      <w:pPr>
        <w:pBdr>
          <w:top w:val="nil"/>
          <w:left w:val="nil"/>
          <w:bottom w:val="nil"/>
          <w:right w:val="nil"/>
          <w:between w:val="nil"/>
        </w:pBdr>
        <w:spacing w:after="120" w:line="240" w:lineRule="auto"/>
        <w:rPr>
          <w:b/>
          <w:color w:val="000000" w:themeColor="text1"/>
          <w:u w:val="single"/>
        </w:rPr>
      </w:pPr>
    </w:p>
    <w:p w14:paraId="636A3143" w14:textId="747CE267" w:rsidR="00A243ED" w:rsidRPr="007314B0" w:rsidRDefault="00A243ED" w:rsidP="00DD508F">
      <w:pPr>
        <w:spacing w:after="120" w:line="240" w:lineRule="auto"/>
        <w:rPr>
          <w:b/>
        </w:rPr>
      </w:pPr>
      <w:r w:rsidRPr="007314B0">
        <w:rPr>
          <w:b/>
        </w:rPr>
        <w:t>Graphique 1. Initiation à la PrEP - Évaluation de l’exposition au VIH et d’une AHI</w:t>
      </w:r>
    </w:p>
    <w:p w14:paraId="76068340" w14:textId="08300941" w:rsidR="007125FC" w:rsidRPr="007314B0" w:rsidRDefault="00F10EAB" w:rsidP="00DD508F">
      <w:pPr>
        <w:spacing w:after="120" w:line="240" w:lineRule="auto"/>
        <w:rPr>
          <w:b/>
        </w:rPr>
      </w:pPr>
      <w:r w:rsidRPr="007314B0">
        <w:rPr>
          <w:b/>
          <w:noProof/>
        </w:rPr>
        <mc:AlternateContent>
          <mc:Choice Requires="wps">
            <w:drawing>
              <wp:anchor distT="45720" distB="45720" distL="114300" distR="114300" simplePos="0" relativeHeight="251666445" behindDoc="0" locked="0" layoutInCell="1" allowOverlap="1" wp14:anchorId="27F00A68" wp14:editId="79CDE3A4">
                <wp:simplePos x="0" y="0"/>
                <wp:positionH relativeFrom="margin">
                  <wp:align>left</wp:align>
                </wp:positionH>
                <wp:positionV relativeFrom="paragraph">
                  <wp:posOffset>1962150</wp:posOffset>
                </wp:positionV>
                <wp:extent cx="1638300" cy="1466662"/>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66662"/>
                        </a:xfrm>
                        <a:prstGeom prst="rect">
                          <a:avLst/>
                        </a:prstGeom>
                        <a:solidFill>
                          <a:srgbClr val="33CCCC"/>
                        </a:solidFill>
                        <a:ln w="9525">
                          <a:noFill/>
                          <a:miter lim="800000"/>
                          <a:headEnd/>
                          <a:tailEnd/>
                        </a:ln>
                      </wps:spPr>
                      <wps:txbx>
                        <w:txbxContent>
                          <w:p w14:paraId="33009309" w14:textId="772FE9E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w:t>
                            </w:r>
                            <w:r>
                              <w:rPr>
                                <w:rFonts w:cstheme="minorHAnsi"/>
                                <w:sz w:val="18"/>
                                <w:szCs w:val="18"/>
                              </w:rPr>
                              <w:t xml:space="preserve">commencer un traitement de </w:t>
                            </w:r>
                            <w:r w:rsidR="00F10EAB">
                              <w:rPr>
                                <w:rFonts w:cstheme="minorHAnsi"/>
                                <w:sz w:val="18"/>
                                <w:szCs w:val="18"/>
                              </w:rPr>
                              <w:t>PPE</w:t>
                            </w:r>
                            <w:r>
                              <w:rPr>
                                <w:rFonts w:cstheme="minorHAnsi"/>
                                <w:sz w:val="18"/>
                                <w:szCs w:val="18"/>
                              </w:rPr>
                              <w:t xml:space="preserve">. Si une </w:t>
                            </w:r>
                            <w:r w:rsidR="00F10EAB">
                              <w:rPr>
                                <w:rFonts w:cstheme="minorHAnsi"/>
                                <w:sz w:val="18"/>
                                <w:szCs w:val="18"/>
                              </w:rPr>
                              <w:t>PPE</w:t>
                            </w:r>
                            <w:r>
                              <w:rPr>
                                <w:rFonts w:cstheme="minorHAnsi"/>
                                <w:sz w:val="18"/>
                                <w:szCs w:val="18"/>
                              </w:rPr>
                              <w:t xml:space="preserve"> est commencée, tester de nouveau pour le VIH après 28 jours. Si le </w:t>
                            </w:r>
                            <w:r w:rsidR="00CD4480">
                              <w:rPr>
                                <w:rFonts w:cstheme="minorHAnsi"/>
                                <w:sz w:val="18"/>
                                <w:szCs w:val="18"/>
                              </w:rPr>
                              <w:t>patient</w:t>
                            </w:r>
                            <w:r>
                              <w:rPr>
                                <w:rFonts w:cstheme="minorHAnsi"/>
                                <w:sz w:val="18"/>
                                <w:szCs w:val="18"/>
                              </w:rPr>
                              <w:t xml:space="preserve"> est séronégatif à la fin du traitement de </w:t>
                            </w:r>
                            <w:r w:rsidR="00F10EAB">
                              <w:rPr>
                                <w:rFonts w:cstheme="minorHAnsi"/>
                                <w:sz w:val="18"/>
                                <w:szCs w:val="18"/>
                              </w:rPr>
                              <w:t>PPE</w:t>
                            </w:r>
                            <w:r>
                              <w:rPr>
                                <w:rFonts w:cstheme="minorHAnsi"/>
                                <w:sz w:val="18"/>
                                <w:szCs w:val="18"/>
                              </w:rPr>
                              <w:t>, poursuivre un traitement de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00A68" id="_x0000_t202" coordsize="21600,21600" o:spt="202" path="m,l,21600r21600,l21600,xe">
                <v:stroke joinstyle="miter"/>
                <v:path gradientshapeok="t" o:connecttype="rect"/>
              </v:shapetype>
              <v:shape id="Text Box 2" o:spid="_x0000_s1028" type="#_x0000_t202" style="position:absolute;margin-left:0;margin-top:154.5pt;width:129pt;height:115.5pt;z-index:2516664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" fillcolor="#3cc" stroked="f">
                <v:textbox>
                  <w:txbxContent>
                    <w:p w14:paraId="33009309" w14:textId="772FE9E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w:t>
                      </w:r>
                      <w:r>
                        <w:rPr>
                          <w:rFonts w:cstheme="minorHAnsi"/>
                          <w:sz w:val="18"/>
                          <w:szCs w:val="18"/>
                        </w:rPr>
                        <w:t xml:space="preserve">commencer un traitement de </w:t>
                      </w:r>
                      <w:r w:rsidR="00F10EAB">
                        <w:rPr>
                          <w:rFonts w:cstheme="minorHAnsi"/>
                          <w:sz w:val="18"/>
                          <w:szCs w:val="18"/>
                        </w:rPr>
                        <w:t>PPE</w:t>
                      </w:r>
                      <w:r>
                        <w:rPr>
                          <w:rFonts w:cstheme="minorHAnsi"/>
                          <w:sz w:val="18"/>
                          <w:szCs w:val="18"/>
                        </w:rPr>
                        <w:t xml:space="preserve">. Si une </w:t>
                      </w:r>
                      <w:r w:rsidR="00F10EAB">
                        <w:rPr>
                          <w:rFonts w:cstheme="minorHAnsi"/>
                          <w:sz w:val="18"/>
                          <w:szCs w:val="18"/>
                        </w:rPr>
                        <w:t>PPE</w:t>
                      </w:r>
                      <w:r>
                        <w:rPr>
                          <w:rFonts w:cstheme="minorHAnsi"/>
                          <w:sz w:val="18"/>
                          <w:szCs w:val="18"/>
                        </w:rPr>
                        <w:t xml:space="preserve"> est commencée, tester de nouveau pour le VIH après 28 jours. Si le </w:t>
                      </w:r>
                      <w:r w:rsidR="00CD4480">
                        <w:rPr>
                          <w:rFonts w:cstheme="minorHAnsi"/>
                          <w:sz w:val="18"/>
                          <w:szCs w:val="18"/>
                        </w:rPr>
                        <w:t>patient</w:t>
                      </w:r>
                      <w:r>
                        <w:rPr>
                          <w:rFonts w:cstheme="minorHAnsi"/>
                          <w:sz w:val="18"/>
                          <w:szCs w:val="18"/>
                        </w:rPr>
                        <w:t xml:space="preserve"> est séronégatif à la fin du traitement de </w:t>
                      </w:r>
                      <w:r w:rsidR="00F10EAB">
                        <w:rPr>
                          <w:rFonts w:cstheme="minorHAnsi"/>
                          <w:sz w:val="18"/>
                          <w:szCs w:val="18"/>
                        </w:rPr>
                        <w:t>PPE</w:t>
                      </w:r>
                      <w:r>
                        <w:rPr>
                          <w:rFonts w:cstheme="minorHAnsi"/>
                          <w:sz w:val="18"/>
                          <w:szCs w:val="18"/>
                        </w:rPr>
                        <w:t>, poursuivre un traitement de PrEP.</w:t>
                      </w:r>
                    </w:p>
                  </w:txbxContent>
                </v:textbox>
                <w10:wrap anchorx="margin"/>
              </v:shape>
            </w:pict>
          </mc:Fallback>
        </mc:AlternateContent>
      </w:r>
      <w:r w:rsidR="00CD4480" w:rsidRPr="007314B0">
        <w:rPr>
          <w:b/>
          <w:noProof/>
        </w:rPr>
        <mc:AlternateContent>
          <mc:Choice Requires="wps">
            <w:drawing>
              <wp:anchor distT="45720" distB="45720" distL="114300" distR="114300" simplePos="0" relativeHeight="251676685" behindDoc="0" locked="0" layoutInCell="1" allowOverlap="1" wp14:anchorId="1FD4CFB1" wp14:editId="07DA7ECF">
                <wp:simplePos x="0" y="0"/>
                <wp:positionH relativeFrom="margin">
                  <wp:posOffset>142875</wp:posOffset>
                </wp:positionH>
                <wp:positionV relativeFrom="paragraph">
                  <wp:posOffset>4819651</wp:posOffset>
                </wp:positionV>
                <wp:extent cx="2962275" cy="21145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114550"/>
                        </a:xfrm>
                        <a:prstGeom prst="rect">
                          <a:avLst/>
                        </a:prstGeom>
                        <a:solidFill>
                          <a:srgbClr val="33CCCC"/>
                        </a:solidFill>
                        <a:ln w="9525">
                          <a:noFill/>
                          <a:miter lim="800000"/>
                          <a:headEnd/>
                          <a:tailEnd/>
                        </a:ln>
                      </wps:spPr>
                      <wps:txbx>
                        <w:txbxContent>
                          <w:p w14:paraId="5729CD2B" w14:textId="77777777" w:rsidR="00CD4480" w:rsidRPr="00CD4480" w:rsidRDefault="00CD4480" w:rsidP="00CD4480">
                            <w:pPr>
                              <w:jc w:val="center"/>
                              <w:rPr>
                                <w:color w:val="000000" w:themeColor="text1"/>
                                <w:sz w:val="18"/>
                                <w:szCs w:val="18"/>
                              </w:rPr>
                            </w:pPr>
                            <w:r w:rsidRPr="00CD4480">
                              <w:rPr>
                                <w:rFonts w:cstheme="minorHAnsi"/>
                                <w:sz w:val="18"/>
                                <w:szCs w:val="18"/>
                              </w:rPr>
                              <w:t xml:space="preserve">Si OUI, </w:t>
                            </w:r>
                            <w:r w:rsidRPr="00CD4480">
                              <w:rPr>
                                <w:color w:val="000000" w:themeColor="text1"/>
                                <w:sz w:val="18"/>
                                <w:szCs w:val="18"/>
                              </w:rPr>
                              <w:t xml:space="preserve">il est possible que les symptômes du patient soient dus à une AHI parce qu’il n’utilisait pas de méthode de prévention, ou ne l’utilisait pas efficacement, au moment de l’exposition potentielle au VIH. </w:t>
                            </w:r>
                          </w:p>
                          <w:p w14:paraId="28AEEE4C" w14:textId="5BABA270" w:rsidR="00CD4480" w:rsidRPr="00684091" w:rsidRDefault="00CD4480" w:rsidP="00CD4480">
                            <w:pPr>
                              <w:jc w:val="center"/>
                              <w:rPr>
                                <w:rFonts w:cstheme="minorHAnsi"/>
                                <w:sz w:val="18"/>
                                <w:szCs w:val="18"/>
                              </w:rPr>
                            </w:pPr>
                            <w:r w:rsidRPr="00CD4480">
                              <w:rPr>
                                <w:color w:val="000000" w:themeColor="text1"/>
                                <w:sz w:val="18"/>
                                <w:szCs w:val="18"/>
                              </w:rPr>
                              <w:t>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w:t>
                            </w:r>
                            <w:r>
                              <w:rPr>
                                <w:color w:val="000000" w:themeColor="text1"/>
                                <w:sz w:val="18"/>
                                <w:szCs w:val="18"/>
                              </w:rPr>
                              <w:t>.</w:t>
                            </w:r>
                            <w:r w:rsidR="00246433" w:rsidRPr="007314B0">
                              <w:rPr>
                                <w:color w:val="000000" w:themeColor="text1"/>
                                <w:sz w:val="18"/>
                                <w:szCs w:val="18"/>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4CFB1" id="_x0000_s1029" type="#_x0000_t202" style="position:absolute;margin-left:11.25pt;margin-top:379.5pt;width:233.25pt;height:166.5pt;z-index:2516766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" fillcolor="#3cc" stroked="f">
                <v:textbox>
                  <w:txbxContent>
                    <w:p w14:paraId="5729CD2B" w14:textId="77777777" w:rsidR="00CD4480" w:rsidRPr="00CD4480" w:rsidRDefault="00CD4480" w:rsidP="00CD4480">
                      <w:pPr>
                        <w:jc w:val="center"/>
                        <w:rPr>
                          <w:color w:val="000000" w:themeColor="text1"/>
                          <w:sz w:val="18"/>
                          <w:szCs w:val="18"/>
                        </w:rPr>
                      </w:pPr>
                      <w:r w:rsidRPr="00CD4480">
                        <w:rPr>
                          <w:rFonts w:cstheme="minorHAnsi"/>
                          <w:sz w:val="18"/>
                          <w:szCs w:val="18"/>
                        </w:rPr>
                        <w:t xml:space="preserve">Si OUI, </w:t>
                      </w:r>
                      <w:r w:rsidRPr="00CD4480">
                        <w:rPr>
                          <w:color w:val="000000" w:themeColor="text1"/>
                          <w:sz w:val="18"/>
                          <w:szCs w:val="18"/>
                        </w:rPr>
                        <w:t xml:space="preserve">il est possible que les symptômes du patient soient dus à une AHI parce qu’il n’utilisait pas de méthode de prévention, ou ne l’utilisait pas efficacement, au moment de l’exposition potentielle au VIH. </w:t>
                      </w:r>
                    </w:p>
                    <w:p w14:paraId="28AEEE4C" w14:textId="5BABA270" w:rsidR="00CD4480" w:rsidRPr="00684091" w:rsidRDefault="00CD4480" w:rsidP="00CD4480">
                      <w:pPr>
                        <w:jc w:val="center"/>
                        <w:rPr>
                          <w:rFonts w:cstheme="minorHAnsi"/>
                          <w:sz w:val="18"/>
                          <w:szCs w:val="18"/>
                        </w:rPr>
                      </w:pPr>
                      <w:r w:rsidRPr="00CD4480">
                        <w:rPr>
                          <w:color w:val="000000" w:themeColor="text1"/>
                          <w:sz w:val="18"/>
                          <w:szCs w:val="18"/>
                        </w:rPr>
                        <w:t>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w:t>
                      </w:r>
                      <w:r>
                        <w:rPr>
                          <w:color w:val="000000" w:themeColor="text1"/>
                          <w:sz w:val="18"/>
                          <w:szCs w:val="18"/>
                        </w:rPr>
                        <w:t>.</w:t>
                      </w:r>
                      <w:r w:rsidR="00246433" w:rsidRPr="007314B0">
                        <w:rPr>
                          <w:color w:val="000000" w:themeColor="text1"/>
                          <w:sz w:val="18"/>
                          <w:szCs w:val="18"/>
                          <w:vertAlign w:val="superscript"/>
                        </w:rPr>
                        <w:t>3</w:t>
                      </w:r>
                    </w:p>
                  </w:txbxContent>
                </v:textbox>
                <w10:wrap anchorx="margin"/>
              </v:shape>
            </w:pict>
          </mc:Fallback>
        </mc:AlternateContent>
      </w:r>
      <w:r w:rsidR="00CD4480" w:rsidRPr="007314B0">
        <w:rPr>
          <w:b/>
          <w:noProof/>
        </w:rPr>
        <mc:AlternateContent>
          <mc:Choice Requires="wps">
            <w:drawing>
              <wp:anchor distT="45720" distB="45720" distL="114300" distR="114300" simplePos="0" relativeHeight="251660301" behindDoc="0" locked="0" layoutInCell="1" allowOverlap="1" wp14:anchorId="552695F4" wp14:editId="41A8EEF2">
                <wp:simplePos x="0" y="0"/>
                <wp:positionH relativeFrom="margin">
                  <wp:posOffset>2581275</wp:posOffset>
                </wp:positionH>
                <wp:positionV relativeFrom="paragraph">
                  <wp:posOffset>9525</wp:posOffset>
                </wp:positionV>
                <wp:extent cx="1276350" cy="571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71500"/>
                        </a:xfrm>
                        <a:prstGeom prst="rect">
                          <a:avLst/>
                        </a:prstGeom>
                        <a:solidFill>
                          <a:srgbClr val="33CCCC"/>
                        </a:solidFill>
                        <a:ln w="9525">
                          <a:noFill/>
                          <a:miter lim="800000"/>
                          <a:headEnd/>
                          <a:tailEnd/>
                        </a:ln>
                      </wps:spPr>
                      <wps:txbx>
                        <w:txbxContent>
                          <w:p w14:paraId="2FC52D3E" w14:textId="4C12EE1C" w:rsidR="00684091" w:rsidRPr="00684091" w:rsidRDefault="00684091" w:rsidP="00CD4480">
                            <w:pPr>
                              <w:jc w:val="center"/>
                              <w:rPr>
                                <w:rFonts w:cstheme="minorHAnsi"/>
                                <w:sz w:val="18"/>
                                <w:szCs w:val="18"/>
                              </w:rPr>
                            </w:pPr>
                            <w:r w:rsidRPr="00684091">
                              <w:rPr>
                                <w:rFonts w:cstheme="minorHAnsi"/>
                                <w:sz w:val="18"/>
                                <w:szCs w:val="18"/>
                              </w:rPr>
                              <w:t xml:space="preserve">Les résultats du test de dépistage du </w:t>
                            </w:r>
                            <w:r w:rsidR="00CD4480">
                              <w:rPr>
                                <w:rFonts w:cstheme="minorHAnsi"/>
                                <w:sz w:val="18"/>
                                <w:szCs w:val="18"/>
                              </w:rPr>
                              <w:t>patient</w:t>
                            </w:r>
                            <w:r w:rsidRPr="00684091">
                              <w:rPr>
                                <w:rFonts w:cstheme="minorHAnsi"/>
                                <w:sz w:val="18"/>
                                <w:szCs w:val="18"/>
                              </w:rPr>
                              <w:t xml:space="preserve"> sont-ils négatifs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695F4" id="_x0000_s1030" type="#_x0000_t202" style="position:absolute;margin-left:203.25pt;margin-top:.75pt;width:100.5pt;height:45pt;z-index:251660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" fillcolor="#3cc" stroked="f">
                <v:textbox>
                  <w:txbxContent>
                    <w:p w14:paraId="2FC52D3E" w14:textId="4C12EE1C" w:rsidR="00684091" w:rsidRPr="00684091" w:rsidRDefault="00684091" w:rsidP="00CD4480">
                      <w:pPr>
                        <w:jc w:val="center"/>
                        <w:rPr>
                          <w:rFonts w:cstheme="minorHAnsi"/>
                          <w:sz w:val="18"/>
                          <w:szCs w:val="18"/>
                        </w:rPr>
                      </w:pPr>
                      <w:r w:rsidRPr="00684091">
                        <w:rPr>
                          <w:rFonts w:cstheme="minorHAnsi"/>
                          <w:sz w:val="18"/>
                          <w:szCs w:val="18"/>
                        </w:rPr>
                        <w:t xml:space="preserve">Les résultats du test de dépistage du </w:t>
                      </w:r>
                      <w:r w:rsidR="00CD4480">
                        <w:rPr>
                          <w:rFonts w:cstheme="minorHAnsi"/>
                          <w:sz w:val="18"/>
                          <w:szCs w:val="18"/>
                        </w:rPr>
                        <w:t>patient</w:t>
                      </w:r>
                      <w:r w:rsidRPr="00684091">
                        <w:rPr>
                          <w:rFonts w:cstheme="minorHAnsi"/>
                          <w:sz w:val="18"/>
                          <w:szCs w:val="18"/>
                        </w:rPr>
                        <w:t xml:space="preserve"> sont-ils négatifs ?</w:t>
                      </w:r>
                    </w:p>
                  </w:txbxContent>
                </v:textbox>
                <w10:wrap anchorx="margin"/>
              </v:shape>
            </w:pict>
          </mc:Fallback>
        </mc:AlternateContent>
      </w:r>
      <w:r w:rsidR="002537C4" w:rsidRPr="007314B0">
        <w:rPr>
          <w:b/>
          <w:noProof/>
        </w:rPr>
        <mc:AlternateContent>
          <mc:Choice Requires="wps">
            <w:drawing>
              <wp:anchor distT="45720" distB="45720" distL="114300" distR="114300" simplePos="0" relativeHeight="251674637" behindDoc="0" locked="0" layoutInCell="1" allowOverlap="1" wp14:anchorId="447C9F2E" wp14:editId="4512367D">
                <wp:simplePos x="0" y="0"/>
                <wp:positionH relativeFrom="margin">
                  <wp:posOffset>4248150</wp:posOffset>
                </wp:positionH>
                <wp:positionV relativeFrom="paragraph">
                  <wp:posOffset>4827270</wp:posOffset>
                </wp:positionV>
                <wp:extent cx="1571625" cy="390525"/>
                <wp:effectExtent l="0" t="0" r="952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90525"/>
                        </a:xfrm>
                        <a:prstGeom prst="rect">
                          <a:avLst/>
                        </a:prstGeom>
                        <a:solidFill>
                          <a:srgbClr val="33CCCC"/>
                        </a:solidFill>
                        <a:ln w="9525">
                          <a:noFill/>
                          <a:miter lim="800000"/>
                          <a:headEnd/>
                          <a:tailEnd/>
                        </a:ln>
                      </wps:spPr>
                      <wps:txbx>
                        <w:txbxContent>
                          <w:p w14:paraId="48F1917D" w14:textId="77777777" w:rsidR="002537C4" w:rsidRPr="00684091" w:rsidRDefault="002537C4"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Pr>
                                <w:rFonts w:cstheme="minorHAnsi"/>
                                <w:sz w:val="18"/>
                                <w:szCs w:val="18"/>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9F2E" id="_x0000_s1031" type="#_x0000_t202" style="position:absolute;margin-left:334.5pt;margin-top:380.1pt;width:123.75pt;height:30.75pt;z-index:2516746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" fillcolor="#3cc" stroked="f">
                <v:textbox>
                  <w:txbxContent>
                    <w:p w14:paraId="48F1917D" w14:textId="77777777" w:rsidR="002537C4" w:rsidRPr="00684091" w:rsidRDefault="002537C4"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Pr>
                          <w:rFonts w:cstheme="minorHAnsi"/>
                          <w:sz w:val="18"/>
                          <w:szCs w:val="18"/>
                          <w:vertAlign w:val="superscript"/>
                        </w:rPr>
                        <w:t>2</w:t>
                      </w:r>
                    </w:p>
                  </w:txbxContent>
                </v:textbox>
                <w10:wrap anchorx="margin"/>
              </v:shape>
            </w:pict>
          </mc:Fallback>
        </mc:AlternateContent>
      </w:r>
      <w:r w:rsidR="00684091" w:rsidRPr="007314B0">
        <w:rPr>
          <w:b/>
          <w:noProof/>
        </w:rPr>
        <mc:AlternateContent>
          <mc:Choice Requires="wps">
            <w:drawing>
              <wp:anchor distT="45720" distB="45720" distL="114300" distR="114300" simplePos="0" relativeHeight="251672589" behindDoc="0" locked="0" layoutInCell="1" allowOverlap="1" wp14:anchorId="5F32FF59" wp14:editId="5C0FD0E5">
                <wp:simplePos x="0" y="0"/>
                <wp:positionH relativeFrom="margin">
                  <wp:posOffset>4419600</wp:posOffset>
                </wp:positionH>
                <wp:positionV relativeFrom="paragraph">
                  <wp:posOffset>2943225</wp:posOffset>
                </wp:positionV>
                <wp:extent cx="1571625" cy="3905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90525"/>
                        </a:xfrm>
                        <a:prstGeom prst="rect">
                          <a:avLst/>
                        </a:prstGeom>
                        <a:solidFill>
                          <a:srgbClr val="33CCCC"/>
                        </a:solidFill>
                        <a:ln w="9525">
                          <a:noFill/>
                          <a:miter lim="800000"/>
                          <a:headEnd/>
                          <a:tailEnd/>
                        </a:ln>
                      </wps:spPr>
                      <wps:txbx>
                        <w:txbxContent>
                          <w:p w14:paraId="3F6266DE" w14:textId="371D7E79"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sidR="00EA4466">
                              <w:rPr>
                                <w:rFonts w:cstheme="minorHAnsi"/>
                                <w:sz w:val="18"/>
                                <w:szCs w:val="18"/>
                              </w:rPr>
                              <w:t>.</w:t>
                            </w:r>
                            <w:r w:rsidR="00EA4466">
                              <w:rPr>
                                <w:rFonts w:cstheme="minorHAnsi"/>
                                <w:sz w:val="18"/>
                                <w:szCs w:val="18"/>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2FF59" id="_x0000_s1032" type="#_x0000_t202" style="position:absolute;margin-left:348pt;margin-top:231.75pt;width:123.75pt;height:30.75pt;z-index:2516725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" fillcolor="#3cc" stroked="f">
                <v:textbox>
                  <w:txbxContent>
                    <w:p w14:paraId="3F6266DE" w14:textId="371D7E79"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sidR="00EA4466">
                        <w:rPr>
                          <w:rFonts w:cstheme="minorHAnsi"/>
                          <w:sz w:val="18"/>
                          <w:szCs w:val="18"/>
                        </w:rPr>
                        <w:t>.</w:t>
                      </w:r>
                      <w:r w:rsidR="00EA4466">
                        <w:rPr>
                          <w:rFonts w:cstheme="minorHAnsi"/>
                          <w:sz w:val="18"/>
                          <w:szCs w:val="18"/>
                          <w:vertAlign w:val="superscript"/>
                        </w:rPr>
                        <w:t>2</w:t>
                      </w:r>
                    </w:p>
                  </w:txbxContent>
                </v:textbox>
                <w10:wrap anchorx="margin"/>
              </v:shape>
            </w:pict>
          </mc:Fallback>
        </mc:AlternateContent>
      </w:r>
      <w:r w:rsidR="00684091" w:rsidRPr="007314B0">
        <w:rPr>
          <w:b/>
          <w:noProof/>
        </w:rPr>
        <mc:AlternateContent>
          <mc:Choice Requires="wps">
            <w:drawing>
              <wp:anchor distT="45720" distB="45720" distL="114300" distR="114300" simplePos="0" relativeHeight="251670541" behindDoc="0" locked="0" layoutInCell="1" allowOverlap="1" wp14:anchorId="135EE63E" wp14:editId="32A00166">
                <wp:simplePos x="0" y="0"/>
                <wp:positionH relativeFrom="margin">
                  <wp:posOffset>1990725</wp:posOffset>
                </wp:positionH>
                <wp:positionV relativeFrom="paragraph">
                  <wp:posOffset>2952750</wp:posOffset>
                </wp:positionV>
                <wp:extent cx="1838325" cy="69532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95325"/>
                        </a:xfrm>
                        <a:prstGeom prst="rect">
                          <a:avLst/>
                        </a:prstGeom>
                        <a:solidFill>
                          <a:srgbClr val="33CCCC"/>
                        </a:solidFill>
                        <a:ln w="9525">
                          <a:noFill/>
                          <a:miter lim="800000"/>
                          <a:headEnd/>
                          <a:tailEnd/>
                        </a:ln>
                      </wps:spPr>
                      <wps:txbx>
                        <w:txbxContent>
                          <w:p w14:paraId="1CC44E58" w14:textId="0FA33D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w:t>
                            </w:r>
                            <w:r>
                              <w:rPr>
                                <w:rFonts w:cstheme="minorHAnsi"/>
                                <w:sz w:val="18"/>
                                <w:szCs w:val="18"/>
                              </w:rPr>
                              <w:t>14 jours avant le début des symptômes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EE63E" id="_x0000_s1033" type="#_x0000_t202" style="position:absolute;margin-left:156.75pt;margin-top:232.5pt;width:144.75pt;height:54.75pt;z-index:2516705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" fillcolor="#3cc" stroked="f">
                <v:textbox>
                  <w:txbxContent>
                    <w:p w14:paraId="1CC44E58" w14:textId="0FA33D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w:t>
                      </w:r>
                      <w:r>
                        <w:rPr>
                          <w:rFonts w:cstheme="minorHAnsi"/>
                          <w:sz w:val="18"/>
                          <w:szCs w:val="18"/>
                        </w:rPr>
                        <w:t>14 jours avant le début des symptômes ?</w:t>
                      </w:r>
                    </w:p>
                  </w:txbxContent>
                </v:textbox>
                <w10:wrap anchorx="margin"/>
              </v:shape>
            </w:pict>
          </mc:Fallback>
        </mc:AlternateContent>
      </w:r>
      <w:r w:rsidR="00684091" w:rsidRPr="007314B0">
        <w:rPr>
          <w:b/>
          <w:noProof/>
        </w:rPr>
        <mc:AlternateContent>
          <mc:Choice Requires="wps">
            <w:drawing>
              <wp:anchor distT="45720" distB="45720" distL="114300" distR="114300" simplePos="0" relativeHeight="251668493" behindDoc="0" locked="0" layoutInCell="1" allowOverlap="1" wp14:anchorId="7DEC39D1" wp14:editId="08AB0A48">
                <wp:simplePos x="0" y="0"/>
                <wp:positionH relativeFrom="page">
                  <wp:posOffset>3009900</wp:posOffset>
                </wp:positionH>
                <wp:positionV relativeFrom="paragraph">
                  <wp:posOffset>1943100</wp:posOffset>
                </wp:positionV>
                <wp:extent cx="2400300" cy="5619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61975"/>
                        </a:xfrm>
                        <a:prstGeom prst="rect">
                          <a:avLst/>
                        </a:prstGeom>
                        <a:solidFill>
                          <a:srgbClr val="33CCCC"/>
                        </a:solidFill>
                        <a:ln w="9525">
                          <a:noFill/>
                          <a:miter lim="800000"/>
                          <a:headEnd/>
                          <a:tailEnd/>
                        </a:ln>
                      </wps:spPr>
                      <wps:txbx>
                        <w:txbxContent>
                          <w:p w14:paraId="28994C14" w14:textId="04A8AB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w:t>
                            </w:r>
                            <w:r>
                              <w:rPr>
                                <w:rFonts w:cstheme="minorHAnsi"/>
                                <w:sz w:val="18"/>
                                <w:szCs w:val="18"/>
                              </w:rPr>
                              <w:t>une symptomatologie d’AHI ou a-t-il eu des symptômes d’AHI au cours des 14 derniers jours ?</w:t>
                            </w:r>
                            <w:r>
                              <w:rPr>
                                <w:rFonts w:cstheme="minorHAnsi"/>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39D1" id="_x0000_s1034" type="#_x0000_t202" style="position:absolute;margin-left:237pt;margin-top:153pt;width:189pt;height:44.25pt;z-index:2516684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" fillcolor="#3cc" stroked="f">
                <v:textbox>
                  <w:txbxContent>
                    <w:p w14:paraId="28994C14" w14:textId="04A8AB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w:t>
                      </w:r>
                      <w:r>
                        <w:rPr>
                          <w:rFonts w:cstheme="minorHAnsi"/>
                          <w:sz w:val="18"/>
                          <w:szCs w:val="18"/>
                        </w:rPr>
                        <w:t>une symptomatologie d’AHI ou a-t-il eu des symptômes d’AHI au cours des 14 derniers jours ?</w:t>
                      </w:r>
                      <w:r>
                        <w:rPr>
                          <w:rFonts w:cstheme="minorHAnsi"/>
                          <w:sz w:val="18"/>
                          <w:szCs w:val="18"/>
                          <w:vertAlign w:val="superscript"/>
                        </w:rPr>
                        <w:t>1</w:t>
                      </w:r>
                    </w:p>
                  </w:txbxContent>
                </v:textbox>
                <w10:wrap anchorx="page"/>
              </v:shape>
            </w:pict>
          </mc:Fallback>
        </mc:AlternateContent>
      </w:r>
      <w:r w:rsidR="00684091" w:rsidRPr="007314B0">
        <w:rPr>
          <w:b/>
          <w:noProof/>
        </w:rPr>
        <mc:AlternateContent>
          <mc:Choice Requires="wps">
            <w:drawing>
              <wp:anchor distT="45720" distB="45720" distL="114300" distR="114300" simplePos="0" relativeHeight="251664397" behindDoc="0" locked="0" layoutInCell="1" allowOverlap="1" wp14:anchorId="729C5FA3" wp14:editId="718268EF">
                <wp:simplePos x="0" y="0"/>
                <wp:positionH relativeFrom="margin">
                  <wp:posOffset>4143375</wp:posOffset>
                </wp:positionH>
                <wp:positionV relativeFrom="paragraph">
                  <wp:posOffset>1007745</wp:posOffset>
                </wp:positionV>
                <wp:extent cx="1819275" cy="5810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1025"/>
                        </a:xfrm>
                        <a:prstGeom prst="rect">
                          <a:avLst/>
                        </a:prstGeom>
                        <a:solidFill>
                          <a:srgbClr val="33CCCC"/>
                        </a:solidFill>
                        <a:ln w="9525">
                          <a:noFill/>
                          <a:miter lim="800000"/>
                          <a:headEnd/>
                          <a:tailEnd/>
                        </a:ln>
                      </wps:spPr>
                      <wps:txbx>
                        <w:txbxContent>
                          <w:p w14:paraId="5358154C" w14:textId="1AF39119" w:rsidR="00684091" w:rsidRPr="00684091" w:rsidRDefault="00684091" w:rsidP="00CD4480">
                            <w:pPr>
                              <w:jc w:val="center"/>
                              <w:rPr>
                                <w:rFonts w:cstheme="minorHAnsi"/>
                                <w:sz w:val="18"/>
                                <w:szCs w:val="18"/>
                              </w:rPr>
                            </w:pPr>
                            <w:r w:rsidRPr="00684091">
                              <w:rPr>
                                <w:rFonts w:cstheme="minorHAnsi"/>
                                <w:sz w:val="18"/>
                                <w:szCs w:val="18"/>
                              </w:rPr>
                              <w:t>Si</w:t>
                            </w:r>
                            <w:r>
                              <w:rPr>
                                <w:rFonts w:cstheme="minorHAnsi"/>
                                <w:sz w:val="18"/>
                                <w:szCs w:val="18"/>
                              </w:rPr>
                              <w:t xml:space="preserve"> NON</w:t>
                            </w:r>
                            <w:r w:rsidRPr="00684091">
                              <w:rPr>
                                <w:rFonts w:cstheme="minorHAnsi"/>
                                <w:sz w:val="18"/>
                                <w:szCs w:val="18"/>
                              </w:rPr>
                              <w:t xml:space="preserve">, </w:t>
                            </w:r>
                            <w:r>
                              <w:rPr>
                                <w:rFonts w:cstheme="minorHAnsi"/>
                                <w:sz w:val="18"/>
                                <w:szCs w:val="18"/>
                              </w:rPr>
                              <w:t xml:space="preserve">orienter </w:t>
                            </w:r>
                            <w:r w:rsidRPr="00684091">
                              <w:rPr>
                                <w:rFonts w:cstheme="minorHAnsi"/>
                                <w:sz w:val="18"/>
                                <w:szCs w:val="18"/>
                              </w:rPr>
                              <w:t xml:space="preserve">le </w:t>
                            </w:r>
                            <w:r w:rsidR="00CD4480">
                              <w:rPr>
                                <w:rFonts w:cstheme="minorHAnsi"/>
                                <w:sz w:val="18"/>
                                <w:szCs w:val="18"/>
                              </w:rPr>
                              <w:t>patient</w:t>
                            </w:r>
                            <w:r w:rsidRPr="00684091">
                              <w:rPr>
                                <w:rFonts w:cstheme="minorHAnsi"/>
                                <w:sz w:val="18"/>
                                <w:szCs w:val="18"/>
                              </w:rPr>
                              <w:t xml:space="preserve"> </w:t>
                            </w:r>
                            <w:r>
                              <w:rPr>
                                <w:rFonts w:cstheme="minorHAnsi"/>
                                <w:sz w:val="18"/>
                                <w:szCs w:val="18"/>
                              </w:rPr>
                              <w:t>vers un test de confirmation et un traitement contre le VIH.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C5FA3" id="_x0000_s1035" type="#_x0000_t202" style="position:absolute;margin-left:326.25pt;margin-top:79.35pt;width:143.25pt;height:45.75pt;z-index:2516643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" fillcolor="#3cc" stroked="f">
                <v:textbox>
                  <w:txbxContent>
                    <w:p w14:paraId="5358154C" w14:textId="1AF39119" w:rsidR="00684091" w:rsidRPr="00684091" w:rsidRDefault="00684091" w:rsidP="00CD4480">
                      <w:pPr>
                        <w:jc w:val="center"/>
                        <w:rPr>
                          <w:rFonts w:cstheme="minorHAnsi"/>
                          <w:sz w:val="18"/>
                          <w:szCs w:val="18"/>
                        </w:rPr>
                      </w:pPr>
                      <w:r w:rsidRPr="00684091">
                        <w:rPr>
                          <w:rFonts w:cstheme="minorHAnsi"/>
                          <w:sz w:val="18"/>
                          <w:szCs w:val="18"/>
                        </w:rPr>
                        <w:t>Si</w:t>
                      </w:r>
                      <w:r>
                        <w:rPr>
                          <w:rFonts w:cstheme="minorHAnsi"/>
                          <w:sz w:val="18"/>
                          <w:szCs w:val="18"/>
                        </w:rPr>
                        <w:t xml:space="preserve"> NON</w:t>
                      </w:r>
                      <w:r w:rsidRPr="00684091">
                        <w:rPr>
                          <w:rFonts w:cstheme="minorHAnsi"/>
                          <w:sz w:val="18"/>
                          <w:szCs w:val="18"/>
                        </w:rPr>
                        <w:t xml:space="preserve">, </w:t>
                      </w:r>
                      <w:r>
                        <w:rPr>
                          <w:rFonts w:cstheme="minorHAnsi"/>
                          <w:sz w:val="18"/>
                          <w:szCs w:val="18"/>
                        </w:rPr>
                        <w:t xml:space="preserve">orienter </w:t>
                      </w:r>
                      <w:r w:rsidRPr="00684091">
                        <w:rPr>
                          <w:rFonts w:cstheme="minorHAnsi"/>
                          <w:sz w:val="18"/>
                          <w:szCs w:val="18"/>
                        </w:rPr>
                        <w:t xml:space="preserve">le </w:t>
                      </w:r>
                      <w:r w:rsidR="00CD4480">
                        <w:rPr>
                          <w:rFonts w:cstheme="minorHAnsi"/>
                          <w:sz w:val="18"/>
                          <w:szCs w:val="18"/>
                        </w:rPr>
                        <w:t>patient</w:t>
                      </w:r>
                      <w:r w:rsidRPr="00684091">
                        <w:rPr>
                          <w:rFonts w:cstheme="minorHAnsi"/>
                          <w:sz w:val="18"/>
                          <w:szCs w:val="18"/>
                        </w:rPr>
                        <w:t xml:space="preserve"> </w:t>
                      </w:r>
                      <w:r>
                        <w:rPr>
                          <w:rFonts w:cstheme="minorHAnsi"/>
                          <w:sz w:val="18"/>
                          <w:szCs w:val="18"/>
                        </w:rPr>
                        <w:t>vers un test de confirmation et un traitement contre le VIH.</w:t>
                      </w:r>
                    </w:p>
                  </w:txbxContent>
                </v:textbox>
                <w10:wrap anchorx="margin"/>
              </v:shape>
            </w:pict>
          </mc:Fallback>
        </mc:AlternateContent>
      </w:r>
      <w:r w:rsidR="00684091" w:rsidRPr="007314B0">
        <w:rPr>
          <w:b/>
          <w:noProof/>
        </w:rPr>
        <mc:AlternateContent>
          <mc:Choice Requires="wps">
            <w:drawing>
              <wp:anchor distT="45720" distB="45720" distL="114300" distR="114300" simplePos="0" relativeHeight="251662349" behindDoc="0" locked="0" layoutInCell="1" allowOverlap="1" wp14:anchorId="1899ADA9" wp14:editId="7034544E">
                <wp:simplePos x="0" y="0"/>
                <wp:positionH relativeFrom="margin">
                  <wp:posOffset>1000125</wp:posOffset>
                </wp:positionH>
                <wp:positionV relativeFrom="paragraph">
                  <wp:posOffset>1000125</wp:posOffset>
                </wp:positionV>
                <wp:extent cx="1819275" cy="5810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1025"/>
                        </a:xfrm>
                        <a:prstGeom prst="rect">
                          <a:avLst/>
                        </a:prstGeom>
                        <a:solidFill>
                          <a:srgbClr val="33CCCC"/>
                        </a:solidFill>
                        <a:ln w="9525">
                          <a:noFill/>
                          <a:miter lim="800000"/>
                          <a:headEnd/>
                          <a:tailEnd/>
                        </a:ln>
                      </wps:spPr>
                      <wps:txbx>
                        <w:txbxContent>
                          <w:p w14:paraId="32FE1BC2" w14:textId="37753C3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dernières 72 heures</w:t>
                            </w:r>
                            <w:r>
                              <w:rPr>
                                <w:rFonts w:cstheme="minorHAnsi"/>
                                <w:sz w:val="18"/>
                                <w:szCs w:val="18"/>
                              </w:rPr>
                              <w:t> ?</w:t>
                            </w:r>
                            <w:r w:rsidRPr="00684091">
                              <w:rPr>
                                <w:rFonts w:cstheme="minorHAnsi"/>
                                <w:sz w:val="18"/>
                                <w:szCs w:val="18"/>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ADA9" id="_x0000_s1036" type="#_x0000_t202" style="position:absolute;margin-left:78.75pt;margin-top:78.75pt;width:143.25pt;height:45.75pt;z-index:2516623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" fillcolor="#3cc" stroked="f">
                <v:textbox>
                  <w:txbxContent>
                    <w:p w14:paraId="32FE1BC2" w14:textId="37753C3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dernières 72 heures</w:t>
                      </w:r>
                      <w:r>
                        <w:rPr>
                          <w:rFonts w:cstheme="minorHAnsi"/>
                          <w:sz w:val="18"/>
                          <w:szCs w:val="18"/>
                        </w:rPr>
                        <w:t> ?</w:t>
                      </w:r>
                      <w:r w:rsidRPr="00684091">
                        <w:rPr>
                          <w:rFonts w:cstheme="minorHAnsi"/>
                          <w:sz w:val="18"/>
                          <w:szCs w:val="18"/>
                          <w:vertAlign w:val="superscript"/>
                        </w:rPr>
                        <w:t>0</w:t>
                      </w:r>
                    </w:p>
                  </w:txbxContent>
                </v:textbox>
                <w10:wrap anchorx="margin"/>
              </v:shape>
            </w:pict>
          </mc:Fallback>
        </mc:AlternateContent>
      </w:r>
      <w:r w:rsidR="007125FC" w:rsidRPr="007314B0">
        <w:rPr>
          <w:b/>
          <w:noProof/>
        </w:rPr>
        <w:drawing>
          <wp:inline distT="0" distB="0" distL="0" distR="0" wp14:anchorId="2CB56593" wp14:editId="0D8D9AE6">
            <wp:extent cx="5975330" cy="6972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330" cy="6972300"/>
                    </a:xfrm>
                    <a:prstGeom prst="rect">
                      <a:avLst/>
                    </a:prstGeom>
                    <a:noFill/>
                  </pic:spPr>
                </pic:pic>
              </a:graphicData>
            </a:graphic>
          </wp:inline>
        </w:drawing>
      </w:r>
    </w:p>
    <w:p w14:paraId="5BB47CFB" w14:textId="47226132" w:rsidR="00202AC4" w:rsidRPr="007314B0" w:rsidRDefault="00202AC4" w:rsidP="00202AC4">
      <w:pPr>
        <w:spacing w:after="120"/>
        <w:rPr>
          <w:rFonts w:cstheme="minorHAnsi"/>
          <w:color w:val="000000"/>
          <w:sz w:val="20"/>
          <w:szCs w:val="20"/>
        </w:rPr>
      </w:pPr>
      <w:bookmarkStart w:id="45" w:name="_heading=h.2s8eyo1"/>
      <w:bookmarkEnd w:id="45"/>
      <w:r w:rsidRPr="007314B0">
        <w:rPr>
          <w:rFonts w:hAnsi="Calibri"/>
          <w:b/>
          <w:color w:val="000000" w:themeColor="text1"/>
          <w:sz w:val="20"/>
          <w:szCs w:val="20"/>
          <w:vertAlign w:val="superscript"/>
        </w:rPr>
        <w:t xml:space="preserve"> </w:t>
      </w:r>
      <w:r w:rsidRPr="007314B0">
        <w:rPr>
          <w:b/>
          <w:bCs/>
          <w:color w:val="000000"/>
          <w:sz w:val="20"/>
          <w:szCs w:val="20"/>
          <w:vertAlign w:val="superscript"/>
        </w:rPr>
        <w:t>0</w:t>
      </w:r>
      <w:r w:rsidRPr="007314B0">
        <w:rPr>
          <w:color w:val="000000"/>
          <w:sz w:val="20"/>
          <w:szCs w:val="20"/>
        </w:rPr>
        <w:t xml:space="preserve"> </w:t>
      </w:r>
      <w:r w:rsidRPr="007314B0">
        <w:rPr>
          <w:sz w:val="20"/>
          <w:szCs w:val="20"/>
        </w:rPr>
        <w:t xml:space="preserve">Une réponse </w:t>
      </w:r>
      <w:r w:rsidRPr="007314B0">
        <w:rPr>
          <w:color w:val="000000"/>
          <w:sz w:val="20"/>
          <w:szCs w:val="20"/>
        </w:rPr>
        <w:t>« NON » à cette question signifie qu’il n’y a aucune exposition potentielle passée au VIH ou que l’exposition potentielle au VIH remonte à plus de 73 heures.</w:t>
      </w:r>
    </w:p>
    <w:p w14:paraId="362B8845" w14:textId="087D183C" w:rsidR="00202AC4" w:rsidRPr="007314B0" w:rsidRDefault="00202AC4" w:rsidP="00202AC4">
      <w:pPr>
        <w:spacing w:after="120" w:line="240" w:lineRule="auto"/>
        <w:rPr>
          <w:rFonts w:cstheme="minorHAnsi"/>
          <w:color w:val="000000"/>
          <w:sz w:val="20"/>
          <w:szCs w:val="20"/>
        </w:rPr>
      </w:pPr>
      <w:r w:rsidRPr="007314B0">
        <w:rPr>
          <w:color w:val="000000"/>
          <w:sz w:val="20"/>
          <w:szCs w:val="20"/>
          <w:vertAlign w:val="superscript"/>
        </w:rPr>
        <w:t xml:space="preserve">1 </w:t>
      </w:r>
      <w:r w:rsidRPr="007314B0">
        <w:rPr>
          <w:color w:val="000000"/>
          <w:sz w:val="20"/>
          <w:szCs w:val="20"/>
        </w:rPr>
        <w:t>Deux tiers des personnes présenteront des symptômes d’AHI dans les 2 à 4 semaines après avoir contracté le VIH (</w:t>
      </w:r>
      <w:hyperlink r:id="rId36" w:history="1">
        <w:r w:rsidRPr="007314B0">
          <w:rPr>
            <w:rStyle w:val="Hyperlink"/>
            <w:sz w:val="20"/>
            <w:szCs w:val="20"/>
          </w:rPr>
          <w:t>Letizia et al.</w:t>
        </w:r>
      </w:hyperlink>
      <w:hyperlink r:id="rId37" w:history="1">
        <w:r w:rsidRPr="007314B0">
          <w:rPr>
            <w:rStyle w:val="Hyperlink"/>
            <w:sz w:val="20"/>
            <w:szCs w:val="20"/>
          </w:rPr>
          <w:t xml:space="preserve"> 2022</w:t>
        </w:r>
      </w:hyperlink>
      <w:r w:rsidRPr="007314B0">
        <w:rPr>
          <w:color w:val="000000"/>
          <w:sz w:val="20"/>
          <w:szCs w:val="20"/>
        </w:rPr>
        <w:t xml:space="preserve">). Les signes et symptômes qui imitent une infection aiguë par le VIH (maux de gorge, fièvre, sueurs, ganglions gonflés, lésions buccales, maux de tête, éruptions cutanées, douleurs musculaires) sont généralement dus à des maladies autres que le VIH ; les prestataires doivent faire preuve de discernement pour déterminer si la symptomatologie </w:t>
      </w:r>
      <w:r w:rsidR="00C96671" w:rsidRPr="007314B0">
        <w:rPr>
          <w:color w:val="000000"/>
          <w:sz w:val="20"/>
          <w:szCs w:val="20"/>
        </w:rPr>
        <w:t>correspond au</w:t>
      </w:r>
      <w:r w:rsidRPr="007314B0">
        <w:rPr>
          <w:color w:val="000000"/>
          <w:sz w:val="20"/>
          <w:szCs w:val="20"/>
        </w:rPr>
        <w:t xml:space="preserve"> VIH ou si une autre cause peut l’expliquer. </w:t>
      </w:r>
    </w:p>
    <w:p w14:paraId="58EE98EC" w14:textId="3940960D" w:rsidR="0072409C" w:rsidRPr="007314B0" w:rsidRDefault="00202AC4" w:rsidP="00205482">
      <w:pPr>
        <w:spacing w:after="120" w:line="240" w:lineRule="auto"/>
        <w:rPr>
          <w:color w:val="000000"/>
          <w:sz w:val="20"/>
          <w:szCs w:val="20"/>
        </w:rPr>
      </w:pPr>
      <w:r w:rsidRPr="007314B0">
        <w:rPr>
          <w:color w:val="000000"/>
          <w:sz w:val="20"/>
          <w:szCs w:val="20"/>
          <w:vertAlign w:val="superscript"/>
        </w:rPr>
        <w:lastRenderedPageBreak/>
        <w:t xml:space="preserve">2 </w:t>
      </w:r>
      <w:r w:rsidRPr="007314B0">
        <w:rPr>
          <w:color w:val="000000"/>
          <w:sz w:val="20"/>
          <w:szCs w:val="20"/>
        </w:rPr>
        <w:t xml:space="preserve">Pour pouvoir faire un choix éclairé avant de commencer la PrEP, le patient doit savoir que les tests de dépistage du VIH disponibles risquent de ne pas permettre de détecter le VIH si le patient a contracté le virus moins de 28 jours plus tôt et qu’il est possible que le test de dépistage ne permette pas de détecter le virus s’il a été contracté il y a plus de 28 jours. Le patient doit également être informé que même s’il ne présente pas de symptômes d’AHI, il est possible qu’il soit </w:t>
      </w:r>
      <w:r w:rsidR="00DF3220" w:rsidRPr="007314B0">
        <w:rPr>
          <w:color w:val="000000"/>
          <w:sz w:val="20"/>
          <w:szCs w:val="20"/>
        </w:rPr>
        <w:t>présymptomatique</w:t>
      </w:r>
      <w:r w:rsidRPr="007314B0">
        <w:rPr>
          <w:color w:val="000000"/>
          <w:sz w:val="20"/>
          <w:szCs w:val="20"/>
        </w:rPr>
        <w:t xml:space="preserve"> ou qu’il fasse partie du tiers des personnes qui ne développent pas de symptômes d’AHI dans les 2 à 4 semaines après avoir contracté le VIH.</w:t>
      </w:r>
      <w:r w:rsidR="00EA5BCB" w:rsidRPr="007314B0">
        <w:rPr>
          <w:color w:val="000000"/>
          <w:sz w:val="20"/>
          <w:szCs w:val="20"/>
        </w:rPr>
        <w:t xml:space="preserve"> </w:t>
      </w:r>
    </w:p>
    <w:p w14:paraId="4D001FE5" w14:textId="2230265D" w:rsidR="00246433" w:rsidRPr="007314B0" w:rsidRDefault="00246433" w:rsidP="00205482">
      <w:pPr>
        <w:spacing w:after="120" w:line="240" w:lineRule="auto"/>
        <w:rPr>
          <w:b/>
          <w:color w:val="000000" w:themeColor="text1"/>
          <w:u w:val="single"/>
        </w:rPr>
      </w:pPr>
      <w:r w:rsidRPr="007314B0">
        <w:rPr>
          <w:color w:val="000000"/>
          <w:sz w:val="20"/>
          <w:szCs w:val="20"/>
          <w:vertAlign w:val="superscript"/>
        </w:rPr>
        <w:t>3</w:t>
      </w:r>
      <w:r w:rsidR="005A7B76" w:rsidRPr="007314B0">
        <w:t xml:space="preserve"> </w:t>
      </w:r>
      <w:r w:rsidR="005A7B76" w:rsidRPr="007314B0">
        <w:rPr>
          <w:rFonts w:cstheme="minorHAnsi"/>
          <w:color w:val="000000"/>
          <w:sz w:val="20"/>
          <w:szCs w:val="20"/>
        </w:rPr>
        <w:t xml:space="preserve">Un éventuel AHI ne constitue pas une contre-indication à l’utilisation de l’anneau PrEP. Si une IAH est suspectée, encouragez fortement la personne à revenir dans 4 à 6 semaines pour un nouveau test et à ne pas attendre ou 3 </w:t>
      </w:r>
      <w:proofErr w:type="gramStart"/>
      <w:r w:rsidR="005A7B76" w:rsidRPr="007314B0">
        <w:rPr>
          <w:rFonts w:cstheme="minorHAnsi"/>
          <w:color w:val="000000"/>
          <w:sz w:val="20"/>
          <w:szCs w:val="20"/>
        </w:rPr>
        <w:t>mois.</w:t>
      </w:r>
      <w:r w:rsidR="0007336F" w:rsidRPr="007314B0">
        <w:rPr>
          <w:rFonts w:cstheme="minorHAnsi"/>
          <w:color w:val="000000"/>
          <w:sz w:val="20"/>
          <w:szCs w:val="20"/>
        </w:rPr>
        <w:t>.</w:t>
      </w:r>
      <w:proofErr w:type="gramEnd"/>
    </w:p>
    <w:p w14:paraId="3CB43B0D" w14:textId="2329DFCC" w:rsidR="00CE3BE4" w:rsidRPr="007314B0" w:rsidRDefault="007C3730" w:rsidP="00B25741">
      <w:pPr>
        <w:rPr>
          <w:b/>
          <w:color w:val="000000"/>
          <w:u w:val="single"/>
        </w:rPr>
      </w:pPr>
      <w:r w:rsidRPr="007314B0">
        <w:br w:type="page"/>
      </w:r>
      <w:r w:rsidRPr="007314B0">
        <w:rPr>
          <w:b/>
          <w:color w:val="000000" w:themeColor="text1"/>
          <w:u w:val="single"/>
        </w:rPr>
        <w:lastRenderedPageBreak/>
        <w:t xml:space="preserve">Évaluer la demande de PrEP du patient ou s’il peut tirer profit de la PrEP </w:t>
      </w:r>
    </w:p>
    <w:p w14:paraId="46D72E3D" w14:textId="556D0834" w:rsidR="201D5C4B" w:rsidRPr="007314B0" w:rsidRDefault="00CE3BE4" w:rsidP="201D5C4B">
      <w:pPr>
        <w:pStyle w:val="ListParagraph"/>
        <w:numPr>
          <w:ilvl w:val="0"/>
          <w:numId w:val="2"/>
        </w:numPr>
        <w:spacing w:after="120" w:line="240" w:lineRule="auto"/>
        <w:rPr>
          <w:i/>
          <w:iCs/>
          <w:color w:val="000000" w:themeColor="text1"/>
          <w:u w:val="single"/>
        </w:rPr>
      </w:pPr>
      <w:r w:rsidRPr="007314B0">
        <w:rPr>
          <w:b/>
          <w:color w:val="000000" w:themeColor="text1"/>
        </w:rPr>
        <w:t>Demande du patient :</w:t>
      </w:r>
      <w:r w:rsidR="006070AD" w:rsidRPr="007314B0">
        <w:t xml:space="preserve"> </w:t>
      </w:r>
      <w:r w:rsidR="006070AD" w:rsidRPr="007314B0">
        <w:rPr>
          <w:color w:val="000000" w:themeColor="text1"/>
        </w:rPr>
        <w:t>Les clients qui demandent la PrEP doivent recevoir des conseils et se voir proposer la PrEP si le VIH a été exclu dans la mesure du possible par le dépistage du VIH et les évaluations de la PPE et de l'IAH, et s'ils ne présentent aucune contre-indication à l'utilisation de la méthode PrEP qu'ils ont choisie</w:t>
      </w:r>
      <w:r w:rsidRPr="007314B0">
        <w:rPr>
          <w:color w:val="000000" w:themeColor="text1"/>
        </w:rPr>
        <w:t xml:space="preserve">. Ils ne devraient pas avoir à justifier ou </w:t>
      </w:r>
      <w:r w:rsidR="00C96671" w:rsidRPr="007314B0">
        <w:rPr>
          <w:color w:val="000000" w:themeColor="text1"/>
        </w:rPr>
        <w:t xml:space="preserve">à </w:t>
      </w:r>
      <w:r w:rsidRPr="007314B0">
        <w:rPr>
          <w:color w:val="000000" w:themeColor="text1"/>
        </w:rPr>
        <w:t xml:space="preserve">expliquer leur demande en détail. </w:t>
      </w:r>
      <w:r w:rsidRPr="007314B0">
        <w:rPr>
          <w:i/>
          <w:color w:val="000000" w:themeColor="text1"/>
        </w:rPr>
        <w:t>Il a été démontré que le fait de demander la PrEP indique que le patient en a besoin.</w:t>
      </w:r>
    </w:p>
    <w:p w14:paraId="215F5428" w14:textId="3DF42562" w:rsidR="00CE3BE4" w:rsidRPr="007314B0" w:rsidRDefault="78D37C42" w:rsidP="00B25741">
      <w:pPr>
        <w:numPr>
          <w:ilvl w:val="0"/>
          <w:numId w:val="2"/>
        </w:numPr>
        <w:pBdr>
          <w:top w:val="nil"/>
          <w:left w:val="nil"/>
          <w:bottom w:val="nil"/>
          <w:right w:val="nil"/>
          <w:between w:val="nil"/>
        </w:pBdr>
        <w:spacing w:after="120" w:line="240" w:lineRule="auto"/>
        <w:rPr>
          <w:color w:val="000000"/>
        </w:rPr>
      </w:pPr>
      <w:r w:rsidRPr="007314B0">
        <w:rPr>
          <w:b/>
          <w:bCs/>
          <w:color w:val="000000" w:themeColor="text1"/>
        </w:rPr>
        <w:t>Patients qui pourraient tirer profit de la PrEP :</w:t>
      </w:r>
      <w:r w:rsidRPr="007314B0">
        <w:rPr>
          <w:color w:val="000000" w:themeColor="text1"/>
        </w:rPr>
        <w:t xml:space="preserve">  Si un patient ne demande pas la PrEP, le prestataire peut devoir engager une conversation sur les comportements qui peuvent indiquer que le patient pourrait tirer profit de la PrEP. Tout outil utilisé dans le cadre du counseling pour l’initiation et la poursuite de la PrEP doit aider les patients à comprendre quelles sont leurs probabilités d’exposition au VIH, inciter à discuter des méthodes de PrEP disponibles ou d’autres stratégies de prévention du VIH, et aider à la prise de décision. Ces outils ne doivent pas être utilisés pour rationner la PrEP ou pour déterminer l’éligibilité d’un patient et ils ne sont pas obligatoires. </w:t>
      </w:r>
      <w:r w:rsidRPr="007314B0">
        <w:t>Des mesures épidémiologiques telles que l’incidence du VIH au niveau de la population peuvent aider à cibler les programmes mais ne doivent pas être utilisées comme critères d’accès à la PrEP.</w:t>
      </w:r>
      <w:r w:rsidRPr="007314B0">
        <w:rPr>
          <w:color w:val="000000" w:themeColor="text1"/>
        </w:rPr>
        <w:t xml:space="preserve"> Les patients qui mentionnent l’une des caractéristiques suivantes pourraient probablement tirer profit de la PrEP :</w:t>
      </w:r>
    </w:p>
    <w:p w14:paraId="612C3807" w14:textId="77777777" w:rsidR="00CE3BE4" w:rsidRPr="007314B0"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Relations sexuelles vaginales ou anales sans préservatif avec : </w:t>
      </w:r>
    </w:p>
    <w:p w14:paraId="786E58E7" w14:textId="36D5835E" w:rsidR="00CE3BE4" w:rsidRPr="007314B0"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7314B0">
        <w:rPr>
          <w:color w:val="000000"/>
        </w:rPr>
        <w:t>Plusieurs partenaires</w:t>
      </w:r>
      <w:r w:rsidR="008E29DF" w:rsidRPr="007314B0">
        <w:rPr>
          <w:color w:val="000000"/>
        </w:rPr>
        <w:t> </w:t>
      </w:r>
    </w:p>
    <w:p w14:paraId="3C55997E" w14:textId="381D8018" w:rsidR="00CE3BE4" w:rsidRPr="007314B0"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7314B0">
        <w:rPr>
          <w:color w:val="000000"/>
        </w:rPr>
        <w:t>Un partenaire potentiellement exposé au VIH</w:t>
      </w:r>
    </w:p>
    <w:p w14:paraId="39C8A95D" w14:textId="5EC7F57A" w:rsidR="00C6578B" w:rsidRPr="007314B0" w:rsidRDefault="00A14E5A" w:rsidP="00B25741">
      <w:pPr>
        <w:pStyle w:val="ListParagraph"/>
        <w:numPr>
          <w:ilvl w:val="3"/>
          <w:numId w:val="44"/>
        </w:numPr>
        <w:spacing w:after="120" w:line="240" w:lineRule="auto"/>
        <w:rPr>
          <w:color w:val="000000"/>
        </w:rPr>
      </w:pPr>
      <w:r w:rsidRPr="007314B0">
        <w:rPr>
          <w:color w:val="000000" w:themeColor="text1"/>
        </w:rPr>
        <w:t>Certains patients peuvent être exposés au VIH par l’intermédiaire d’un partenaire potentiellement exposé en raison de certaines pratiques sexuelles ou d’injection. Il peut être particulièrement important d’analyser les expositions potentielles au VIH des partenaires sexuels du patient, notamment pour les adolescentes et les jeunes femmes, les personnes dont les partenaires sexuels font partie de populations clés, les femmes enceintes et celles qui allaitent.</w:t>
      </w:r>
    </w:p>
    <w:p w14:paraId="3AEE4F1D" w14:textId="75669C14" w:rsidR="00CE3BE4" w:rsidRPr="007314B0" w:rsidRDefault="00CE3BE4" w:rsidP="00B25741">
      <w:pPr>
        <w:numPr>
          <w:ilvl w:val="3"/>
          <w:numId w:val="44"/>
        </w:numPr>
        <w:pBdr>
          <w:top w:val="nil"/>
          <w:left w:val="nil"/>
          <w:bottom w:val="nil"/>
          <w:right w:val="nil"/>
          <w:between w:val="nil"/>
        </w:pBdr>
        <w:spacing w:after="120" w:line="240" w:lineRule="auto"/>
        <w:rPr>
          <w:rFonts w:cstheme="minorHAnsi"/>
          <w:color w:val="000000"/>
        </w:rPr>
      </w:pPr>
      <w:r w:rsidRPr="007314B0">
        <w:rPr>
          <w:color w:val="000000"/>
        </w:rPr>
        <w:t>Un partenaire vivant avec le VIH qui ne suit pas un traitement efficace contre le VIH (sous traitement antirétroviral depuis moins de six mois ou dont l’adhésion est irrégulière ou inconnue)</w:t>
      </w:r>
    </w:p>
    <w:p w14:paraId="635DEB4B" w14:textId="7C7EA59F" w:rsidR="00CE3BE4" w:rsidRPr="007314B0"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Avoir une IST (sur la base d’un test de laboratoire, d’un traitement syndromique des IST ou d’une déclaration personnelle)</w:t>
      </w:r>
    </w:p>
    <w:p w14:paraId="25187B55" w14:textId="2AF03200" w:rsidR="00CE3BE4" w:rsidRPr="007314B0" w:rsidRDefault="000C02E6"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 xml:space="preserve">Utilisation récente ou actuelle de la </w:t>
      </w:r>
      <w:r w:rsidR="00404EB6" w:rsidRPr="007314B0">
        <w:rPr>
          <w:color w:val="000000"/>
        </w:rPr>
        <w:t>PPE</w:t>
      </w:r>
      <w:r w:rsidRPr="007314B0">
        <w:rPr>
          <w:color w:val="000000"/>
        </w:rPr>
        <w:t xml:space="preserve"> </w:t>
      </w:r>
    </w:p>
    <w:p w14:paraId="33B5483A" w14:textId="5BBAE1AC" w:rsidR="00444D3A" w:rsidRPr="007314B0"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 xml:space="preserve">Partage de matériel d’injection et/ou d’équipement </w:t>
      </w:r>
    </w:p>
    <w:p w14:paraId="6EE8A839" w14:textId="599DE0A3" w:rsidR="00CE3BE4" w:rsidRPr="007314B0" w:rsidRDefault="00CE3BE4" w:rsidP="00DD508F">
      <w:pPr>
        <w:pBdr>
          <w:top w:val="nil"/>
          <w:left w:val="nil"/>
          <w:bottom w:val="nil"/>
          <w:right w:val="nil"/>
          <w:between w:val="nil"/>
        </w:pBdr>
        <w:spacing w:after="120" w:line="240" w:lineRule="auto"/>
        <w:rPr>
          <w:b/>
          <w:color w:val="000000"/>
          <w:u w:val="single"/>
        </w:rPr>
      </w:pPr>
      <w:r w:rsidRPr="007314B0">
        <w:rPr>
          <w:b/>
          <w:bCs/>
          <w:u w:val="single"/>
        </w:rPr>
        <w:t>Évaluer les contrindications à l’utilisation de la méthode de PrEP choisie par le patient</w:t>
      </w:r>
    </w:p>
    <w:p w14:paraId="151A9AF5" w14:textId="4461156F" w:rsidR="0069549E" w:rsidRPr="007314B0" w:rsidRDefault="00CE3BE4" w:rsidP="00DD508F">
      <w:pPr>
        <w:pBdr>
          <w:top w:val="nil"/>
          <w:left w:val="nil"/>
          <w:bottom w:val="nil"/>
          <w:right w:val="nil"/>
          <w:between w:val="nil"/>
        </w:pBdr>
        <w:spacing w:after="120" w:line="240" w:lineRule="auto"/>
        <w:rPr>
          <w:b/>
          <w:color w:val="000000"/>
          <w:u w:val="single"/>
        </w:rPr>
      </w:pPr>
      <w:r w:rsidRPr="007314B0">
        <w:rPr>
          <w:color w:val="000000" w:themeColor="text1"/>
        </w:rPr>
        <w:t xml:space="preserve">Les patients doivent faire l’objet d’une évaluation des contrindications à l’utilisation de la méthode de PrEP qu’ils ont choisie. Comme certains patients choisiront une méthode pendant le counseling sur la PrEP, cette partie de l’évaluation peut avoir lieu avant, pendant ou après le counseling. Les contrindications pour chaque méthode sont </w:t>
      </w:r>
      <w:r w:rsidR="00C96671" w:rsidRPr="007314B0">
        <w:rPr>
          <w:color w:val="000000" w:themeColor="text1"/>
        </w:rPr>
        <w:t xml:space="preserve">indiquées </w:t>
      </w:r>
      <w:r w:rsidRPr="007314B0">
        <w:rPr>
          <w:color w:val="000000" w:themeColor="text1"/>
        </w:rPr>
        <w:t>dans les présentations des méthodes ci-avant.</w:t>
      </w:r>
    </w:p>
    <w:p w14:paraId="407801DC" w14:textId="534A98E4" w:rsidR="004A3732" w:rsidRPr="007314B0" w:rsidRDefault="004A3732" w:rsidP="00DD508F">
      <w:pPr>
        <w:pStyle w:val="Heading2"/>
        <w:spacing w:before="0" w:after="120" w:line="240" w:lineRule="auto"/>
        <w:rPr>
          <w:rFonts w:asciiTheme="minorHAnsi" w:hAnsiTheme="minorHAnsi" w:cstheme="minorBidi"/>
        </w:rPr>
      </w:pPr>
      <w:bookmarkStart w:id="46" w:name="_Toc124428516"/>
      <w:r w:rsidRPr="007314B0">
        <w:rPr>
          <w:rFonts w:asciiTheme="minorHAnsi" w:hAnsiTheme="minorHAnsi"/>
        </w:rPr>
        <w:t>Composante 3 : Counseling en matière de PrEP</w:t>
      </w:r>
      <w:bookmarkEnd w:id="46"/>
    </w:p>
    <w:p w14:paraId="20B23B3B" w14:textId="3CB7EF98" w:rsidR="00D80668" w:rsidRPr="007314B0" w:rsidRDefault="00D80668" w:rsidP="00DD508F">
      <w:pPr>
        <w:pBdr>
          <w:top w:val="nil"/>
          <w:left w:val="nil"/>
          <w:bottom w:val="nil"/>
          <w:right w:val="nil"/>
          <w:between w:val="nil"/>
        </w:pBdr>
        <w:spacing w:after="120" w:line="240" w:lineRule="auto"/>
        <w:rPr>
          <w:color w:val="000000"/>
        </w:rPr>
      </w:pPr>
      <w:r w:rsidRPr="007314B0">
        <w:rPr>
          <w:color w:val="000000" w:themeColor="text1"/>
        </w:rPr>
        <w:t>L’éducation et le counseling des patients qui envisagent de prendre la PrEP ou des patients qui la prennent déjà sont importants pour garantir qu’ils peuvent faire des choix éclairés et l’utiliser efficacement.</w:t>
      </w:r>
    </w:p>
    <w:p w14:paraId="70971628" w14:textId="138E886C" w:rsidR="00D80668" w:rsidRPr="007314B0" w:rsidRDefault="00D80668" w:rsidP="00DD508F">
      <w:pPr>
        <w:pBdr>
          <w:top w:val="nil"/>
          <w:left w:val="nil"/>
          <w:bottom w:val="nil"/>
          <w:right w:val="nil"/>
          <w:between w:val="nil"/>
        </w:pBdr>
        <w:spacing w:after="120" w:line="240" w:lineRule="auto"/>
        <w:rPr>
          <w:b/>
          <w:color w:val="000000"/>
        </w:rPr>
      </w:pPr>
      <w:r w:rsidRPr="007314B0">
        <w:rPr>
          <w:b/>
          <w:color w:val="000000" w:themeColor="text1"/>
        </w:rPr>
        <w:t>Le counseling en matière de PrEP doit reposer sur les principes suivants, fondés sur le droit à la santé :</w:t>
      </w:r>
    </w:p>
    <w:p w14:paraId="6F39E08F" w14:textId="2B705BC0"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Axé sur le patient et centré sur la personne, en fonction de ses besoins, de ses ressources et de ses préférences</w:t>
      </w:r>
    </w:p>
    <w:p w14:paraId="1A68BAAC" w14:textId="107CAD8B"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 xml:space="preserve">Être fondé sur le respect et inclure une relation ouverte et honnête entre le prestataire et le patient </w:t>
      </w:r>
    </w:p>
    <w:p w14:paraId="3ECE218A" w14:textId="1A1A6A57"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Reconnaître que le changement de comportement peut prendre du temps</w:t>
      </w:r>
    </w:p>
    <w:p w14:paraId="04E988CC" w14:textId="026E51F8"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Valider et normaliser les préoccupations du patient, chercher à affirmer et à encourager ses efforts, ne pas être normatif et être dénué de jugement</w:t>
      </w:r>
    </w:p>
    <w:p w14:paraId="0E31AF89" w14:textId="5D4B39B6"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lastRenderedPageBreak/>
        <w:t>S’attacher à identifier les petites victoires et les étapes réalisables suivantes pour réduire les expositions potentielles et/ou faciliter une bonne utilisation</w:t>
      </w:r>
    </w:p>
    <w:p w14:paraId="2327E1CE" w14:textId="29F1D1D0"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 xml:space="preserve">Inclure un plan d’action pour faire face aux obstacles courants rencontrés </w:t>
      </w:r>
    </w:p>
    <w:p w14:paraId="5A238D5E" w14:textId="3D0AE91C" w:rsidR="00672A5D" w:rsidRPr="007314B0" w:rsidRDefault="001B6F3B" w:rsidP="00A318A3">
      <w:pPr>
        <w:numPr>
          <w:ilvl w:val="0"/>
          <w:numId w:val="4"/>
        </w:numPr>
        <w:pBdr>
          <w:top w:val="nil"/>
          <w:left w:val="nil"/>
          <w:bottom w:val="nil"/>
          <w:right w:val="nil"/>
          <w:between w:val="nil"/>
        </w:pBdr>
        <w:spacing w:after="120" w:line="240" w:lineRule="auto"/>
        <w:rPr>
          <w:rFonts w:cstheme="minorHAnsi"/>
          <w:b/>
          <w:bCs/>
          <w:color w:val="000000" w:themeColor="text1"/>
        </w:rPr>
      </w:pPr>
      <w:r w:rsidRPr="007314B0">
        <w:rPr>
          <w:color w:val="000000"/>
        </w:rPr>
        <w:t xml:space="preserve">Promouvoir le choix parmi les options disponibles en fonction des préférences et de l’acceptabilité </w:t>
      </w:r>
      <w:r w:rsidR="00542A3B" w:rsidRPr="007314B0">
        <w:rPr>
          <w:color w:val="000000"/>
        </w:rPr>
        <w:t>par le</w:t>
      </w:r>
      <w:r w:rsidRPr="007314B0">
        <w:rPr>
          <w:color w:val="000000"/>
        </w:rPr>
        <w:t xml:space="preserve"> patient</w:t>
      </w:r>
    </w:p>
    <w:p w14:paraId="65C175D3" w14:textId="77777777" w:rsidR="006561F7" w:rsidRPr="007314B0" w:rsidRDefault="006561F7" w:rsidP="006561F7">
      <w:pPr>
        <w:pBdr>
          <w:top w:val="nil"/>
          <w:left w:val="nil"/>
          <w:bottom w:val="nil"/>
          <w:right w:val="nil"/>
          <w:between w:val="nil"/>
        </w:pBdr>
        <w:spacing w:after="120" w:line="240" w:lineRule="auto"/>
        <w:ind w:left="720"/>
        <w:rPr>
          <w:rFonts w:cstheme="minorHAnsi"/>
          <w:b/>
          <w:bCs/>
          <w:color w:val="000000" w:themeColor="text1"/>
        </w:rPr>
      </w:pPr>
    </w:p>
    <w:p w14:paraId="407F6626" w14:textId="4CFC57D5" w:rsidR="00246F78" w:rsidRPr="007314B0" w:rsidRDefault="00246F78" w:rsidP="00F31B22">
      <w:pPr>
        <w:pBdr>
          <w:top w:val="nil"/>
          <w:left w:val="nil"/>
          <w:bottom w:val="nil"/>
          <w:right w:val="nil"/>
          <w:between w:val="nil"/>
        </w:pBdr>
        <w:spacing w:after="120" w:line="240" w:lineRule="auto"/>
        <w:rPr>
          <w:b/>
          <w:color w:val="000000" w:themeColor="text1"/>
          <w:u w:val="single"/>
        </w:rPr>
      </w:pPr>
      <w:r w:rsidRPr="007314B0">
        <w:rPr>
          <w:b/>
          <w:color w:val="000000" w:themeColor="text1"/>
          <w:u w:val="single"/>
        </w:rPr>
        <w:t>Sujets à aborder lors du counseling initial sur la PrEP</w:t>
      </w:r>
    </w:p>
    <w:p w14:paraId="727E9D3D" w14:textId="669DBB20" w:rsidR="00CD548B" w:rsidRPr="007314B0" w:rsidRDefault="008F5909" w:rsidP="00391C93">
      <w:pPr>
        <w:pStyle w:val="ListParagraph"/>
        <w:numPr>
          <w:ilvl w:val="0"/>
          <w:numId w:val="19"/>
        </w:numPr>
        <w:spacing w:after="120" w:line="240" w:lineRule="auto"/>
        <w:rPr>
          <w:rFonts w:cstheme="minorHAnsi"/>
          <w:color w:val="000000" w:themeColor="text1"/>
        </w:rPr>
      </w:pPr>
      <w:r w:rsidRPr="007314B0">
        <w:rPr>
          <w:color w:val="000000" w:themeColor="text1"/>
        </w:rPr>
        <w:t>Comportements sexuels</w:t>
      </w:r>
    </w:p>
    <w:p w14:paraId="7E631A67" w14:textId="4C20A04D" w:rsidR="00CD548B" w:rsidRPr="007314B0" w:rsidRDefault="00CD548B" w:rsidP="00391C93">
      <w:pPr>
        <w:pStyle w:val="ListParagraph"/>
        <w:numPr>
          <w:ilvl w:val="0"/>
          <w:numId w:val="19"/>
        </w:numPr>
        <w:spacing w:after="120" w:line="240" w:lineRule="auto"/>
        <w:rPr>
          <w:rFonts w:cstheme="minorHAnsi"/>
          <w:color w:val="000000" w:themeColor="text1"/>
        </w:rPr>
      </w:pPr>
      <w:r w:rsidRPr="007314B0">
        <w:rPr>
          <w:color w:val="000000" w:themeColor="text1"/>
        </w:rPr>
        <w:t>Consommation d’alcool et de drogues</w:t>
      </w:r>
    </w:p>
    <w:p w14:paraId="3AF8DB54" w14:textId="1AB29679" w:rsidR="00CD548B" w:rsidRPr="007314B0" w:rsidRDefault="00CD548B" w:rsidP="00391C93">
      <w:pPr>
        <w:pStyle w:val="ListParagraph"/>
        <w:numPr>
          <w:ilvl w:val="0"/>
          <w:numId w:val="19"/>
        </w:numPr>
        <w:spacing w:after="120" w:line="240" w:lineRule="auto"/>
        <w:rPr>
          <w:rFonts w:cstheme="minorHAnsi"/>
          <w:color w:val="000000" w:themeColor="text1"/>
        </w:rPr>
      </w:pPr>
      <w:r w:rsidRPr="007314B0">
        <w:rPr>
          <w:color w:val="000000" w:themeColor="text1"/>
        </w:rPr>
        <w:t>Plan de prévention du VIH et autres IST</w:t>
      </w:r>
    </w:p>
    <w:p w14:paraId="33A491CC" w14:textId="50435408" w:rsidR="002725C2" w:rsidRPr="007314B0" w:rsidRDefault="002725C2" w:rsidP="00391C93">
      <w:pPr>
        <w:pStyle w:val="ListParagraph"/>
        <w:numPr>
          <w:ilvl w:val="0"/>
          <w:numId w:val="19"/>
        </w:numPr>
        <w:spacing w:after="120" w:line="240" w:lineRule="auto"/>
        <w:rPr>
          <w:rFonts w:cstheme="minorHAnsi"/>
          <w:color w:val="000000" w:themeColor="text1"/>
        </w:rPr>
      </w:pPr>
      <w:r w:rsidRPr="007314B0">
        <w:rPr>
          <w:color w:val="000000" w:themeColor="text1"/>
        </w:rPr>
        <w:t>Santé mentale</w:t>
      </w:r>
    </w:p>
    <w:p w14:paraId="7802ED5E" w14:textId="41FB99F6" w:rsidR="00CD548B" w:rsidRPr="007314B0" w:rsidRDefault="00CD548B" w:rsidP="00391C93">
      <w:pPr>
        <w:pStyle w:val="ListParagraph"/>
        <w:numPr>
          <w:ilvl w:val="0"/>
          <w:numId w:val="19"/>
        </w:numPr>
        <w:spacing w:after="120" w:line="240" w:lineRule="auto"/>
        <w:rPr>
          <w:color w:val="000000" w:themeColor="text1"/>
        </w:rPr>
      </w:pPr>
      <w:r w:rsidRPr="007314B0">
        <w:rPr>
          <w:color w:val="000000" w:themeColor="text1"/>
        </w:rPr>
        <w:t>Besoins de prévention, intérêt porté à la PrEP et volonté de la prendre</w:t>
      </w:r>
    </w:p>
    <w:p w14:paraId="3096F4B7" w14:textId="6C4E5126" w:rsidR="00CD548B" w:rsidRPr="007314B0" w:rsidRDefault="00CD548B" w:rsidP="00391C93">
      <w:pPr>
        <w:pStyle w:val="ListParagraph"/>
        <w:numPr>
          <w:ilvl w:val="0"/>
          <w:numId w:val="19"/>
        </w:numPr>
        <w:spacing w:after="120" w:line="240" w:lineRule="auto"/>
        <w:rPr>
          <w:rFonts w:cstheme="minorHAnsi"/>
          <w:color w:val="000000" w:themeColor="text1"/>
        </w:rPr>
      </w:pPr>
      <w:r w:rsidRPr="007314B0">
        <w:rPr>
          <w:color w:val="000000" w:themeColor="text1"/>
        </w:rPr>
        <w:t>Expérience de la violence basée sur le genre (VBG), y compris la violence du partenaire intime (VPI)</w:t>
      </w:r>
    </w:p>
    <w:p w14:paraId="2A36DF75" w14:textId="51152511" w:rsidR="00CD548B" w:rsidRPr="007314B0" w:rsidRDefault="00CD548B" w:rsidP="004051BB">
      <w:pPr>
        <w:pStyle w:val="ListParagraph"/>
        <w:numPr>
          <w:ilvl w:val="1"/>
          <w:numId w:val="19"/>
        </w:numPr>
        <w:spacing w:after="120" w:line="240" w:lineRule="auto"/>
        <w:rPr>
          <w:color w:val="000000" w:themeColor="text1"/>
        </w:rPr>
      </w:pPr>
      <w:r w:rsidRPr="007314B0">
        <w:rPr>
          <w:color w:val="000000" w:themeColor="text1"/>
        </w:rPr>
        <w:t xml:space="preserve">Apporter une réponse appropriée à la VBG et à la VPI, y compris un soutien de première ligne et une orientation si nécessaire, et aider le patient à identifier les moyens d’utiliser efficacement la PrEP et de continuer à l’utiliser aussi longtemps qu’il le souhaite dans le cadre de sa stratégie de prévention du VIH. </w:t>
      </w:r>
      <w:r w:rsidRPr="007314B0">
        <w:rPr>
          <w:i/>
          <w:color w:val="000000" w:themeColor="text1"/>
        </w:rPr>
        <w:t>(Les patients victimes de VBG, dont la VPI, ne devraient pas être privés de la PrEP s’ils peuvent l’utiliser efficacement.)</w:t>
      </w:r>
    </w:p>
    <w:p w14:paraId="6031DFD0" w14:textId="138C1665" w:rsidR="00A95863" w:rsidRPr="007314B0" w:rsidRDefault="00A95863" w:rsidP="00A95863">
      <w:pPr>
        <w:pStyle w:val="ListParagraph"/>
        <w:numPr>
          <w:ilvl w:val="0"/>
          <w:numId w:val="19"/>
        </w:numPr>
        <w:spacing w:after="120" w:line="240" w:lineRule="auto"/>
        <w:rPr>
          <w:rFonts w:cstheme="minorHAnsi"/>
          <w:color w:val="000000" w:themeColor="text1"/>
        </w:rPr>
      </w:pPr>
      <w:r w:rsidRPr="007314B0">
        <w:rPr>
          <w:color w:val="000000" w:themeColor="text1"/>
        </w:rPr>
        <w:t>Besoins en matière de contraception</w:t>
      </w:r>
    </w:p>
    <w:p w14:paraId="658CDBDD" w14:textId="4631CF7E" w:rsidR="00F75D32" w:rsidRPr="007314B0" w:rsidRDefault="00CD548B" w:rsidP="00391C93">
      <w:pPr>
        <w:pStyle w:val="ListParagraph"/>
        <w:numPr>
          <w:ilvl w:val="0"/>
          <w:numId w:val="19"/>
        </w:numPr>
        <w:spacing w:after="120" w:line="240" w:lineRule="auto"/>
        <w:rPr>
          <w:color w:val="000000" w:themeColor="text1"/>
        </w:rPr>
      </w:pPr>
      <w:r w:rsidRPr="007314B0">
        <w:t xml:space="preserve">Messages clés sur la PrEP, la </w:t>
      </w:r>
      <w:r w:rsidR="00403AEE" w:rsidRPr="007314B0">
        <w:t>PPE</w:t>
      </w:r>
      <w:r w:rsidRPr="007314B0">
        <w:t xml:space="preserve"> et les méthodes spécifiques de PrEP, y compris commencer, arrêter et utiliser efficacement la méthode choisie (voir le </w:t>
      </w:r>
      <w:r w:rsidRPr="007314B0">
        <w:rPr>
          <w:i/>
          <w:iCs/>
        </w:rPr>
        <w:t>tableau 4</w:t>
      </w:r>
      <w:r w:rsidRPr="007314B0">
        <w:t xml:space="preserve"> en </w:t>
      </w:r>
      <w:r w:rsidRPr="007314B0">
        <w:rPr>
          <w:i/>
          <w:iCs/>
        </w:rPr>
        <w:t>annexe</w:t>
      </w:r>
      <w:r w:rsidRPr="007314B0">
        <w:t>).</w:t>
      </w:r>
    </w:p>
    <w:p w14:paraId="54A2397D" w14:textId="47B428C5" w:rsidR="004A3732" w:rsidRPr="007314B0" w:rsidRDefault="004A3732" w:rsidP="00DD508F">
      <w:pPr>
        <w:pStyle w:val="Heading2"/>
        <w:spacing w:before="0" w:after="120" w:line="240" w:lineRule="auto"/>
        <w:rPr>
          <w:rFonts w:asciiTheme="minorHAnsi" w:hAnsiTheme="minorHAnsi" w:cstheme="minorBidi"/>
        </w:rPr>
      </w:pPr>
      <w:bookmarkStart w:id="47" w:name="_Toc124428517"/>
      <w:r w:rsidRPr="007314B0">
        <w:rPr>
          <w:rFonts w:asciiTheme="minorHAnsi" w:hAnsiTheme="minorHAnsi"/>
        </w:rPr>
        <w:t>Composante 4 : Prescription de la PrEP</w:t>
      </w:r>
      <w:bookmarkEnd w:id="47"/>
    </w:p>
    <w:p w14:paraId="361BCF90" w14:textId="25F2A7C0" w:rsidR="002074D9" w:rsidRPr="007314B0" w:rsidRDefault="0BDCA541" w:rsidP="10A43560">
      <w:pPr>
        <w:pBdr>
          <w:top w:val="nil"/>
          <w:left w:val="nil"/>
          <w:bottom w:val="nil"/>
          <w:right w:val="nil"/>
          <w:between w:val="nil"/>
        </w:pBdr>
        <w:spacing w:after="120" w:line="240" w:lineRule="auto"/>
        <w:rPr>
          <w:color w:val="000000" w:themeColor="text1"/>
        </w:rPr>
      </w:pPr>
      <w:r w:rsidRPr="007314B0">
        <w:rPr>
          <w:color w:val="000000" w:themeColor="text1"/>
        </w:rPr>
        <w:t>On peut prescrire un seul flacon/anneau aux patients qui utilisent la PrEP orale (quotidienne ou ED) ou l’anneau de PrEP et prévoir une visite de suivi un mois</w:t>
      </w:r>
      <w:r w:rsidR="003C67D4" w:rsidRPr="007314B0">
        <w:rPr>
          <w:color w:val="000000" w:themeColor="text1"/>
        </w:rPr>
        <w:t xml:space="preserve"> plus tard</w:t>
      </w:r>
      <w:r w:rsidRPr="007314B0">
        <w:rPr>
          <w:color w:val="000000" w:themeColor="text1"/>
        </w:rPr>
        <w:t>. Selon leurs besoins et leurs préférences, les patients peuvent également recevoir plusieurs flacons ou anneaux et avoir un rendez-vous pour une visite de suivi un mois ou trois mois plus tard. Ceux qui utilisent la PrEP orale ou l’anneau et qui disposent d’une réserve de médicaments ont tendance à mieux les utiliser. Tous les patients, en particulier ceux qui utilisent l’ED-PrEP et qui peuvent utiliser moins de comprimés sur une plus longue période, doivent être informés où figurent les dates de péremption des produits et recevoir des instructions sur la façon de jeter correctement les produits périmés. Il est recommandé de prévoir la prochaine visite du patient au moins une semaine avant la fin de la réserve de médicaments dans le cas d’un traitement quotidien ou au moins une semaine avant que la patiente n’ait à changer le dernier anneau qui lui a été remis.</w:t>
      </w:r>
    </w:p>
    <w:p w14:paraId="649C04FE" w14:textId="5375F28A" w:rsidR="000A4099" w:rsidRPr="007314B0" w:rsidRDefault="6DA47BE9" w:rsidP="10A43560">
      <w:pPr>
        <w:pBdr>
          <w:top w:val="nil"/>
          <w:left w:val="nil"/>
          <w:bottom w:val="nil"/>
          <w:right w:val="nil"/>
          <w:between w:val="nil"/>
        </w:pBdr>
        <w:spacing w:after="120" w:line="240" w:lineRule="auto"/>
        <w:rPr>
          <w:color w:val="000000" w:themeColor="text1"/>
        </w:rPr>
      </w:pPr>
      <w:r w:rsidRPr="007314B0">
        <w:rPr>
          <w:color w:val="000000" w:themeColor="text1"/>
        </w:rPr>
        <w:t xml:space="preserve">Les patients qui utilisent la CAB PrEP recevront leur première injection d’initiation pendant la première visite d’initiation et devront avoir leur deuxième visite d’initiation </w:t>
      </w:r>
      <w:r w:rsidR="003D19E5" w:rsidRPr="007314B0">
        <w:rPr>
          <w:color w:val="000000" w:themeColor="text1"/>
        </w:rPr>
        <w:t xml:space="preserve">un </w:t>
      </w:r>
      <w:proofErr w:type="gramStart"/>
      <w:r w:rsidR="003D19E5" w:rsidRPr="007314B0">
        <w:rPr>
          <w:color w:val="000000" w:themeColor="text1"/>
        </w:rPr>
        <w:t xml:space="preserve">mois </w:t>
      </w:r>
      <w:r w:rsidRPr="007314B0">
        <w:rPr>
          <w:color w:val="000000" w:themeColor="text1"/>
        </w:rPr>
        <w:t xml:space="preserve"> plus</w:t>
      </w:r>
      <w:proofErr w:type="gramEnd"/>
      <w:r w:rsidRPr="007314B0">
        <w:rPr>
          <w:color w:val="000000" w:themeColor="text1"/>
        </w:rPr>
        <w:t xml:space="preserve"> tard pour la deuxième injection d’initiation. </w:t>
      </w:r>
    </w:p>
    <w:p w14:paraId="67CA28F6" w14:textId="588EFB66" w:rsidR="000A4099" w:rsidRPr="007314B0" w:rsidRDefault="003431E7" w:rsidP="00DD508F">
      <w:pPr>
        <w:pBdr>
          <w:top w:val="nil"/>
          <w:left w:val="nil"/>
          <w:bottom w:val="nil"/>
          <w:right w:val="nil"/>
          <w:between w:val="nil"/>
        </w:pBdr>
        <w:spacing w:after="120" w:line="240" w:lineRule="auto"/>
        <w:rPr>
          <w:color w:val="000000"/>
        </w:rPr>
      </w:pPr>
      <w:r w:rsidRPr="007314B0">
        <w:rPr>
          <w:color w:val="000000" w:themeColor="text1"/>
        </w:rPr>
        <w:t xml:space="preserve">Dans la mesure du possible, les visites de suivi doivent être coordonnées avec les visites pour d’autres services afin de réduire le nombre de fois où un patient doit se présenter pour recevoir des services. </w:t>
      </w:r>
    </w:p>
    <w:p w14:paraId="063A1948" w14:textId="7D69F236" w:rsidR="000A4099" w:rsidRPr="007314B0" w:rsidRDefault="2F5A875A" w:rsidP="1D9AD929">
      <w:pPr>
        <w:pStyle w:val="Heading2"/>
        <w:spacing w:before="0" w:after="120" w:line="240" w:lineRule="auto"/>
        <w:rPr>
          <w:rFonts w:asciiTheme="minorHAnsi" w:hAnsiTheme="minorHAnsi" w:cstheme="minorBidi"/>
        </w:rPr>
      </w:pPr>
      <w:bookmarkStart w:id="48" w:name="_Toc124428518"/>
      <w:r w:rsidRPr="007314B0">
        <w:rPr>
          <w:rFonts w:asciiTheme="minorHAnsi" w:hAnsiTheme="minorHAnsi"/>
        </w:rPr>
        <w:t>Composantes supplémentaires de la visite d’initiation à la PrEP</w:t>
      </w:r>
      <w:bookmarkEnd w:id="48"/>
    </w:p>
    <w:p w14:paraId="11A9BD46" w14:textId="640F3ECE" w:rsidR="009058AF" w:rsidRPr="007314B0" w:rsidRDefault="008F55E7" w:rsidP="00DD508F">
      <w:pPr>
        <w:spacing w:after="120" w:line="240" w:lineRule="auto"/>
      </w:pPr>
      <w:r w:rsidRPr="007314B0">
        <w:t xml:space="preserve">Les éléments suivants pourraient être proposés en même temps que les services de PrEP dans le cadre d’une prise en charge complète et centrée sur la personne, selon les besoins et les préférences du patient. Cette liste n’est nullement exhaustive et les services nécessaires varieront en fonction des personnes et des populations. La PrEP doit être fournie même si ces services ne sont pas disponibles ou si le patient ne peut </w:t>
      </w:r>
      <w:r w:rsidR="003C67D4" w:rsidRPr="007314B0">
        <w:t xml:space="preserve">pas </w:t>
      </w:r>
      <w:r w:rsidRPr="007314B0">
        <w:t>ou ne souhaite pas y avoir accès.</w:t>
      </w:r>
    </w:p>
    <w:p w14:paraId="0D971C2C" w14:textId="77777777" w:rsidR="003C67D4" w:rsidRPr="007314B0" w:rsidRDefault="003C67D4">
      <w:pPr>
        <w:rPr>
          <w:b/>
        </w:rPr>
      </w:pPr>
      <w:r w:rsidRPr="007314B0">
        <w:rPr>
          <w:b/>
        </w:rPr>
        <w:br w:type="page"/>
      </w:r>
    </w:p>
    <w:p w14:paraId="691E31CD" w14:textId="37E9560E" w:rsidR="007D2BF7" w:rsidRPr="007314B0" w:rsidRDefault="007D2BF7" w:rsidP="00DD508F">
      <w:pPr>
        <w:spacing w:after="120" w:line="240" w:lineRule="auto"/>
        <w:rPr>
          <w:b/>
          <w:i/>
        </w:rPr>
      </w:pPr>
      <w:r w:rsidRPr="007314B0">
        <w:rPr>
          <w:b/>
        </w:rPr>
        <w:lastRenderedPageBreak/>
        <w:t>Tableau 2. Composantes supplémentaires de la visite d’initiation à la PrEP</w:t>
      </w:r>
    </w:p>
    <w:tbl>
      <w:tblPr>
        <w:tblW w:w="0" w:type="auto"/>
        <w:tblLook w:val="04A0" w:firstRow="1" w:lastRow="0" w:firstColumn="1" w:lastColumn="0" w:noHBand="0" w:noVBand="1"/>
      </w:tblPr>
      <w:tblGrid>
        <w:gridCol w:w="2921"/>
        <w:gridCol w:w="7535"/>
      </w:tblGrid>
      <w:tr w:rsidR="000A6FA6" w:rsidRPr="007314B0" w14:paraId="66532F05" w14:textId="77777777" w:rsidTr="5FCE61C9">
        <w:trPr>
          <w:tblHeader/>
        </w:trPr>
        <w:tc>
          <w:tcPr>
            <w:tcW w:w="2921" w:type="dxa"/>
            <w:shd w:val="clear" w:color="auto" w:fill="4472C4" w:themeFill="accent1"/>
          </w:tcPr>
          <w:p w14:paraId="7986C5FB" w14:textId="74A880D8" w:rsidR="000A6FA6" w:rsidRPr="007314B0" w:rsidRDefault="008F55E7" w:rsidP="00DD508F">
            <w:pPr>
              <w:spacing w:after="120"/>
              <w:rPr>
                <w:rFonts w:cstheme="minorHAnsi"/>
                <w:iCs/>
              </w:rPr>
            </w:pPr>
            <w:r w:rsidRPr="007314B0">
              <w:rPr>
                <w:b/>
                <w:color w:val="FFFFFF"/>
              </w:rPr>
              <w:t>Composante</w:t>
            </w:r>
          </w:p>
        </w:tc>
        <w:tc>
          <w:tcPr>
            <w:tcW w:w="7535" w:type="dxa"/>
            <w:shd w:val="clear" w:color="auto" w:fill="4472C4" w:themeFill="accent1"/>
          </w:tcPr>
          <w:p w14:paraId="426636DA" w14:textId="28276CAA" w:rsidR="000A6FA6" w:rsidRPr="007314B0" w:rsidRDefault="000A6FA6" w:rsidP="00DD508F">
            <w:pPr>
              <w:spacing w:after="120"/>
              <w:rPr>
                <w:rFonts w:cstheme="minorHAnsi"/>
                <w:iCs/>
              </w:rPr>
            </w:pPr>
            <w:r w:rsidRPr="007314B0">
              <w:rPr>
                <w:b/>
                <w:color w:val="FFFFFF"/>
              </w:rPr>
              <w:t>Action</w:t>
            </w:r>
          </w:p>
        </w:tc>
      </w:tr>
      <w:tr w:rsidR="000A6FA6" w:rsidRPr="007314B0" w14:paraId="5061DC89" w14:textId="77777777" w:rsidTr="00B04D95">
        <w:trPr>
          <w:trHeight w:val="3105"/>
        </w:trPr>
        <w:tc>
          <w:tcPr>
            <w:tcW w:w="2921" w:type="dxa"/>
          </w:tcPr>
          <w:p w14:paraId="592B8DCD" w14:textId="699CDDDE" w:rsidR="000A6FA6" w:rsidRPr="007314B0" w:rsidRDefault="007C2F79" w:rsidP="00DD508F">
            <w:pPr>
              <w:spacing w:after="120"/>
              <w:rPr>
                <w:rFonts w:cstheme="minorHAnsi"/>
                <w:bCs/>
              </w:rPr>
            </w:pPr>
            <w:r w:rsidRPr="007314B0">
              <w:t>Dépistage, test et traitement des autres IST</w:t>
            </w:r>
          </w:p>
        </w:tc>
        <w:tc>
          <w:tcPr>
            <w:tcW w:w="7535" w:type="dxa"/>
          </w:tcPr>
          <w:p w14:paraId="236A3058" w14:textId="44DE9FD4" w:rsidR="00426E6F" w:rsidRPr="007314B0" w:rsidRDefault="0069549E" w:rsidP="00DD508F">
            <w:pPr>
              <w:spacing w:after="120"/>
              <w:rPr>
                <w:color w:val="000000"/>
              </w:rPr>
            </w:pPr>
            <w:r w:rsidRPr="007314B0">
              <w:rPr>
                <w:color w:val="000000" w:themeColor="text1"/>
              </w:rPr>
              <w:t xml:space="preserve">Il est possible d’utiliser la PrEP si le patient souffre d’IST autres que le VIH et pendant le traitement des IST autres que le VIH. Traiter les IST conformément aux directives de traitement standard les concernant. S’il n’est pas possible d’effectuer un dépistage, en gérer les symptômes conformément aux directives de traitement standard des IST. </w:t>
            </w:r>
          </w:p>
          <w:p w14:paraId="295AB8C5" w14:textId="2D89920D" w:rsidR="00F86A39" w:rsidRPr="007314B0" w:rsidRDefault="00F86A39" w:rsidP="00DD508F">
            <w:pPr>
              <w:spacing w:after="120"/>
            </w:pPr>
            <w:r w:rsidRPr="007314B0">
              <w:t xml:space="preserve">La PrEP doit être fournie même si ces services ne sont pas disponibles ou si le patient ne peut </w:t>
            </w:r>
            <w:r w:rsidR="003C67D4" w:rsidRPr="007314B0">
              <w:t xml:space="preserve">pas </w:t>
            </w:r>
            <w:r w:rsidRPr="007314B0">
              <w:t xml:space="preserve">ou ne souhaite pas y avoir accès. </w:t>
            </w:r>
          </w:p>
          <w:p w14:paraId="670D5E57" w14:textId="6777D401" w:rsidR="00F86A39" w:rsidRPr="007314B0" w:rsidRDefault="00F86A39" w:rsidP="00DD508F">
            <w:pPr>
              <w:spacing w:after="120"/>
              <w:rPr>
                <w:rFonts w:cstheme="minorHAnsi"/>
                <w:b/>
              </w:rPr>
            </w:pPr>
            <w:r w:rsidRPr="007314B0">
              <w:rPr>
                <w:b/>
              </w:rPr>
              <w:t xml:space="preserve">Hépatite B </w:t>
            </w:r>
          </w:p>
          <w:p w14:paraId="43E7260C" w14:textId="2ABCAAFB" w:rsidR="005776D9" w:rsidRPr="007314B0" w:rsidRDefault="7B48E1C1" w:rsidP="00F86A39">
            <w:pPr>
              <w:spacing w:after="120"/>
            </w:pPr>
            <w:r w:rsidRPr="007314B0">
              <w:t>Lorsque cela est possible, il est fortement recommandé de tester les patients utilisant la PrEP pour l’hépatite B au moment de l’initiation ou dans les trois mois suivant le début de la PrEP. La PrEP quotidienne ou l’ED-PrEP ainsi que l’anneau peuvent être proposés en toute sécurité aux personnes qui souffrent d’hépatite</w:t>
            </w:r>
            <w:r w:rsidR="003C67D4" w:rsidRPr="007314B0">
              <w:t> </w:t>
            </w:r>
            <w:r w:rsidRPr="007314B0">
              <w:t>B</w:t>
            </w:r>
            <w:r w:rsidR="003D19E5" w:rsidRPr="007314B0">
              <w:t xml:space="preserve"> aiguë</w:t>
            </w:r>
            <w:r w:rsidRPr="007314B0">
              <w:t>. Ainsi, l’initiation ne devrait pas être reportée pendant qu’on attend les résultats du test de dépistage de l’hépatite B. Si le test de dépistage est négatif, les patients peuvent se voir proposer la vaccination contre l’hépatite B (conformément aux directives nationales sur l’hépatite, si elles existent). Les patients qui souffrent d’hépatite B mais qui ne sont pas intéressés par la PrEP orale doivent être orientés vers les services de prise en charge ou de traitement appropriés. Ceux qui cessent d’utiliser la PrEP orale doivent également être orientés vers ces services car l’arrêt de la PrEP orale a des implications sur la prise en charge de l’hépatite B.</w:t>
            </w:r>
            <w:r w:rsidR="00E8609E" w:rsidRPr="007314B0">
              <w:t xml:space="preserve"> </w:t>
            </w:r>
            <w:r w:rsidR="003D19E5" w:rsidRPr="007314B0">
              <w:t>Les clients atteints d'hépatite B chronique ne devraient pas prendre ED-PrEP</w:t>
            </w:r>
          </w:p>
          <w:p w14:paraId="26AA8097" w14:textId="4B321EEE" w:rsidR="3D339779" w:rsidRPr="007314B0" w:rsidRDefault="516EC9F6" w:rsidP="5163B5CD">
            <w:pPr>
              <w:spacing w:after="120"/>
              <w:rPr>
                <w:rFonts w:ascii="Calibri" w:eastAsia="Calibri" w:hAnsi="Calibri" w:cs="Calibri"/>
              </w:rPr>
            </w:pPr>
            <w:r w:rsidRPr="007314B0">
              <w:rPr>
                <w:rFonts w:ascii="Calibri" w:hAnsi="Calibri"/>
              </w:rPr>
              <w:t>La CAB PrEP ne doit pas être initiée chez les personnes qui souffrent d’hépatite virale aiguë et doit être interrompue si l’hépatotoxicité est confirmée. Si un patient est testé et que le test de l’antigène de surface de l’hépatite B (</w:t>
            </w:r>
            <w:proofErr w:type="spellStart"/>
            <w:r w:rsidRPr="007314B0">
              <w:rPr>
                <w:rFonts w:ascii="Calibri" w:hAnsi="Calibri"/>
              </w:rPr>
              <w:t>HBsAg</w:t>
            </w:r>
            <w:proofErr w:type="spellEnd"/>
            <w:r w:rsidRPr="007314B0">
              <w:rPr>
                <w:rFonts w:ascii="Calibri" w:hAnsi="Calibri"/>
              </w:rPr>
              <w:t xml:space="preserve">) est réactif (indiquant une infection par le virus de l’hépatite B), les besoins en matière de prévention du VIH et de traitement de l’hépatite B doivent être évalués au cas par cas, et les prestataires de la PrEP et du traitement de l’hépatite B doivent (si possible) assurer une prise en charge conjointe </w:t>
            </w:r>
            <w:r w:rsidR="00CD6F58" w:rsidRPr="007314B0">
              <w:rPr>
                <w:rFonts w:ascii="Calibri" w:hAnsi="Calibri"/>
              </w:rPr>
              <w:t xml:space="preserve">de </w:t>
            </w:r>
            <w:r w:rsidRPr="007314B0">
              <w:rPr>
                <w:rFonts w:ascii="Calibri" w:hAnsi="Calibri"/>
              </w:rPr>
              <w:t xml:space="preserve">ces cas. La CAB PrEP n’est pas active contre l’hépatite B. Pour les personnes qui peuvent bénéficier d’un traitement de l’hépatite B selon les directives de l’OMS, la PrEP orale doit être proposée comme méthode de PrEP privilégiée. Même en l’absence d’indication de traitement pour l’hépatite B, la PrEP orale doit être fortement envisagée, car elle </w:t>
            </w:r>
            <w:r w:rsidR="003C67D4" w:rsidRPr="007314B0">
              <w:rPr>
                <w:rFonts w:ascii="Calibri" w:hAnsi="Calibri"/>
              </w:rPr>
              <w:t>soignera</w:t>
            </w:r>
            <w:r w:rsidRPr="007314B0">
              <w:rPr>
                <w:rFonts w:ascii="Calibri" w:hAnsi="Calibri"/>
              </w:rPr>
              <w:t xml:space="preserve"> l’hépatite B et préviendra le VIH.</w:t>
            </w:r>
          </w:p>
          <w:p w14:paraId="5ACAF5F6" w14:textId="0ABAFCB4" w:rsidR="00F86A39" w:rsidRPr="007314B0" w:rsidRDefault="25575AD5" w:rsidP="10A43560">
            <w:pPr>
              <w:spacing w:after="120"/>
              <w:rPr>
                <w:b/>
              </w:rPr>
            </w:pPr>
            <w:r w:rsidRPr="007314B0">
              <w:t xml:space="preserve">La disponibilité ou l’accès au dépistage de l’hépatite B ne doit pas être un obstacle à l’initiation ou à l’utilisation de la PrEP. Si le test de l’hépatite B est effectué, la PrEP peut être initiée avant que les résultats ne soient </w:t>
            </w:r>
            <w:r w:rsidR="00B04D95" w:rsidRPr="007314B0">
              <w:t>reçus</w:t>
            </w:r>
            <w:r w:rsidRPr="007314B0">
              <w:t>.</w:t>
            </w:r>
            <w:r w:rsidRPr="007314B0">
              <w:rPr>
                <w:b/>
                <w:bCs/>
              </w:rPr>
              <w:t xml:space="preserve"> </w:t>
            </w:r>
          </w:p>
          <w:p w14:paraId="2486B44D" w14:textId="521198F9" w:rsidR="00F86A39" w:rsidRPr="007314B0" w:rsidRDefault="00F86A39" w:rsidP="00DD508F">
            <w:pPr>
              <w:spacing w:after="120"/>
              <w:rPr>
                <w:b/>
              </w:rPr>
            </w:pPr>
            <w:r w:rsidRPr="007314B0">
              <w:rPr>
                <w:b/>
              </w:rPr>
              <w:t>Hépatite C</w:t>
            </w:r>
          </w:p>
          <w:p w14:paraId="6E80FB9A" w14:textId="6ACC0BCF" w:rsidR="510731AA" w:rsidRPr="007314B0" w:rsidRDefault="3387308F" w:rsidP="5163B5CD">
            <w:pPr>
              <w:spacing w:after="120"/>
              <w:rPr>
                <w:color w:val="000000" w:themeColor="text1"/>
              </w:rPr>
            </w:pPr>
            <w:r w:rsidRPr="007314B0">
              <w:t xml:space="preserve">Le dépistage de l’hépatite C est fortement recommandé au moment de l’initiation de la PrEP ou dans les trois premiers mois qui suivent, puis tous les 12 mois lorsque les services de PrEP sont fournis à des populations qui présentent une probabilité accrue de contracter l’hépatite C. La PrEP quotidienne ou l’ED-PrEP ainsi que l’anneau peuvent être proposés en toute sécurité aux personnes qui souffrent d’hépatite C. Ainsi, l’initiation ne devrait pas être reportée pendant qu’on attend les résultats du test de dépistage de l’hépatite C. </w:t>
            </w:r>
          </w:p>
          <w:p w14:paraId="76EBD546" w14:textId="16AC2736" w:rsidR="00184833" w:rsidRPr="007314B0" w:rsidRDefault="3059A443" w:rsidP="00AD48D6">
            <w:pPr>
              <w:spacing w:after="120"/>
              <w:rPr>
                <w:b/>
              </w:rPr>
            </w:pPr>
            <w:r w:rsidRPr="007314B0">
              <w:rPr>
                <w:rFonts w:ascii="Calibri" w:hAnsi="Calibri"/>
              </w:rPr>
              <w:lastRenderedPageBreak/>
              <w:t xml:space="preserve">La CAB PrEP ne doit pas être initiée chez les personnes qui souffrent d’hépatite virale aiguë et doit être interrompue si l’hépatotoxicité est confirmée. Si un test sérologique de l’hépatite C est réactif et que l’infection chronique a été confirmée, le traitement de l’hépatite C doit être proposé conformément aux directives de l’OMS, et les prestataires de la PrEP et du traitement de l’hépatite C doivent (si possible) assurer une prise en charge conjointe ces cas. </w:t>
            </w:r>
            <w:r w:rsidRPr="007314B0">
              <w:t>La CAB PrEP n’est pas active contre l’hépatite C. Il n’existe pas d’interactions médicamenteuses connues entre la CAB PrEP et les traitements médicamenteux de l’hépatite C, mais les données sont rares.</w:t>
            </w:r>
            <w:r w:rsidRPr="007314B0">
              <w:rPr>
                <w:rFonts w:ascii="Calibri" w:hAnsi="Calibri"/>
              </w:rPr>
              <w:t xml:space="preserve"> D’autres options de PrEP et de prévention du VIH </w:t>
            </w:r>
            <w:r w:rsidR="00B04D95" w:rsidRPr="007314B0">
              <w:rPr>
                <w:rFonts w:ascii="Calibri" w:hAnsi="Calibri"/>
              </w:rPr>
              <w:t>devraient donc</w:t>
            </w:r>
            <w:r w:rsidRPr="007314B0">
              <w:rPr>
                <w:rFonts w:ascii="Calibri" w:hAnsi="Calibri"/>
              </w:rPr>
              <w:t xml:space="preserve"> être envisagées.</w:t>
            </w:r>
          </w:p>
        </w:tc>
      </w:tr>
      <w:tr w:rsidR="00611E5F" w:rsidRPr="007314B0" w14:paraId="0594CB71" w14:textId="77777777" w:rsidTr="5FCE61C9">
        <w:trPr>
          <w:cantSplit/>
        </w:trPr>
        <w:tc>
          <w:tcPr>
            <w:tcW w:w="2921" w:type="dxa"/>
          </w:tcPr>
          <w:p w14:paraId="3745C766" w14:textId="20DACC59" w:rsidR="001F4E7D" w:rsidRPr="007314B0" w:rsidRDefault="001F4E7D" w:rsidP="00DD508F">
            <w:pPr>
              <w:spacing w:after="120"/>
            </w:pPr>
            <w:r w:rsidRPr="007314B0">
              <w:lastRenderedPageBreak/>
              <w:t>Évaluation de la fonction rénale</w:t>
            </w:r>
          </w:p>
        </w:tc>
        <w:tc>
          <w:tcPr>
            <w:tcW w:w="7535" w:type="dxa"/>
          </w:tcPr>
          <w:p w14:paraId="39928C2E" w14:textId="75FD4A5B" w:rsidR="00E74E10" w:rsidRPr="007314B0" w:rsidRDefault="4AA9294B" w:rsidP="00DD508F">
            <w:pPr>
              <w:spacing w:after="120"/>
              <w:rPr>
                <w:rStyle w:val="fontstyle01"/>
              </w:rPr>
            </w:pPr>
            <w:r w:rsidRPr="007314B0">
              <w:rPr>
                <w:rStyle w:val="fontstyle01"/>
              </w:rPr>
              <w:t>Il n’est pas suggéré de mesurer la fonction rénale pour l’anneau de PrEP ou la CAB PrEP.</w:t>
            </w:r>
          </w:p>
          <w:p w14:paraId="0C697A45" w14:textId="6A636287" w:rsidR="009F6C45" w:rsidRPr="007314B0" w:rsidRDefault="004768C9" w:rsidP="00DD508F">
            <w:pPr>
              <w:spacing w:after="120"/>
              <w:rPr>
                <w:rStyle w:val="fontstyle01"/>
              </w:rPr>
            </w:pPr>
            <w:r w:rsidRPr="007314B0">
              <w:rPr>
                <w:rStyle w:val="fontstyle01"/>
              </w:rPr>
              <w:t>La mesure de la fonction rénale des patients potentiels de la PrEP orale à l’initiation et/ou lors des visites de suivi est suggérée pour certaines populations. Le tableau 3 indique pour qui cette mesure est suggérée et la fréquence du suivi. L’initiation ou la poursuite de la PrEP orale ne doit pas être re</w:t>
            </w:r>
            <w:r w:rsidR="00B04D95" w:rsidRPr="007314B0">
              <w:rPr>
                <w:rStyle w:val="fontstyle01"/>
              </w:rPr>
              <w:t>port</w:t>
            </w:r>
            <w:r w:rsidRPr="007314B0">
              <w:rPr>
                <w:rStyle w:val="fontstyle01"/>
              </w:rPr>
              <w:t>ée lorsque la fonction rénale est mesurée ; les résultats peuvent être passés en revue lors d’une visite de suivi. L’</w:t>
            </w:r>
            <w:r w:rsidRPr="007314B0">
              <w:rPr>
                <w:rStyle w:val="fontstyle01"/>
                <w:i/>
                <w:iCs/>
              </w:rPr>
              <w:t>encadré 4</w:t>
            </w:r>
            <w:r w:rsidRPr="007314B0">
              <w:rPr>
                <w:rStyle w:val="fontstyle01"/>
              </w:rPr>
              <w:t xml:space="preserve"> ci-dessous indique comment calculer l’</w:t>
            </w:r>
            <w:proofErr w:type="spellStart"/>
            <w:r w:rsidRPr="007314B0">
              <w:rPr>
                <w:rStyle w:val="fontstyle01"/>
              </w:rPr>
              <w:t>eGFR</w:t>
            </w:r>
            <w:proofErr w:type="spellEnd"/>
            <w:r w:rsidRPr="007314B0">
              <w:rPr>
                <w:rStyle w:val="fontstyle01"/>
              </w:rPr>
              <w:t>.</w:t>
            </w:r>
          </w:p>
          <w:p w14:paraId="65B45C56" w14:textId="0A0BE2E8" w:rsidR="00F066F0" w:rsidRPr="007314B0" w:rsidRDefault="0399C5EC" w:rsidP="00DD508F">
            <w:pPr>
              <w:spacing w:after="120"/>
              <w:rPr>
                <w:color w:val="000000" w:themeColor="text1"/>
              </w:rPr>
            </w:pPr>
            <w:r w:rsidRPr="007314B0">
              <w:t>Lorsque la fonction rénale est mesurée pour les patients qui utilisent la PrEP orale, toute personne dont la clairance de la créatinine estimée est ≥60 ml/min ou dont l’</w:t>
            </w:r>
            <w:proofErr w:type="spellStart"/>
            <w:r w:rsidRPr="007314B0">
              <w:t>eGFR</w:t>
            </w:r>
            <w:proofErr w:type="spellEnd"/>
            <w:r w:rsidRPr="007314B0">
              <w:t xml:space="preserve"> est ≥60 ml/min par 1,73m</w:t>
            </w:r>
            <w:r w:rsidRPr="007314B0">
              <w:rPr>
                <w:vertAlign w:val="superscript"/>
              </w:rPr>
              <w:t>2</w:t>
            </w:r>
            <w:r w:rsidRPr="007314B0">
              <w:t xml:space="preserve"> peut se voir prescrire la PrEP orale en toute sécurité.</w:t>
            </w:r>
            <w:r w:rsidRPr="007314B0">
              <w:rPr>
                <w:color w:val="000000" w:themeColor="text1"/>
              </w:rPr>
              <w:t xml:space="preserve"> </w:t>
            </w:r>
          </w:p>
          <w:p w14:paraId="043866E2" w14:textId="446C9EA7" w:rsidR="002C09D6" w:rsidRPr="007314B0" w:rsidRDefault="00EA74A1" w:rsidP="10A43560">
            <w:pPr>
              <w:spacing w:after="120"/>
              <w:rPr>
                <w:color w:val="000000" w:themeColor="text1"/>
              </w:rPr>
            </w:pPr>
            <w:r w:rsidRPr="007314B0">
              <w:t>Si la clairance de la créatinine estimée est &lt;60 ml/min ou si l’</w:t>
            </w:r>
            <w:proofErr w:type="spellStart"/>
            <w:r w:rsidRPr="007314B0">
              <w:t>eGFR</w:t>
            </w:r>
            <w:proofErr w:type="spellEnd"/>
            <w:r w:rsidRPr="007314B0">
              <w:t xml:space="preserve"> est &lt;60 ml/min par 1,73m</w:t>
            </w:r>
            <w:r w:rsidRPr="007314B0">
              <w:rPr>
                <w:vertAlign w:val="superscript"/>
              </w:rPr>
              <w:t>2</w:t>
            </w:r>
            <w:r w:rsidRPr="007314B0">
              <w:t xml:space="preserve">, prière de consulter la section </w:t>
            </w:r>
            <w:r w:rsidRPr="007314B0">
              <w:rPr>
                <w:i/>
                <w:iCs/>
              </w:rPr>
              <w:t>Gestion de l’élévation de la créatinine</w:t>
            </w:r>
            <w:r w:rsidRPr="007314B0">
              <w:t xml:space="preserve"> ci-</w:t>
            </w:r>
            <w:r w:rsidR="00B04D95" w:rsidRPr="007314B0">
              <w:t>après</w:t>
            </w:r>
            <w:r w:rsidRPr="007314B0">
              <w:t>.</w:t>
            </w:r>
          </w:p>
          <w:p w14:paraId="0AFF776A" w14:textId="06F09EBC" w:rsidR="002C09D6" w:rsidRPr="007314B0" w:rsidRDefault="398E2367">
            <w:pPr>
              <w:spacing w:after="120"/>
              <w:rPr>
                <w:b/>
              </w:rPr>
            </w:pPr>
            <w:r w:rsidRPr="007314B0">
              <w:t xml:space="preserve">La disponibilité ou l’accès à la mesure de la fonction rénale ne doit pas être un obstacle à l’initiation ou à l’utilisation de la PrEP. Si la fonction rénale est mesurée, la PrEP orale peut être initiée avant que les résultats ne soient </w:t>
            </w:r>
            <w:r w:rsidR="00B04D95" w:rsidRPr="007314B0">
              <w:t>reçus</w:t>
            </w:r>
            <w:r w:rsidRPr="007314B0">
              <w:t>.</w:t>
            </w:r>
          </w:p>
        </w:tc>
      </w:tr>
      <w:tr w:rsidR="00005411" w:rsidRPr="007314B0" w14:paraId="00217FD6" w14:textId="77777777" w:rsidTr="5FCE61C9">
        <w:trPr>
          <w:cantSplit/>
        </w:trPr>
        <w:tc>
          <w:tcPr>
            <w:tcW w:w="2921" w:type="dxa"/>
          </w:tcPr>
          <w:p w14:paraId="79193A60" w14:textId="160D1471" w:rsidR="00005411" w:rsidRPr="007314B0" w:rsidRDefault="00483119" w:rsidP="00DD508F">
            <w:pPr>
              <w:spacing w:after="120"/>
            </w:pPr>
            <w:r w:rsidRPr="007314B0">
              <w:t>Test de la fonction hépatique</w:t>
            </w:r>
          </w:p>
        </w:tc>
        <w:tc>
          <w:tcPr>
            <w:tcW w:w="7535" w:type="dxa"/>
          </w:tcPr>
          <w:p w14:paraId="6A6354CC" w14:textId="13B9A08F" w:rsidR="00C353D2" w:rsidRPr="007314B0" w:rsidRDefault="009E0990" w:rsidP="009C3063">
            <w:r w:rsidRPr="007314B0">
              <w:t xml:space="preserve">Lors des essais cliniques, une hépatotoxicité (indiquée par une élévation des niveaux de la fonction hépatique) a été signalée chez un petit nombre de patients recevant la CAB PrEP, même si les niveaux étaient similaires à ceux des personnes recevant des injections de placebo. Des tests de la fonction hépatique peuvent être envisagés avant et pendant l’utilisation de la CAB PrEP. La CAB PrEP ne doit pas être initiée chez les personnes présentant une maladie du foie à un stade avancé ou d’une hépatite virale aiguë (voir ci-dessus) et elle doit être arrêtée si l’hépatotoxicité est confirmée. </w:t>
            </w:r>
          </w:p>
          <w:p w14:paraId="57E17A66" w14:textId="4C37E1BA" w:rsidR="00005411" w:rsidRPr="007314B0" w:rsidRDefault="004315B7" w:rsidP="002E6EFB">
            <w:pPr>
              <w:rPr>
                <w:rStyle w:val="fontstyle01"/>
                <w:rFonts w:asciiTheme="minorHAnsi" w:hAnsiTheme="minorHAnsi" w:cstheme="minorBidi"/>
                <w:color w:val="auto"/>
              </w:rPr>
            </w:pPr>
            <w:r w:rsidRPr="007314B0">
              <w:rPr>
                <w:rStyle w:val="fontstyle01"/>
              </w:rPr>
              <w:t>Les injections de CAB PrEP ne doivent pas être re</w:t>
            </w:r>
            <w:r w:rsidR="00B04D95" w:rsidRPr="007314B0">
              <w:rPr>
                <w:rStyle w:val="fontstyle01"/>
              </w:rPr>
              <w:t>port</w:t>
            </w:r>
            <w:r w:rsidRPr="007314B0">
              <w:rPr>
                <w:rStyle w:val="fontstyle01"/>
              </w:rPr>
              <w:t xml:space="preserve">ées dans l’attente des résultats des tests éventuels de la fonction hépatique. </w:t>
            </w:r>
          </w:p>
        </w:tc>
      </w:tr>
      <w:tr w:rsidR="000A6FA6" w:rsidRPr="007314B0" w14:paraId="37038EF9" w14:textId="77777777" w:rsidTr="5FCE61C9">
        <w:tc>
          <w:tcPr>
            <w:tcW w:w="2921" w:type="dxa"/>
          </w:tcPr>
          <w:p w14:paraId="0778C8FB" w14:textId="3F3C9001" w:rsidR="000A6FA6" w:rsidRPr="007314B0" w:rsidRDefault="000A6FA6" w:rsidP="00DD508F">
            <w:pPr>
              <w:spacing w:after="120"/>
              <w:rPr>
                <w:rFonts w:cstheme="minorHAnsi"/>
                <w:bCs/>
              </w:rPr>
            </w:pPr>
            <w:r w:rsidRPr="007314B0">
              <w:t>Test de grossesse et fourniture de contraceptifs</w:t>
            </w:r>
          </w:p>
        </w:tc>
        <w:tc>
          <w:tcPr>
            <w:tcW w:w="7535" w:type="dxa"/>
          </w:tcPr>
          <w:p w14:paraId="678993AB" w14:textId="5351526F" w:rsidR="00E31761" w:rsidRPr="007314B0" w:rsidRDefault="6102FCF9" w:rsidP="00DD508F">
            <w:pPr>
              <w:pBdr>
                <w:top w:val="nil"/>
                <w:left w:val="nil"/>
                <w:bottom w:val="nil"/>
                <w:right w:val="nil"/>
                <w:between w:val="nil"/>
              </w:pBdr>
              <w:spacing w:after="120"/>
            </w:pPr>
            <w:r w:rsidRPr="007314B0">
              <w:t>Évaluer les intentions de grossesse et proposer un test et un counseling en matière de contraception ou de conception plus sûre. Un test de grossesse régulier est recommandé pour les patientes qui utilisent la PrEP et qui risquent de tomber enceintes.</w:t>
            </w:r>
          </w:p>
          <w:p w14:paraId="48E8F327" w14:textId="200F180B" w:rsidR="00F111CD" w:rsidRPr="007314B0" w:rsidRDefault="00F111CD" w:rsidP="00DD508F">
            <w:pPr>
              <w:pBdr>
                <w:top w:val="nil"/>
                <w:left w:val="nil"/>
                <w:bottom w:val="nil"/>
                <w:right w:val="nil"/>
                <w:between w:val="nil"/>
              </w:pBdr>
              <w:spacing w:after="120"/>
            </w:pPr>
            <w:r w:rsidRPr="007314B0">
              <w:t>La PrEP doit être fournie même si ces services ne sont pas disponibles ou si l</w:t>
            </w:r>
            <w:r w:rsidR="00716B76" w:rsidRPr="007314B0">
              <w:t>a</w:t>
            </w:r>
            <w:r w:rsidRPr="007314B0">
              <w:t xml:space="preserve"> patient</w:t>
            </w:r>
            <w:r w:rsidR="00716B76" w:rsidRPr="007314B0">
              <w:t>e</w:t>
            </w:r>
            <w:r w:rsidRPr="007314B0">
              <w:t xml:space="preserve"> ne peut </w:t>
            </w:r>
            <w:r w:rsidR="00716B76" w:rsidRPr="007314B0">
              <w:t xml:space="preserve">pas </w:t>
            </w:r>
            <w:r w:rsidRPr="007314B0">
              <w:t>ou ne souhaite pas y avoir accès. Ces services ne doivent pas faire obstacle à l’accès à la PrEP.</w:t>
            </w:r>
          </w:p>
          <w:p w14:paraId="3FC300D4" w14:textId="71D446E9" w:rsidR="0069549E" w:rsidRPr="007314B0" w:rsidRDefault="0069549E" w:rsidP="00DD508F">
            <w:pPr>
              <w:pBdr>
                <w:top w:val="nil"/>
                <w:left w:val="nil"/>
                <w:bottom w:val="nil"/>
                <w:right w:val="nil"/>
                <w:between w:val="nil"/>
              </w:pBdr>
              <w:spacing w:after="120"/>
              <w:rPr>
                <w:rFonts w:cstheme="minorHAnsi"/>
                <w:color w:val="000000"/>
              </w:rPr>
            </w:pPr>
            <w:r w:rsidRPr="007314B0">
              <w:lastRenderedPageBreak/>
              <w:t xml:space="preserve">Si une patiente est enceinte, l’orienter vers des soins prénatals et un counseling sur les options de grossesse (prière de consulter la section </w:t>
            </w:r>
            <w:r w:rsidRPr="007314B0">
              <w:rPr>
                <w:i/>
                <w:iCs/>
              </w:rPr>
              <w:t>Prise en charge des patients dans des situations spécifiques</w:t>
            </w:r>
            <w:r w:rsidRPr="007314B0">
              <w:t xml:space="preserve"> ci-dessous).</w:t>
            </w:r>
          </w:p>
        </w:tc>
      </w:tr>
      <w:tr w:rsidR="00831250" w:rsidRPr="007314B0" w14:paraId="2DA88D64" w14:textId="77777777" w:rsidTr="5FCE61C9">
        <w:trPr>
          <w:trHeight w:val="1160"/>
        </w:trPr>
        <w:tc>
          <w:tcPr>
            <w:tcW w:w="2921" w:type="dxa"/>
          </w:tcPr>
          <w:p w14:paraId="6FE6E47E" w14:textId="27BEE97D" w:rsidR="00461F8E" w:rsidRPr="007314B0" w:rsidRDefault="00EE34B4" w:rsidP="00DD508F">
            <w:pPr>
              <w:spacing w:after="120"/>
              <w:rPr>
                <w:rFonts w:cstheme="minorHAnsi"/>
                <w:bCs/>
              </w:rPr>
            </w:pPr>
            <w:r w:rsidRPr="007314B0">
              <w:lastRenderedPageBreak/>
              <w:t>Fourniture de services liés à la VBG, y compris les services liés à la VPI</w:t>
            </w:r>
          </w:p>
        </w:tc>
        <w:tc>
          <w:tcPr>
            <w:tcW w:w="7535" w:type="dxa"/>
          </w:tcPr>
          <w:p w14:paraId="61FDD766" w14:textId="669ADA62" w:rsidR="00461F8E" w:rsidRPr="007314B0" w:rsidRDefault="00EE34B4" w:rsidP="00DD508F">
            <w:pPr>
              <w:pBdr>
                <w:top w:val="nil"/>
                <w:left w:val="nil"/>
                <w:bottom w:val="nil"/>
                <w:right w:val="nil"/>
                <w:between w:val="nil"/>
              </w:pBdr>
              <w:spacing w:after="120"/>
              <w:rPr>
                <w:color w:val="000000" w:themeColor="text1"/>
              </w:rPr>
            </w:pPr>
            <w:r w:rsidRPr="007314B0">
              <w:rPr>
                <w:color w:val="000000" w:themeColor="text1"/>
              </w:rPr>
              <w:t>Les patients victimes de VBG, y compris de VPI, doivent bénéficier de services appropriés, selon les besoins et la disponibilité.</w:t>
            </w:r>
          </w:p>
          <w:p w14:paraId="07D8B89A" w14:textId="3017D2F7" w:rsidR="00F111CD" w:rsidRPr="007314B0" w:rsidRDefault="00F111CD" w:rsidP="00DD508F">
            <w:pPr>
              <w:pBdr>
                <w:top w:val="nil"/>
                <w:left w:val="nil"/>
                <w:bottom w:val="nil"/>
                <w:right w:val="nil"/>
                <w:between w:val="nil"/>
              </w:pBdr>
              <w:spacing w:after="120"/>
              <w:rPr>
                <w:color w:val="000000"/>
              </w:rPr>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r w:rsidR="000A6FA6" w:rsidRPr="007314B0" w14:paraId="13897197" w14:textId="77777777" w:rsidTr="5FCE61C9">
        <w:trPr>
          <w:trHeight w:val="1529"/>
        </w:trPr>
        <w:tc>
          <w:tcPr>
            <w:tcW w:w="2921" w:type="dxa"/>
          </w:tcPr>
          <w:p w14:paraId="34A902E4" w14:textId="47C12DDB" w:rsidR="000A6FA6" w:rsidRPr="007314B0" w:rsidRDefault="00744883" w:rsidP="00DD508F">
            <w:pPr>
              <w:spacing w:after="120"/>
              <w:rPr>
                <w:rFonts w:cstheme="minorHAnsi"/>
                <w:bCs/>
              </w:rPr>
            </w:pPr>
            <w:r w:rsidRPr="007314B0">
              <w:t>Évaluation des troubles de la santé mentale et de la toxicomanie et fourniture de services de soutien ou d’orientation, selon les besoins</w:t>
            </w:r>
          </w:p>
        </w:tc>
        <w:tc>
          <w:tcPr>
            <w:tcW w:w="7535" w:type="dxa"/>
          </w:tcPr>
          <w:p w14:paraId="5324B094" w14:textId="7C00FC62" w:rsidR="00244C2E" w:rsidRPr="007314B0" w:rsidRDefault="000A6FA6" w:rsidP="00DD508F">
            <w:pPr>
              <w:pBdr>
                <w:top w:val="nil"/>
                <w:left w:val="nil"/>
                <w:bottom w:val="nil"/>
                <w:right w:val="nil"/>
                <w:between w:val="nil"/>
              </w:pBdr>
              <w:spacing w:after="120"/>
              <w:rPr>
                <w:color w:val="000000"/>
              </w:rPr>
            </w:pPr>
            <w:r w:rsidRPr="007314B0">
              <w:rPr>
                <w:color w:val="000000" w:themeColor="text1"/>
              </w:rPr>
              <w:t xml:space="preserve">Dépister les problèmes de santé mentale, y compris la dépression et les troubles liés à la toxicomanie, qui pourraient accroître les risques d’exposition potentielle au VIH ou nuire à une bonne utilisation de la PrEP, et fournir </w:t>
            </w:r>
            <w:r w:rsidR="00BF5A2C" w:rsidRPr="007314B0">
              <w:rPr>
                <w:color w:val="000000" w:themeColor="text1"/>
              </w:rPr>
              <w:t xml:space="preserve">des services de suivi </w:t>
            </w:r>
            <w:r w:rsidRPr="007314B0">
              <w:rPr>
                <w:color w:val="000000" w:themeColor="text1"/>
              </w:rPr>
              <w:t>ou orienter les patients vers</w:t>
            </w:r>
            <w:r w:rsidR="00BF5A2C" w:rsidRPr="007314B0">
              <w:rPr>
                <w:color w:val="000000" w:themeColor="text1"/>
              </w:rPr>
              <w:t xml:space="preserve"> ces services</w:t>
            </w:r>
            <w:r w:rsidRPr="007314B0">
              <w:rPr>
                <w:color w:val="000000" w:themeColor="text1"/>
              </w:rPr>
              <w:t>, selon les besoins. Les patients avec des problèmes de santé mentale ou d’u</w:t>
            </w:r>
            <w:r w:rsidR="00BF5A2C" w:rsidRPr="007314B0">
              <w:rPr>
                <w:color w:val="000000" w:themeColor="text1"/>
              </w:rPr>
              <w:t xml:space="preserve">tilisation </w:t>
            </w:r>
            <w:r w:rsidRPr="007314B0">
              <w:rPr>
                <w:color w:val="000000" w:themeColor="text1"/>
              </w:rPr>
              <w:t>de substances ne devraient pas être privés de la PrEP s’ils peuvent l’utiliser efficacement.</w:t>
            </w:r>
          </w:p>
          <w:p w14:paraId="52E0C243" w14:textId="0AE6DE53" w:rsidR="00841AC9" w:rsidRPr="007314B0" w:rsidRDefault="00244C2E" w:rsidP="00E46321">
            <w:pPr>
              <w:pBdr>
                <w:top w:val="nil"/>
                <w:left w:val="nil"/>
                <w:bottom w:val="nil"/>
                <w:right w:val="nil"/>
                <w:between w:val="nil"/>
              </w:pBdr>
              <w:spacing w:after="120"/>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r w:rsidR="00742C59" w:rsidRPr="007314B0" w14:paraId="5C92A7D2" w14:textId="77777777" w:rsidTr="5FCE61C9">
        <w:tc>
          <w:tcPr>
            <w:tcW w:w="2921" w:type="dxa"/>
          </w:tcPr>
          <w:p w14:paraId="0BA8195F" w14:textId="6A938DCA" w:rsidR="00742C59" w:rsidRPr="007314B0" w:rsidRDefault="00742C59" w:rsidP="00DD508F">
            <w:pPr>
              <w:spacing w:after="120"/>
              <w:rPr>
                <w:rFonts w:cstheme="minorHAnsi"/>
                <w:bCs/>
              </w:rPr>
            </w:pPr>
            <w:r w:rsidRPr="007314B0">
              <w:t>Fourniture ou orientation vers des services de circoncision masculine médicale volontaire (</w:t>
            </w:r>
            <w:r w:rsidR="00BF5A2C" w:rsidRPr="007314B0">
              <w:rPr>
                <w:color w:val="000000"/>
              </w:rPr>
              <w:t>CMMV</w:t>
            </w:r>
            <w:r w:rsidRPr="007314B0">
              <w:t>)</w:t>
            </w:r>
          </w:p>
        </w:tc>
        <w:tc>
          <w:tcPr>
            <w:tcW w:w="7535" w:type="dxa"/>
          </w:tcPr>
          <w:p w14:paraId="372803BC" w14:textId="77777777" w:rsidR="00742C59" w:rsidRPr="007314B0" w:rsidRDefault="00742C59" w:rsidP="00DD508F">
            <w:pPr>
              <w:pBdr>
                <w:top w:val="nil"/>
                <w:left w:val="nil"/>
                <w:bottom w:val="nil"/>
                <w:right w:val="nil"/>
                <w:between w:val="nil"/>
              </w:pBdr>
              <w:spacing w:after="120"/>
              <w:rPr>
                <w:rFonts w:cstheme="minorHAnsi"/>
                <w:color w:val="000000"/>
              </w:rPr>
            </w:pPr>
            <w:r w:rsidRPr="007314B0">
              <w:rPr>
                <w:color w:val="000000"/>
              </w:rPr>
              <w:t>Les patients susceptibles de tirer profit de la CMMV peuvent recevoir ou être orientés vers ces services, conformément aux directives nationales.</w:t>
            </w:r>
          </w:p>
          <w:p w14:paraId="4AE2097C" w14:textId="362BC73B" w:rsidR="00244C2E" w:rsidRPr="007314B0" w:rsidRDefault="00244C2E" w:rsidP="00DD508F">
            <w:pPr>
              <w:pBdr>
                <w:top w:val="nil"/>
                <w:left w:val="nil"/>
                <w:bottom w:val="nil"/>
                <w:right w:val="nil"/>
                <w:between w:val="nil"/>
              </w:pBdr>
              <w:spacing w:after="120"/>
              <w:rPr>
                <w:color w:val="000000"/>
              </w:rPr>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r w:rsidR="00742C59" w:rsidRPr="007314B0" w14:paraId="5EE12259" w14:textId="77777777" w:rsidTr="5FCE61C9">
        <w:tc>
          <w:tcPr>
            <w:tcW w:w="2921" w:type="dxa"/>
          </w:tcPr>
          <w:p w14:paraId="12EE47D6" w14:textId="78C2BD2F" w:rsidR="00742C59" w:rsidRPr="007314B0" w:rsidRDefault="00742C59" w:rsidP="00DD508F">
            <w:pPr>
              <w:spacing w:after="120"/>
              <w:rPr>
                <w:rFonts w:cstheme="minorHAnsi"/>
                <w:bCs/>
              </w:rPr>
            </w:pPr>
            <w:r w:rsidRPr="007314B0">
              <w:t>Dépistage et traitement des maladies non transmissibles</w:t>
            </w:r>
          </w:p>
        </w:tc>
        <w:tc>
          <w:tcPr>
            <w:tcW w:w="7535" w:type="dxa"/>
          </w:tcPr>
          <w:p w14:paraId="65681A7A" w14:textId="77B149A2" w:rsidR="00742C59" w:rsidRPr="007314B0" w:rsidRDefault="00742C59" w:rsidP="00DD508F">
            <w:pPr>
              <w:pBdr>
                <w:top w:val="nil"/>
                <w:left w:val="nil"/>
                <w:bottom w:val="nil"/>
                <w:right w:val="nil"/>
                <w:between w:val="nil"/>
              </w:pBdr>
              <w:spacing w:after="120"/>
              <w:rPr>
                <w:rFonts w:cstheme="minorHAnsi"/>
                <w:color w:val="000000"/>
              </w:rPr>
            </w:pPr>
            <w:r w:rsidRPr="007314B0">
              <w:rPr>
                <w:color w:val="000000"/>
              </w:rPr>
              <w:t>Les patients peuvent avoir d’autres besoins en matière de santé, qui feront surface lors d’une visite chez un prestataire de soins de santé ou qui seront découverts lors d’une évaluation plus approfondie. Offrir les services de soins de santé pertinents aux patients ou les orienter vers les services appropriés selon les besoins et la disponibilité.</w:t>
            </w:r>
          </w:p>
          <w:p w14:paraId="5A468820" w14:textId="12B79C29" w:rsidR="00244C2E" w:rsidRPr="007314B0" w:rsidRDefault="00244C2E" w:rsidP="00DD508F">
            <w:pPr>
              <w:pBdr>
                <w:top w:val="nil"/>
                <w:left w:val="nil"/>
                <w:bottom w:val="nil"/>
                <w:right w:val="nil"/>
                <w:between w:val="nil"/>
              </w:pBdr>
              <w:spacing w:after="120"/>
              <w:rPr>
                <w:color w:val="000000"/>
              </w:rPr>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bl>
    <w:p w14:paraId="13FD596D" w14:textId="77777777" w:rsidR="5FCE61C9" w:rsidRPr="007314B0" w:rsidRDefault="5FCE61C9">
      <w:pPr>
        <w:rPr>
          <w:b/>
          <w:color w:val="000000" w:themeColor="text1"/>
        </w:rPr>
      </w:pPr>
    </w:p>
    <w:p w14:paraId="1064B1E6" w14:textId="77777777" w:rsidR="000D1A50" w:rsidRPr="007314B0" w:rsidRDefault="000D1A50">
      <w:pPr>
        <w:rPr>
          <w:b/>
          <w:color w:val="000000" w:themeColor="text1"/>
        </w:rPr>
      </w:pPr>
      <w:bookmarkStart w:id="49" w:name="_heading=h.lnxbz9"/>
      <w:bookmarkEnd w:id="49"/>
      <w:r w:rsidRPr="007314B0">
        <w:br w:type="page"/>
      </w:r>
    </w:p>
    <w:p w14:paraId="4B938DCE" w14:textId="6762C8C1" w:rsidR="00586470" w:rsidRPr="007314B0" w:rsidRDefault="00586470" w:rsidP="00365CE7">
      <w:pPr>
        <w:rPr>
          <w:b/>
          <w:color w:val="000000"/>
        </w:rPr>
      </w:pPr>
      <w:r w:rsidRPr="007314B0">
        <w:rPr>
          <w:b/>
          <w:color w:val="000000" w:themeColor="text1"/>
        </w:rPr>
        <w:lastRenderedPageBreak/>
        <w:t xml:space="preserve">Tableau 3. Procédures suggérées pour mesurer la fonction rénale des patients utilisant la PrEP orale </w:t>
      </w:r>
    </w:p>
    <w:tbl>
      <w:tblPr>
        <w:tblW w:w="0" w:type="auto"/>
        <w:tblLook w:val="04A0" w:firstRow="1" w:lastRow="0" w:firstColumn="1" w:lastColumn="0" w:noHBand="0" w:noVBand="1"/>
      </w:tblPr>
      <w:tblGrid>
        <w:gridCol w:w="2362"/>
        <w:gridCol w:w="2313"/>
        <w:gridCol w:w="5781"/>
      </w:tblGrid>
      <w:tr w:rsidR="00963C5D" w:rsidRPr="007314B0" w14:paraId="78FF12DF" w14:textId="77777777" w:rsidTr="00B25741">
        <w:tc>
          <w:tcPr>
            <w:tcW w:w="2362" w:type="dxa"/>
            <w:shd w:val="clear" w:color="auto" w:fill="4472C4" w:themeFill="accent1"/>
          </w:tcPr>
          <w:p w14:paraId="76B3EE60" w14:textId="77777777" w:rsidR="00586470" w:rsidRPr="007314B0" w:rsidRDefault="00586470" w:rsidP="00C630B6">
            <w:pPr>
              <w:spacing w:after="120"/>
              <w:rPr>
                <w:rFonts w:cstheme="minorHAnsi"/>
              </w:rPr>
            </w:pPr>
            <w:r w:rsidRPr="007314B0">
              <w:rPr>
                <w:b/>
                <w:color w:val="FFFFFF"/>
              </w:rPr>
              <w:t>Population(s)</w:t>
            </w:r>
          </w:p>
        </w:tc>
        <w:tc>
          <w:tcPr>
            <w:tcW w:w="2313" w:type="dxa"/>
            <w:shd w:val="clear" w:color="auto" w:fill="4472C4" w:themeFill="accent1"/>
          </w:tcPr>
          <w:p w14:paraId="6FCCD135" w14:textId="77777777" w:rsidR="00586470" w:rsidRPr="007314B0" w:rsidRDefault="00586470" w:rsidP="00C630B6">
            <w:pPr>
              <w:spacing w:after="120"/>
              <w:rPr>
                <w:rFonts w:cstheme="minorHAnsi"/>
              </w:rPr>
            </w:pPr>
            <w:r w:rsidRPr="007314B0">
              <w:rPr>
                <w:b/>
                <w:color w:val="FFFFFF"/>
              </w:rPr>
              <w:t>Dépistage de base</w:t>
            </w:r>
          </w:p>
        </w:tc>
        <w:tc>
          <w:tcPr>
            <w:tcW w:w="5781" w:type="dxa"/>
            <w:shd w:val="clear" w:color="auto" w:fill="4472C4" w:themeFill="accent1"/>
          </w:tcPr>
          <w:p w14:paraId="1F82D3AB" w14:textId="77777777" w:rsidR="00586470" w:rsidRPr="007314B0" w:rsidRDefault="00586470" w:rsidP="00C630B6">
            <w:pPr>
              <w:spacing w:after="120"/>
              <w:rPr>
                <w:rFonts w:cstheme="minorHAnsi"/>
                <w:b/>
                <w:color w:val="FFFFFF"/>
              </w:rPr>
            </w:pPr>
            <w:r w:rsidRPr="007314B0">
              <w:rPr>
                <w:b/>
                <w:color w:val="FFFFFF"/>
              </w:rPr>
              <w:t>Dépistage de suivi</w:t>
            </w:r>
          </w:p>
        </w:tc>
      </w:tr>
      <w:tr w:rsidR="00963C5D" w:rsidRPr="007314B0" w14:paraId="631F6D6A" w14:textId="77777777" w:rsidTr="00B25741">
        <w:trPr>
          <w:trHeight w:val="1304"/>
        </w:trPr>
        <w:tc>
          <w:tcPr>
            <w:tcW w:w="2362" w:type="dxa"/>
            <w:tcBorders>
              <w:bottom w:val="single" w:sz="4" w:space="0" w:color="auto"/>
            </w:tcBorders>
          </w:tcPr>
          <w:p w14:paraId="64BC08A1" w14:textId="43FA219D" w:rsidR="00586470" w:rsidRPr="007314B0" w:rsidRDefault="00586470" w:rsidP="00C630B6">
            <w:pPr>
              <w:spacing w:after="120"/>
              <w:rPr>
                <w:rFonts w:cstheme="minorHAnsi"/>
                <w:i/>
              </w:rPr>
            </w:pPr>
            <w:r w:rsidRPr="007314B0">
              <w:rPr>
                <w:color w:val="000000"/>
              </w:rPr>
              <w:t>Personnes âgées de 29 ans et moins, sans comorbidités rénales</w:t>
            </w:r>
            <w:r w:rsidRPr="007314B0">
              <w:rPr>
                <w:color w:val="000000"/>
                <w:vertAlign w:val="superscript"/>
              </w:rPr>
              <w:t>0</w:t>
            </w:r>
            <w:r w:rsidRPr="007314B0">
              <w:rPr>
                <w:color w:val="000000"/>
              </w:rPr>
              <w:t xml:space="preserve"> </w:t>
            </w:r>
          </w:p>
        </w:tc>
        <w:tc>
          <w:tcPr>
            <w:tcW w:w="2313" w:type="dxa"/>
            <w:tcBorders>
              <w:bottom w:val="single" w:sz="4" w:space="0" w:color="auto"/>
            </w:tcBorders>
          </w:tcPr>
          <w:p w14:paraId="1CA4022D" w14:textId="77777777" w:rsidR="00586470" w:rsidRPr="007314B0" w:rsidRDefault="00586470" w:rsidP="00C630B6">
            <w:pPr>
              <w:pBdr>
                <w:top w:val="nil"/>
                <w:left w:val="nil"/>
                <w:bottom w:val="nil"/>
                <w:right w:val="nil"/>
                <w:between w:val="nil"/>
              </w:pBdr>
              <w:spacing w:after="120"/>
              <w:rPr>
                <w:rFonts w:cstheme="minorHAnsi"/>
                <w:color w:val="000000"/>
              </w:rPr>
            </w:pPr>
            <w:r w:rsidRPr="007314B0">
              <w:rPr>
                <w:color w:val="000000"/>
              </w:rPr>
              <w:t>Facultatif</w:t>
            </w:r>
          </w:p>
        </w:tc>
        <w:tc>
          <w:tcPr>
            <w:tcW w:w="5781" w:type="dxa"/>
            <w:tcBorders>
              <w:bottom w:val="single" w:sz="4" w:space="0" w:color="auto"/>
            </w:tcBorders>
          </w:tcPr>
          <w:p w14:paraId="5AF42B39" w14:textId="5FB3F48E" w:rsidR="00586470" w:rsidRPr="007314B0" w:rsidRDefault="00586470" w:rsidP="00C630B6">
            <w:pPr>
              <w:spacing w:after="120"/>
              <w:rPr>
                <w:rFonts w:cstheme="minorHAnsi"/>
                <w:color w:val="000000"/>
              </w:rPr>
            </w:pPr>
            <w:r w:rsidRPr="007314B0">
              <w:rPr>
                <w:color w:val="000000"/>
              </w:rPr>
              <w:t>Si aucun test n’est effectué ou si le test de base est normal,</w:t>
            </w:r>
            <w:r w:rsidRPr="007314B0">
              <w:rPr>
                <w:color w:val="000000"/>
                <w:vertAlign w:val="superscript"/>
              </w:rPr>
              <w:t>1</w:t>
            </w:r>
            <w:r w:rsidRPr="007314B0">
              <w:rPr>
                <w:color w:val="000000"/>
              </w:rPr>
              <w:t xml:space="preserve"> le suivi est facultatif jusqu’à ce que le patient atteigne l’âge de 30 ans ou si des comorbidités rénales apparaissent.</w:t>
            </w:r>
          </w:p>
          <w:p w14:paraId="642B105B" w14:textId="45384B1C" w:rsidR="00586470" w:rsidRPr="007314B0" w:rsidRDefault="00C63EE9">
            <w:pPr>
              <w:pBdr>
                <w:top w:val="nil"/>
                <w:left w:val="nil"/>
                <w:bottom w:val="nil"/>
                <w:right w:val="nil"/>
                <w:between w:val="nil"/>
              </w:pBdr>
              <w:spacing w:after="120"/>
              <w:rPr>
                <w:rFonts w:cstheme="minorHAnsi"/>
                <w:color w:val="000000"/>
              </w:rPr>
            </w:pPr>
            <w:r w:rsidRPr="007314B0">
              <w:t>Si le résultat du test de base suggère une perte au moins légère de la fonction rénale,</w:t>
            </w:r>
            <w:r w:rsidRPr="007314B0">
              <w:rPr>
                <w:vertAlign w:val="superscript"/>
              </w:rPr>
              <w:t>2</w:t>
            </w:r>
            <w:r w:rsidRPr="007314B0">
              <w:t xml:space="preserve"> il est suggéré d’effectuer des mesures de suivi tous les six à douze mois.</w:t>
            </w:r>
          </w:p>
        </w:tc>
      </w:tr>
      <w:tr w:rsidR="00963C5D" w:rsidRPr="007314B0" w14:paraId="05807B69" w14:textId="77777777" w:rsidTr="00B25741">
        <w:tc>
          <w:tcPr>
            <w:tcW w:w="2362" w:type="dxa"/>
            <w:tcBorders>
              <w:top w:val="single" w:sz="4" w:space="0" w:color="auto"/>
              <w:bottom w:val="single" w:sz="4" w:space="0" w:color="auto"/>
            </w:tcBorders>
          </w:tcPr>
          <w:p w14:paraId="47B56D19" w14:textId="20339862" w:rsidR="00586470" w:rsidRPr="007314B0" w:rsidRDefault="00586470" w:rsidP="00C630B6">
            <w:pPr>
              <w:spacing w:after="120"/>
              <w:rPr>
                <w:rFonts w:cstheme="minorHAnsi"/>
                <w:i/>
              </w:rPr>
            </w:pPr>
            <w:r w:rsidRPr="007314B0">
              <w:rPr>
                <w:color w:val="000000"/>
              </w:rPr>
              <w:t>Personnes âgées de 30 à 49 ans, sans comorbidités rénales</w:t>
            </w:r>
            <w:r w:rsidRPr="007314B0">
              <w:rPr>
                <w:color w:val="000000"/>
                <w:vertAlign w:val="superscript"/>
              </w:rPr>
              <w:t>0</w:t>
            </w:r>
            <w:r w:rsidRPr="007314B0">
              <w:rPr>
                <w:color w:val="000000"/>
              </w:rPr>
              <w:t xml:space="preserve"> </w:t>
            </w:r>
          </w:p>
        </w:tc>
        <w:tc>
          <w:tcPr>
            <w:tcW w:w="2313" w:type="dxa"/>
            <w:tcBorders>
              <w:top w:val="single" w:sz="4" w:space="0" w:color="auto"/>
              <w:bottom w:val="single" w:sz="4" w:space="0" w:color="auto"/>
            </w:tcBorders>
          </w:tcPr>
          <w:p w14:paraId="083C2388" w14:textId="53BC8C86" w:rsidR="00586470" w:rsidRPr="007314B0" w:rsidRDefault="00E122AB" w:rsidP="00C630B6">
            <w:pPr>
              <w:pBdr>
                <w:top w:val="nil"/>
                <w:left w:val="nil"/>
                <w:bottom w:val="nil"/>
                <w:right w:val="nil"/>
                <w:between w:val="nil"/>
              </w:pBdr>
              <w:spacing w:after="120"/>
              <w:rPr>
                <w:rStyle w:val="fontstyle01"/>
                <w:rFonts w:cstheme="minorBidi"/>
              </w:rPr>
            </w:pPr>
            <w:r w:rsidRPr="007314B0">
              <w:rPr>
                <w:rStyle w:val="fontstyle01"/>
              </w:rPr>
              <w:t>Effectuer un test lors de l’initiation ou d’une visite de suivi, un à trois mois après l’initiation.</w:t>
            </w:r>
            <w:r w:rsidRPr="007314B0">
              <w:rPr>
                <w:rStyle w:val="fontstyle01"/>
                <w:rFonts w:asciiTheme="minorHAnsi" w:hAnsiTheme="minorHAnsi"/>
              </w:rPr>
              <w:t xml:space="preserve"> </w:t>
            </w:r>
            <w:r w:rsidRPr="007314B0">
              <w:rPr>
                <w:rStyle w:val="fontstyle01"/>
              </w:rPr>
              <w:t>Cependant, le test peut être considéré comme facultatif si les ressources sont limitées et s’il n’existe pas d’antécédents de comorbidités rénales, en particulier pour les personnes âgées de 30 à 39 ans.</w:t>
            </w:r>
          </w:p>
          <w:p w14:paraId="16274003" w14:textId="46460BB6" w:rsidR="002239A2" w:rsidRPr="007314B0" w:rsidRDefault="002239A2" w:rsidP="00C630B6">
            <w:pPr>
              <w:pBdr>
                <w:top w:val="nil"/>
                <w:left w:val="nil"/>
                <w:bottom w:val="nil"/>
                <w:right w:val="nil"/>
                <w:between w:val="nil"/>
              </w:pBdr>
              <w:spacing w:after="120"/>
              <w:rPr>
                <w:color w:val="000000"/>
              </w:rPr>
            </w:pPr>
          </w:p>
        </w:tc>
        <w:tc>
          <w:tcPr>
            <w:tcW w:w="5781" w:type="dxa"/>
            <w:tcBorders>
              <w:top w:val="single" w:sz="4" w:space="0" w:color="auto"/>
              <w:bottom w:val="single" w:sz="4" w:space="0" w:color="auto"/>
            </w:tcBorders>
          </w:tcPr>
          <w:p w14:paraId="7ACF6417" w14:textId="173BAEC3" w:rsidR="00586470" w:rsidRPr="007314B0" w:rsidRDefault="00586470" w:rsidP="00C630B6">
            <w:pPr>
              <w:spacing w:after="120"/>
              <w:rPr>
                <w:rFonts w:cstheme="minorHAnsi"/>
                <w:color w:val="000000"/>
              </w:rPr>
            </w:pPr>
            <w:r w:rsidRPr="007314B0">
              <w:rPr>
                <w:color w:val="000000"/>
              </w:rPr>
              <w:t>Si le test de base est normal,</w:t>
            </w:r>
            <w:r w:rsidRPr="007314B0">
              <w:rPr>
                <w:color w:val="000000"/>
                <w:vertAlign w:val="superscript"/>
              </w:rPr>
              <w:t>1</w:t>
            </w:r>
            <w:r w:rsidRPr="007314B0">
              <w:rPr>
                <w:color w:val="000000"/>
              </w:rPr>
              <w:t xml:space="preserve"> le test de suivi est facultatif jusqu’à ce que le patient atteigne l’âge de 50 ans ou si des comorbidités rénales apparaissent.</w:t>
            </w:r>
          </w:p>
          <w:p w14:paraId="013FBE9F" w14:textId="47C5B95E" w:rsidR="00586470" w:rsidRPr="007314B0" w:rsidRDefault="00E479EA" w:rsidP="00C630B6">
            <w:pPr>
              <w:pBdr>
                <w:top w:val="nil"/>
                <w:left w:val="nil"/>
                <w:bottom w:val="nil"/>
                <w:right w:val="nil"/>
                <w:between w:val="nil"/>
              </w:pBdr>
              <w:spacing w:after="120"/>
              <w:rPr>
                <w:rFonts w:cstheme="minorHAnsi"/>
                <w:color w:val="000000"/>
              </w:rPr>
            </w:pPr>
            <w:r w:rsidRPr="007314B0">
              <w:t>Si le résultat du test de base suggère une perte au moins légère de la fonction rénale,</w:t>
            </w:r>
            <w:r w:rsidRPr="007314B0">
              <w:rPr>
                <w:vertAlign w:val="superscript"/>
              </w:rPr>
              <w:t>2</w:t>
            </w:r>
            <w:r w:rsidRPr="007314B0">
              <w:t xml:space="preserve"> il est suggéré d’effectuer des mesures de suivi tous les six à douze mois.</w:t>
            </w:r>
          </w:p>
        </w:tc>
      </w:tr>
      <w:tr w:rsidR="009A2FC6" w:rsidRPr="007314B0" w14:paraId="1EE7106B" w14:textId="77777777" w:rsidTr="00B25741">
        <w:tc>
          <w:tcPr>
            <w:tcW w:w="2362" w:type="dxa"/>
            <w:tcBorders>
              <w:top w:val="single" w:sz="4" w:space="0" w:color="auto"/>
              <w:bottom w:val="single" w:sz="4" w:space="0" w:color="auto"/>
            </w:tcBorders>
          </w:tcPr>
          <w:p w14:paraId="467D555A" w14:textId="77777777" w:rsidR="009A2FC6" w:rsidRPr="007314B0" w:rsidRDefault="009A2FC6" w:rsidP="009A2FC6">
            <w:pPr>
              <w:spacing w:after="120"/>
              <w:rPr>
                <w:rFonts w:cstheme="minorHAnsi"/>
                <w:color w:val="000000"/>
              </w:rPr>
            </w:pPr>
            <w:r w:rsidRPr="007314B0">
              <w:rPr>
                <w:color w:val="000000"/>
              </w:rPr>
              <w:t xml:space="preserve">Personnes âgées de 50 ans et plus </w:t>
            </w:r>
          </w:p>
          <w:p w14:paraId="5506B41C" w14:textId="77777777" w:rsidR="009A2FC6" w:rsidRPr="007314B0" w:rsidRDefault="009A2FC6" w:rsidP="009A2FC6">
            <w:pPr>
              <w:spacing w:after="120"/>
              <w:rPr>
                <w:rFonts w:cstheme="minorHAnsi"/>
                <w:color w:val="000000"/>
                <w:vertAlign w:val="superscript"/>
              </w:rPr>
            </w:pPr>
            <w:r w:rsidRPr="007314B0">
              <w:rPr>
                <w:color w:val="000000"/>
              </w:rPr>
              <w:t>Personnes de tous âges présentant des comorbidités rénales</w:t>
            </w:r>
            <w:r w:rsidRPr="007314B0">
              <w:rPr>
                <w:color w:val="000000"/>
                <w:vertAlign w:val="superscript"/>
              </w:rPr>
              <w:t>0</w:t>
            </w:r>
          </w:p>
          <w:p w14:paraId="2E5DFA60" w14:textId="5FBC419E" w:rsidR="009A2FC6" w:rsidRPr="007314B0" w:rsidRDefault="009A2FC6" w:rsidP="009A2FC6">
            <w:pPr>
              <w:spacing w:after="120"/>
              <w:rPr>
                <w:rFonts w:cstheme="minorHAnsi"/>
                <w:color w:val="000000"/>
              </w:rPr>
            </w:pPr>
            <w:r w:rsidRPr="007314B0">
              <w:rPr>
                <w:color w:val="000000"/>
              </w:rPr>
              <w:t>Personnes dont la fonction rénale a déjà été mesurée et dont les résultats suggèrent une perte au moins légère de la fonction</w:t>
            </w:r>
            <w:r w:rsidRPr="007314B0">
              <w:rPr>
                <w:color w:val="000000"/>
                <w:vertAlign w:val="superscript"/>
              </w:rPr>
              <w:t>2</w:t>
            </w:r>
          </w:p>
        </w:tc>
        <w:tc>
          <w:tcPr>
            <w:tcW w:w="2313" w:type="dxa"/>
            <w:tcBorders>
              <w:top w:val="single" w:sz="4" w:space="0" w:color="auto"/>
              <w:bottom w:val="single" w:sz="4" w:space="0" w:color="auto"/>
            </w:tcBorders>
          </w:tcPr>
          <w:p w14:paraId="665AF157" w14:textId="694748B2" w:rsidR="009A2FC6" w:rsidRPr="007314B0" w:rsidRDefault="009A2FC6" w:rsidP="009A2FC6">
            <w:pPr>
              <w:pBdr>
                <w:top w:val="nil"/>
                <w:left w:val="nil"/>
                <w:bottom w:val="nil"/>
                <w:right w:val="nil"/>
                <w:between w:val="nil"/>
              </w:pBdr>
              <w:spacing w:after="120"/>
              <w:rPr>
                <w:rStyle w:val="fontstyle01"/>
                <w:rFonts w:asciiTheme="minorHAnsi" w:hAnsiTheme="minorHAnsi" w:cstheme="minorBidi"/>
              </w:rPr>
            </w:pPr>
            <w:r w:rsidRPr="007314B0">
              <w:rPr>
                <w:rStyle w:val="fontstyle01"/>
                <w:rFonts w:asciiTheme="minorHAnsi" w:hAnsiTheme="minorHAnsi"/>
              </w:rPr>
              <w:t>Effectuer un test lors de l’initiation ou d’une visite de suivi, un à trois mois après l’initiation.</w:t>
            </w:r>
          </w:p>
        </w:tc>
        <w:tc>
          <w:tcPr>
            <w:tcW w:w="5781" w:type="dxa"/>
            <w:tcBorders>
              <w:top w:val="single" w:sz="4" w:space="0" w:color="auto"/>
              <w:bottom w:val="single" w:sz="4" w:space="0" w:color="auto"/>
            </w:tcBorders>
          </w:tcPr>
          <w:p w14:paraId="49E986D9" w14:textId="6967F4E2" w:rsidR="009A2FC6" w:rsidRPr="007314B0" w:rsidRDefault="009A2FC6" w:rsidP="009A2FC6">
            <w:pPr>
              <w:spacing w:after="120"/>
              <w:rPr>
                <w:rFonts w:cstheme="minorHAnsi"/>
                <w:color w:val="000000"/>
              </w:rPr>
            </w:pPr>
            <w:r w:rsidRPr="007314B0">
              <w:rPr>
                <w:color w:val="000000"/>
              </w:rPr>
              <w:t>Effectuer des mesures de suivi tous les six à douze mois.</w:t>
            </w:r>
          </w:p>
        </w:tc>
      </w:tr>
    </w:tbl>
    <w:p w14:paraId="55B77101" w14:textId="1850C4A6" w:rsidR="00E122AB" w:rsidRPr="007314B0" w:rsidRDefault="004708B3" w:rsidP="00FE60D6">
      <w:pPr>
        <w:spacing w:before="120" w:after="120" w:line="240" w:lineRule="auto"/>
        <w:rPr>
          <w:rFonts w:cstheme="minorHAnsi"/>
          <w:sz w:val="20"/>
          <w:szCs w:val="20"/>
        </w:rPr>
      </w:pPr>
      <w:r w:rsidRPr="007314B0">
        <w:rPr>
          <w:sz w:val="20"/>
          <w:szCs w:val="20"/>
          <w:vertAlign w:val="superscript"/>
        </w:rPr>
        <w:t>0</w:t>
      </w:r>
      <w:r w:rsidRPr="007314B0">
        <w:rPr>
          <w:sz w:val="20"/>
          <w:szCs w:val="20"/>
        </w:rPr>
        <w:t>Les comorbidités rénales comprennent les maladies rénales chroniques ou les facteurs de risque comme le diabète ou l’hypertension. Les femmes enceintes peuvent présenter un risque accru d’effets indésirables liés aux reins et des conditions telles que la prééclampsie peuvent entraîner une insuffisance rénale. Ainsi, on peut envisager une surveillance plus fréquente de la fonction rénale chez les femmes enceintes.</w:t>
      </w:r>
    </w:p>
    <w:p w14:paraId="6903A310" w14:textId="36E3CFDC" w:rsidR="00586470" w:rsidRPr="007314B0" w:rsidRDefault="004708B3" w:rsidP="002B177B">
      <w:pPr>
        <w:spacing w:after="120" w:line="240" w:lineRule="auto"/>
        <w:rPr>
          <w:rFonts w:cstheme="minorHAnsi"/>
          <w:sz w:val="20"/>
          <w:szCs w:val="20"/>
        </w:rPr>
      </w:pPr>
      <w:r w:rsidRPr="007314B0">
        <w:rPr>
          <w:sz w:val="20"/>
          <w:szCs w:val="20"/>
          <w:vertAlign w:val="superscript"/>
        </w:rPr>
        <w:t>1</w:t>
      </w:r>
      <w:r w:rsidRPr="007314B0">
        <w:rPr>
          <w:sz w:val="20"/>
          <w:szCs w:val="20"/>
        </w:rPr>
        <w:t xml:space="preserve"> </w:t>
      </w:r>
      <w:proofErr w:type="spellStart"/>
      <w:r w:rsidRPr="007314B0">
        <w:rPr>
          <w:sz w:val="20"/>
          <w:szCs w:val="20"/>
        </w:rPr>
        <w:t>eGFR</w:t>
      </w:r>
      <w:proofErr w:type="spellEnd"/>
      <w:r w:rsidRPr="007314B0">
        <w:rPr>
          <w:sz w:val="20"/>
          <w:szCs w:val="20"/>
        </w:rPr>
        <w:t xml:space="preserve"> ≥90 ml/min par 1,73 m</w:t>
      </w:r>
      <w:r w:rsidRPr="007314B0">
        <w:rPr>
          <w:sz w:val="20"/>
          <w:szCs w:val="20"/>
          <w:vertAlign w:val="superscript"/>
        </w:rPr>
        <w:t>2</w:t>
      </w:r>
      <w:r w:rsidRPr="007314B0">
        <w:rPr>
          <w:sz w:val="20"/>
          <w:szCs w:val="20"/>
        </w:rPr>
        <w:t xml:space="preserve"> ou clairance de la créatinine de ≥90 ml/min.</w:t>
      </w:r>
    </w:p>
    <w:p w14:paraId="2B63738F" w14:textId="0C51B22F" w:rsidR="00A51878" w:rsidRPr="007314B0" w:rsidRDefault="004708B3" w:rsidP="000E2A37">
      <w:pPr>
        <w:spacing w:after="120" w:line="240" w:lineRule="auto"/>
        <w:rPr>
          <w:rFonts w:cstheme="minorHAnsi"/>
          <w:sz w:val="20"/>
          <w:szCs w:val="20"/>
        </w:rPr>
      </w:pPr>
      <w:r w:rsidRPr="007314B0">
        <w:rPr>
          <w:sz w:val="20"/>
          <w:szCs w:val="20"/>
          <w:vertAlign w:val="superscript"/>
        </w:rPr>
        <w:t>2</w:t>
      </w:r>
      <w:r w:rsidRPr="007314B0">
        <w:rPr>
          <w:sz w:val="20"/>
          <w:szCs w:val="20"/>
        </w:rPr>
        <w:t xml:space="preserve"> </w:t>
      </w:r>
      <w:proofErr w:type="spellStart"/>
      <w:r w:rsidRPr="007314B0">
        <w:rPr>
          <w:sz w:val="20"/>
          <w:szCs w:val="20"/>
        </w:rPr>
        <w:t>eGFR</w:t>
      </w:r>
      <w:proofErr w:type="spellEnd"/>
      <w:r w:rsidRPr="007314B0">
        <w:rPr>
          <w:sz w:val="20"/>
          <w:szCs w:val="20"/>
        </w:rPr>
        <w:t xml:space="preserve"> &lt;90 ml/min par 1,73 m</w:t>
      </w:r>
      <w:r w:rsidRPr="007314B0">
        <w:rPr>
          <w:sz w:val="20"/>
          <w:szCs w:val="20"/>
          <w:vertAlign w:val="superscript"/>
        </w:rPr>
        <w:t>2</w:t>
      </w:r>
      <w:r w:rsidRPr="007314B0">
        <w:rPr>
          <w:sz w:val="20"/>
          <w:szCs w:val="20"/>
        </w:rPr>
        <w:t xml:space="preserve"> ou clairance de la créatinine de &lt;90 ml/min.</w:t>
      </w:r>
    </w:p>
    <w:p w14:paraId="0A508156" w14:textId="77777777" w:rsidR="009B71A8" w:rsidRPr="007314B0" w:rsidRDefault="009B71A8">
      <w:pPr>
        <w:rPr>
          <w:rFonts w:cstheme="minorHAnsi"/>
          <w:b/>
        </w:rPr>
      </w:pPr>
      <w:r w:rsidRPr="007314B0">
        <w:br w:type="page"/>
      </w:r>
    </w:p>
    <w:p w14:paraId="19909347" w14:textId="62317972" w:rsidR="00AC7F6A" w:rsidRPr="007314B0" w:rsidRDefault="00AC7F6A" w:rsidP="000E2A37">
      <w:pPr>
        <w:spacing w:after="120" w:line="240" w:lineRule="auto"/>
        <w:rPr>
          <w:b/>
        </w:rPr>
      </w:pPr>
      <w:r w:rsidRPr="007314B0">
        <w:rPr>
          <w:b/>
        </w:rPr>
        <w:lastRenderedPageBreak/>
        <w:t xml:space="preserve">Encadré 4. </w:t>
      </w:r>
      <w:r w:rsidRPr="007314B0">
        <w:rPr>
          <w:rStyle w:val="fontstyle01"/>
          <w:rFonts w:asciiTheme="minorHAnsi" w:hAnsiTheme="minorHAnsi"/>
          <w:b/>
        </w:rPr>
        <w:t xml:space="preserve">Mesure de la fonction rénale des patients utilisant la PrEP orale </w:t>
      </w:r>
    </w:p>
    <w:tbl>
      <w:tblPr>
        <w:tblW w:w="0" w:type="auto"/>
        <w:tblLook w:val="04A0" w:firstRow="1" w:lastRow="0" w:firstColumn="1" w:lastColumn="0" w:noHBand="0" w:noVBand="1"/>
      </w:tblPr>
      <w:tblGrid>
        <w:gridCol w:w="10456"/>
      </w:tblGrid>
      <w:tr w:rsidR="00AC7F6A" w:rsidRPr="007314B0" w14:paraId="0E6824BF" w14:textId="77777777" w:rsidTr="00B25741">
        <w:trPr>
          <w:trHeight w:val="11313"/>
        </w:trPr>
        <w:tc>
          <w:tcPr>
            <w:tcW w:w="10456" w:type="dxa"/>
            <w:shd w:val="clear" w:color="auto" w:fill="D9E2F3" w:themeFill="accent1" w:themeFillTint="33"/>
          </w:tcPr>
          <w:p w14:paraId="49972A90" w14:textId="079A4F57" w:rsidR="00175BEE" w:rsidRPr="007314B0" w:rsidRDefault="00AC7F6A" w:rsidP="00AC7F6A">
            <w:pPr>
              <w:rPr>
                <w:rStyle w:val="fontstyle01"/>
                <w:rFonts w:asciiTheme="minorHAnsi" w:hAnsiTheme="minorHAnsi" w:cstheme="minorBidi"/>
              </w:rPr>
            </w:pPr>
            <w:r w:rsidRPr="007314B0">
              <w:rPr>
                <w:rStyle w:val="fontstyle01"/>
                <w:rFonts w:asciiTheme="minorHAnsi" w:hAnsiTheme="minorHAnsi"/>
              </w:rPr>
              <w:t>Le taux de filtration glomérulaire (GFR) est une mesure de la fonction rénale. Un GFR de ≥90 ml/min par 1,73 m</w:t>
            </w:r>
            <w:r w:rsidRPr="007314B0">
              <w:rPr>
                <w:rStyle w:val="fontstyle01"/>
                <w:rFonts w:asciiTheme="minorHAnsi" w:hAnsiTheme="minorHAnsi"/>
                <w:vertAlign w:val="superscript"/>
              </w:rPr>
              <w:t>2</w:t>
            </w:r>
            <w:r w:rsidRPr="007314B0">
              <w:rPr>
                <w:rStyle w:val="fontstyle01"/>
                <w:rFonts w:asciiTheme="minorHAnsi" w:hAnsiTheme="minorHAnsi"/>
              </w:rPr>
              <w:t xml:space="preserve"> indique une fonction rénale normale. La mesure de la clairance de l’inuline urinaire est la norme de référence pour le GFR, mais elle est difficile à mettre en œuvre de manière régulière. </w:t>
            </w:r>
            <w:r w:rsidRPr="007314B0">
              <w:rPr>
                <w:rStyle w:val="fontstyle01"/>
              </w:rPr>
              <w:t>Des mesures alternatives utilisent la créatinine sérique pour estimer le GFR (</w:t>
            </w:r>
            <w:proofErr w:type="spellStart"/>
            <w:r w:rsidRPr="007314B0">
              <w:rPr>
                <w:rStyle w:val="fontstyle01"/>
              </w:rPr>
              <w:t>eGFR</w:t>
            </w:r>
            <w:proofErr w:type="spellEnd"/>
            <w:r w:rsidRPr="007314B0">
              <w:rPr>
                <w:rStyle w:val="fontstyle01"/>
              </w:rPr>
              <w:t>).</w:t>
            </w:r>
            <w:r w:rsidRPr="007314B0">
              <w:rPr>
                <w:rStyle w:val="fontstyle01"/>
                <w:rFonts w:asciiTheme="minorHAnsi" w:hAnsiTheme="minorHAnsi"/>
              </w:rPr>
              <w:t xml:space="preserve"> Il faut tenir compte des directives nationales concernant les méthodes à privilégier et calculer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à l’aide d’une équation validée pour la population spécifique. </w:t>
            </w:r>
            <w:r w:rsidRPr="007314B0">
              <w:rPr>
                <w:rStyle w:val="fontstyle01"/>
              </w:rPr>
              <w:t>Les unités pour l’</w:t>
            </w:r>
            <w:proofErr w:type="spellStart"/>
            <w:r w:rsidRPr="007314B0">
              <w:rPr>
                <w:rStyle w:val="fontstyle01"/>
              </w:rPr>
              <w:t>eGFR</w:t>
            </w:r>
            <w:proofErr w:type="spellEnd"/>
            <w:r w:rsidRPr="007314B0">
              <w:rPr>
                <w:rStyle w:val="fontstyle01"/>
              </w:rPr>
              <w:t xml:space="preserve"> sont les ml/min par 1,73 m</w:t>
            </w:r>
            <w:r w:rsidRPr="007314B0">
              <w:rPr>
                <w:rStyle w:val="fontstyle01"/>
                <w:vertAlign w:val="superscript"/>
              </w:rPr>
              <w:t>2</w:t>
            </w:r>
            <w:r w:rsidRPr="007314B0">
              <w:rPr>
                <w:rStyle w:val="fontstyle01"/>
              </w:rPr>
              <w:t>.</w:t>
            </w:r>
            <w:r w:rsidRPr="007314B0">
              <w:rPr>
                <w:rStyle w:val="fontstyle01"/>
                <w:rFonts w:asciiTheme="minorHAnsi" w:hAnsiTheme="minorHAnsi"/>
              </w:rPr>
              <w:t xml:space="preserve"> L’équation de la </w:t>
            </w:r>
            <w:proofErr w:type="spellStart"/>
            <w:r w:rsidRPr="007314B0">
              <w:rPr>
                <w:rStyle w:val="fontstyle01"/>
                <w:rFonts w:asciiTheme="minorHAnsi" w:hAnsiTheme="minorHAnsi"/>
              </w:rPr>
              <w:t>Chronic</w:t>
            </w:r>
            <w:proofErr w:type="spellEnd"/>
            <w:r w:rsidRPr="007314B0">
              <w:rPr>
                <w:rStyle w:val="fontstyle01"/>
                <w:rFonts w:asciiTheme="minorHAnsi" w:hAnsiTheme="minorHAnsi"/>
              </w:rPr>
              <w:t xml:space="preserve"> </w:t>
            </w:r>
            <w:proofErr w:type="spellStart"/>
            <w:r w:rsidRPr="007314B0">
              <w:rPr>
                <w:rStyle w:val="fontstyle01"/>
                <w:rFonts w:asciiTheme="minorHAnsi" w:hAnsiTheme="minorHAnsi"/>
              </w:rPr>
              <w:t>Kidney</w:t>
            </w:r>
            <w:proofErr w:type="spellEnd"/>
            <w:r w:rsidRPr="007314B0">
              <w:rPr>
                <w:rStyle w:val="fontstyle01"/>
                <w:rFonts w:asciiTheme="minorHAnsi" w:hAnsiTheme="minorHAnsi"/>
              </w:rPr>
              <w:t xml:space="preserve"> </w:t>
            </w:r>
            <w:proofErr w:type="spellStart"/>
            <w:r w:rsidRPr="007314B0">
              <w:rPr>
                <w:rStyle w:val="fontstyle01"/>
                <w:rFonts w:asciiTheme="minorHAnsi" w:hAnsiTheme="minorHAnsi"/>
              </w:rPr>
              <w:t>Disease</w:t>
            </w:r>
            <w:proofErr w:type="spellEnd"/>
            <w:r w:rsidRPr="007314B0">
              <w:rPr>
                <w:rStyle w:val="fontstyle01"/>
                <w:rFonts w:asciiTheme="minorHAnsi" w:hAnsiTheme="minorHAnsi"/>
              </w:rPr>
              <w:t xml:space="preserve"> </w:t>
            </w:r>
            <w:proofErr w:type="spellStart"/>
            <w:r w:rsidRPr="007314B0">
              <w:rPr>
                <w:rStyle w:val="fontstyle01"/>
                <w:rFonts w:asciiTheme="minorHAnsi" w:hAnsiTheme="minorHAnsi"/>
              </w:rPr>
              <w:t>Epidemiology</w:t>
            </w:r>
            <w:proofErr w:type="spellEnd"/>
            <w:r w:rsidRPr="007314B0">
              <w:rPr>
                <w:rStyle w:val="fontstyle01"/>
                <w:rFonts w:asciiTheme="minorHAnsi" w:hAnsiTheme="minorHAnsi"/>
              </w:rPr>
              <w:t xml:space="preserve"> Collaboration (CKD-EPI), qui est couramment utilisée pour déterminer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est considérée comme une mesure plus précise du GFR</w:t>
            </w:r>
            <w:r w:rsidR="00DF3220" w:rsidRPr="007314B0">
              <w:rPr>
                <w:rStyle w:val="fontstyle01"/>
                <w:rFonts w:asciiTheme="minorHAnsi" w:hAnsiTheme="minorHAnsi"/>
              </w:rPr>
              <w:t xml:space="preserve"> </w:t>
            </w:r>
            <w:r w:rsidRPr="007314B0">
              <w:rPr>
                <w:rStyle w:val="fontstyle01"/>
                <w:rFonts w:asciiTheme="minorHAnsi" w:hAnsiTheme="minorHAnsi"/>
              </w:rPr>
              <w:t xml:space="preserve">que la formule de Cockcroft-Gault pour calculer la clairance de la créatinine estimée. </w:t>
            </w:r>
          </w:p>
          <w:p w14:paraId="3C4DB18E" w14:textId="47489FBE" w:rsidR="00A57836" w:rsidRPr="007314B0" w:rsidRDefault="00AC7F6A" w:rsidP="00AC7F6A">
            <w:pPr>
              <w:rPr>
                <w:rStyle w:val="fontstyle01"/>
                <w:rFonts w:asciiTheme="minorHAnsi" w:hAnsiTheme="minorHAnsi" w:cstheme="minorHAnsi"/>
              </w:rPr>
            </w:pPr>
            <w:r w:rsidRPr="007314B0">
              <w:rPr>
                <w:rStyle w:val="fontstyle01"/>
                <w:rFonts w:asciiTheme="minorHAnsi" w:hAnsiTheme="minorHAnsi"/>
              </w:rPr>
              <w:t>Version 2021 de l’équation CKD-EPI :</w:t>
            </w:r>
          </w:p>
          <w:p w14:paraId="67FE84C5" w14:textId="51B096AF" w:rsidR="00C83D8F" w:rsidRPr="007314B0" w:rsidRDefault="00AC7F6A" w:rsidP="00B25741">
            <w:pPr>
              <w:spacing w:after="80" w:line="250" w:lineRule="auto"/>
              <w:rPr>
                <w:rStyle w:val="fontstyle21"/>
                <w:rFonts w:asciiTheme="minorHAnsi" w:hAnsiTheme="minorHAnsi"/>
              </w:rPr>
            </w:pPr>
            <w:r w:rsidRPr="007314B0">
              <w:rPr>
                <w:rStyle w:val="fontstyle21"/>
                <w:rFonts w:asciiTheme="minorHAnsi" w:hAnsiTheme="minorHAnsi"/>
              </w:rPr>
              <w:t>Pour les personnes déclarées de sexe féminin à la naissance</w:t>
            </w:r>
            <w:r w:rsidRPr="007314B0">
              <w:rPr>
                <w:rStyle w:val="fontstyle21"/>
                <w:rFonts w:asciiTheme="minorHAnsi" w:hAnsiTheme="minorHAnsi"/>
                <w:vertAlign w:val="superscript"/>
              </w:rPr>
              <w:t>0,1</w:t>
            </w:r>
            <w:r w:rsidRPr="007314B0">
              <w:rPr>
                <w:rStyle w:val="fontstyle21"/>
                <w:rFonts w:asciiTheme="minorHAnsi" w:hAnsiTheme="minorHAnsi"/>
              </w:rPr>
              <w:t xml:space="preserve"> avec une créatinine sérique ≤0,7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7)</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0,241</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rPr>
                <w:rStyle w:val="fontstyle31"/>
                <w:rFonts w:asciiTheme="minorHAnsi" w:hAnsiTheme="minorHAnsi"/>
              </w:rPr>
              <w:t xml:space="preserve"> × 1,012</w:t>
            </w:r>
            <w:r w:rsidRPr="007314B0">
              <w:br/>
            </w:r>
          </w:p>
          <w:p w14:paraId="5DDECF0E" w14:textId="150B27B2" w:rsidR="0093085B" w:rsidRPr="007314B0" w:rsidRDefault="00AC7F6A" w:rsidP="00B25741">
            <w:pPr>
              <w:spacing w:after="80" w:line="250" w:lineRule="auto"/>
              <w:rPr>
                <w:rStyle w:val="fontstyle21"/>
                <w:rFonts w:asciiTheme="minorHAnsi" w:hAnsiTheme="minorHAnsi"/>
              </w:rPr>
            </w:pPr>
            <w:r w:rsidRPr="007314B0">
              <w:rPr>
                <w:rStyle w:val="fontstyle21"/>
                <w:rFonts w:asciiTheme="minorHAnsi" w:hAnsiTheme="minorHAnsi"/>
              </w:rPr>
              <w:t>Pour les personnes déclarées de sexe féminin à la naissance</w:t>
            </w:r>
            <w:r w:rsidRPr="007314B0">
              <w:rPr>
                <w:rStyle w:val="fontstyle21"/>
                <w:rFonts w:asciiTheme="minorHAnsi" w:hAnsiTheme="minorHAnsi"/>
                <w:vertAlign w:val="superscript"/>
              </w:rPr>
              <w:t>0,1</w:t>
            </w:r>
            <w:r w:rsidRPr="007314B0">
              <w:rPr>
                <w:rStyle w:val="fontstyle21"/>
                <w:rFonts w:asciiTheme="minorHAnsi" w:hAnsiTheme="minorHAnsi"/>
              </w:rPr>
              <w:t xml:space="preserve"> avec une créatinine sérique &gt;0,7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7)</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1,2</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rPr>
                <w:rStyle w:val="fontstyle31"/>
                <w:rFonts w:asciiTheme="minorHAnsi" w:hAnsiTheme="minorHAnsi"/>
              </w:rPr>
              <w:t xml:space="preserve"> × 1,012</w:t>
            </w:r>
            <w:r w:rsidRPr="007314B0">
              <w:br/>
            </w:r>
          </w:p>
          <w:p w14:paraId="76213432" w14:textId="0C89552F" w:rsidR="0093085B" w:rsidRPr="007314B0" w:rsidRDefault="00AC7F6A" w:rsidP="00B25741">
            <w:pPr>
              <w:spacing w:after="80" w:line="250" w:lineRule="auto"/>
              <w:rPr>
                <w:rStyle w:val="fontstyle21"/>
                <w:rFonts w:asciiTheme="minorHAnsi" w:hAnsiTheme="minorHAnsi"/>
              </w:rPr>
            </w:pPr>
            <w:r w:rsidRPr="007314B0">
              <w:rPr>
                <w:rStyle w:val="fontstyle21"/>
                <w:rFonts w:asciiTheme="minorHAnsi" w:hAnsiTheme="minorHAnsi"/>
              </w:rPr>
              <w:t>Pour les personnes déclarées de sexe masculin à la naissance</w:t>
            </w:r>
            <w:r w:rsidRPr="007314B0">
              <w:rPr>
                <w:rStyle w:val="fontstyle21"/>
                <w:rFonts w:asciiTheme="minorHAnsi" w:hAnsiTheme="minorHAnsi"/>
                <w:vertAlign w:val="superscript"/>
              </w:rPr>
              <w:t>0</w:t>
            </w:r>
            <w:r w:rsidRPr="007314B0">
              <w:rPr>
                <w:rStyle w:val="fontstyle21"/>
                <w:rFonts w:asciiTheme="minorHAnsi" w:hAnsiTheme="minorHAnsi"/>
              </w:rPr>
              <w:t xml:space="preserve"> avec une créatinine sérique ≤0,7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9)</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0,302</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br/>
            </w:r>
          </w:p>
          <w:p w14:paraId="0CADB6C7" w14:textId="41A71075" w:rsidR="0093085B" w:rsidRPr="007314B0" w:rsidRDefault="00AC7F6A" w:rsidP="00B25741">
            <w:pPr>
              <w:spacing w:after="80" w:line="250" w:lineRule="auto"/>
              <w:rPr>
                <w:rStyle w:val="fontstyle01"/>
                <w:rFonts w:asciiTheme="minorHAnsi" w:hAnsiTheme="minorHAnsi" w:cstheme="minorBidi"/>
              </w:rPr>
            </w:pPr>
            <w:r w:rsidRPr="007314B0">
              <w:rPr>
                <w:rStyle w:val="fontstyle21"/>
                <w:rFonts w:asciiTheme="minorHAnsi" w:hAnsiTheme="minorHAnsi"/>
              </w:rPr>
              <w:t>Pour les personnes déclarées de sexe masculin à la naissance</w:t>
            </w:r>
            <w:r w:rsidRPr="007314B0">
              <w:rPr>
                <w:rStyle w:val="fontstyle21"/>
                <w:rFonts w:asciiTheme="minorHAnsi" w:hAnsiTheme="minorHAnsi"/>
                <w:vertAlign w:val="superscript"/>
              </w:rPr>
              <w:t>0</w:t>
            </w:r>
            <w:r w:rsidRPr="007314B0">
              <w:rPr>
                <w:rStyle w:val="fontstyle21"/>
                <w:rFonts w:asciiTheme="minorHAnsi" w:hAnsiTheme="minorHAnsi"/>
              </w:rPr>
              <w:t xml:space="preserve"> avec une créatinine sérique &gt;0,7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9)</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1,2</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br/>
            </w:r>
          </w:p>
          <w:p w14:paraId="4D5EAEF9" w14:textId="7E9194EE" w:rsidR="0093085B" w:rsidRPr="007314B0" w:rsidRDefault="00AC7F6A" w:rsidP="00AC7F6A">
            <w:pPr>
              <w:rPr>
                <w:rStyle w:val="fontstyle01"/>
                <w:rFonts w:asciiTheme="minorHAnsi" w:hAnsiTheme="minorHAnsi" w:cstheme="minorBidi"/>
              </w:rPr>
            </w:pPr>
            <w:r w:rsidRPr="007314B0">
              <w:rPr>
                <w:rStyle w:val="fontstyle01"/>
              </w:rPr>
              <w:t xml:space="preserve">Où </w:t>
            </w:r>
            <w:proofErr w:type="spellStart"/>
            <w:r w:rsidRPr="007314B0">
              <w:rPr>
                <w:rStyle w:val="fontstyle01"/>
              </w:rPr>
              <w:t>S</w:t>
            </w:r>
            <w:r w:rsidRPr="007314B0">
              <w:rPr>
                <w:rStyle w:val="fontstyle01"/>
                <w:vertAlign w:val="subscript"/>
              </w:rPr>
              <w:t>cr</w:t>
            </w:r>
            <w:proofErr w:type="spellEnd"/>
            <w:r w:rsidRPr="007314B0">
              <w:rPr>
                <w:rStyle w:val="fontstyle01"/>
              </w:rPr>
              <w:t xml:space="preserve"> est la créatinine sérique exprimée en mg/dl et l’âge est exprimé en années</w:t>
            </w:r>
          </w:p>
          <w:p w14:paraId="19B41DFB" w14:textId="5C117699" w:rsidR="00432DDA" w:rsidRPr="007314B0" w:rsidRDefault="00AC7F6A" w:rsidP="00AC7F6A">
            <w:pPr>
              <w:rPr>
                <w:rStyle w:val="fontstyle01"/>
                <w:rFonts w:asciiTheme="minorHAnsi" w:hAnsiTheme="minorHAnsi" w:cstheme="minorBidi"/>
              </w:rPr>
            </w:pPr>
            <w:r w:rsidRPr="007314B0">
              <w:br/>
            </w:r>
            <w:r w:rsidRPr="007314B0">
              <w:rPr>
                <w:rStyle w:val="fontstyle01"/>
                <w:rFonts w:asciiTheme="minorHAnsi" w:hAnsiTheme="minorHAnsi"/>
                <w:vertAlign w:val="superscript"/>
              </w:rPr>
              <w:t>0</w:t>
            </w:r>
            <w:r w:rsidRPr="007314B0">
              <w:rPr>
                <w:rStyle w:val="fontstyle01"/>
                <w:rFonts w:asciiTheme="minorHAnsi" w:hAnsiTheme="minorHAnsi"/>
              </w:rPr>
              <w:t xml:space="preserve"> L’exposition à des hormones d’affirmation du genre peut influencer les estimations de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L’identité de genre, par opposition au sexe attribué à la naissance, </w:t>
            </w:r>
            <w:r w:rsidR="008E29DF" w:rsidRPr="007314B0">
              <w:rPr>
                <w:rStyle w:val="fontstyle01"/>
                <w:rFonts w:asciiTheme="minorHAnsi" w:hAnsiTheme="minorHAnsi"/>
              </w:rPr>
              <w:t>peut-être</w:t>
            </w:r>
            <w:r w:rsidRPr="007314B0">
              <w:rPr>
                <w:rStyle w:val="fontstyle01"/>
                <w:rFonts w:asciiTheme="minorHAnsi" w:hAnsiTheme="minorHAnsi"/>
              </w:rPr>
              <w:t xml:space="preserve"> plus appropriée pour les personnes qui utilisent une hormonothérapie d’affirmation du genre depuis plus de six mois. Cependant, comme il n’existe que peu de recherches sur l’estimation de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chez les populations transgenres et non binaires, l’équation idéale pour estimer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chez les personnes qui reçoivent des hormones d’affirmation du genre doit être étudiée au cas par cas.</w:t>
            </w:r>
          </w:p>
          <w:p w14:paraId="76484F62" w14:textId="4A2FC1C8" w:rsidR="002177D5" w:rsidRPr="007314B0" w:rsidRDefault="002177D5" w:rsidP="002177D5">
            <w:pPr>
              <w:rPr>
                <w:rFonts w:cstheme="minorHAnsi"/>
              </w:rPr>
            </w:pPr>
            <w:r w:rsidRPr="007314B0">
              <w:rPr>
                <w:rStyle w:val="fontstyle01"/>
                <w:vertAlign w:val="superscript"/>
              </w:rPr>
              <w:t>1</w:t>
            </w:r>
            <w:r w:rsidRPr="007314B0">
              <w:rPr>
                <w:rStyle w:val="fontstyle01"/>
              </w:rPr>
              <w:t xml:space="preserve"> Les équations permettant d’estimer l’</w:t>
            </w:r>
            <w:proofErr w:type="spellStart"/>
            <w:r w:rsidRPr="007314B0">
              <w:rPr>
                <w:rStyle w:val="fontstyle01"/>
              </w:rPr>
              <w:t>eGFR</w:t>
            </w:r>
            <w:proofErr w:type="spellEnd"/>
            <w:r w:rsidRPr="007314B0">
              <w:rPr>
                <w:rStyle w:val="fontstyle01"/>
              </w:rPr>
              <w:t xml:space="preserve"> peuvent être inexactes pendant la grossesse et risquent de le</w:t>
            </w:r>
            <w:r w:rsidRPr="007314B0">
              <w:rPr>
                <w:rStyle w:val="fontstyle01"/>
              </w:rPr>
              <w:br/>
              <w:t>sous-estimer.</w:t>
            </w:r>
            <w:r w:rsidR="00FD3029" w:rsidRPr="007314B0">
              <w:rPr>
                <w:rStyle w:val="fontstyle01"/>
              </w:rPr>
              <w:t xml:space="preserve"> </w:t>
            </w:r>
            <w:r w:rsidRPr="007314B0">
              <w:rPr>
                <w:rStyle w:val="fontstyle01"/>
              </w:rPr>
              <w:t>Les directives nationales sont à prendre en compte pour les méthodes préférées d’estimation de la fonction rénale pendant la grossesse.</w:t>
            </w:r>
          </w:p>
          <w:p w14:paraId="6E3F5336" w14:textId="13E22CFB" w:rsidR="0047670C" w:rsidRPr="007314B0" w:rsidRDefault="0047670C" w:rsidP="000E2A37">
            <w:pPr>
              <w:spacing w:after="120"/>
              <w:rPr>
                <w:rFonts w:cstheme="minorHAnsi"/>
              </w:rPr>
            </w:pPr>
          </w:p>
        </w:tc>
      </w:tr>
      <w:tr w:rsidR="000E531E" w:rsidRPr="007314B0" w14:paraId="7C40D2DA" w14:textId="77777777" w:rsidTr="00B25741">
        <w:tc>
          <w:tcPr>
            <w:tcW w:w="10456" w:type="dxa"/>
            <w:shd w:val="clear" w:color="auto" w:fill="C5E0B3" w:themeFill="accent6" w:themeFillTint="66"/>
          </w:tcPr>
          <w:p w14:paraId="114AC3A9" w14:textId="500C965D" w:rsidR="000E531E" w:rsidRPr="007314B0" w:rsidRDefault="000E531E" w:rsidP="00091062">
            <w:pPr>
              <w:rPr>
                <w:color w:val="000000"/>
              </w:rPr>
            </w:pPr>
            <w:r w:rsidRPr="007314B0">
              <w:rPr>
                <w:b/>
              </w:rPr>
              <w:t>Point à prendre en compte :</w:t>
            </w:r>
            <w:r w:rsidRPr="007314B0">
              <w:t xml:space="preserve"> Les directives de l’OMS ne mentionnent pas l’analyse d’urine, mais certains pays l’utilisent comme substitut si le test de créatinine n’est pas disponible ou si les résultats sont retardés. Si l’analyse d’urine n’est pas normale, l’initiation de la PrEP orale est re</w:t>
            </w:r>
            <w:r w:rsidR="00FD3029" w:rsidRPr="007314B0">
              <w:t>port</w:t>
            </w:r>
            <w:r w:rsidRPr="007314B0">
              <w:t xml:space="preserve">ée jusqu’à ce que les résultats de la créatinine soient </w:t>
            </w:r>
            <w:r w:rsidR="00FD3029" w:rsidRPr="007314B0">
              <w:t>reçus</w:t>
            </w:r>
            <w:r w:rsidRPr="007314B0">
              <w:t xml:space="preserve">. Cette section pourrait être mise à jour en fonction des préférences nationales. Il faut noter que l’albuminurie est meilleure que la protéinurie pour la détection d’une maladie ou affection à un stade précoce. La protéinurie indique une présence élevée de protéines dans l’urine (l’excrétion normale doit être &lt;150 mg/dl), alors que l’albuminurie est définie comme une « perte anormale d’albumine dans l’urine ». L’albumine est un type de protéine plasmatique normalement présente dans l’urine en petites quantités. L’albuminurie est un phénomène courant (mais pas universel) chez les personnes qui souffrent d’une maladie rénale chronique. Elle est le premier indicateur de maladies glomérulaires, comme la </w:t>
            </w:r>
            <w:proofErr w:type="spellStart"/>
            <w:r w:rsidRPr="007314B0">
              <w:t>glomérulosclérose</w:t>
            </w:r>
            <w:proofErr w:type="spellEnd"/>
            <w:r w:rsidRPr="007314B0">
              <w:t xml:space="preserve"> diabétique, et est généralement </w:t>
            </w:r>
            <w:r w:rsidRPr="007314B0">
              <w:lastRenderedPageBreak/>
              <w:t>présente avant même une diminution du GFR ou une augmentation de la créatinine sérique. L’albuminurie qui dure plus de trois mois, avec ou sans une réduction de l’</w:t>
            </w:r>
            <w:proofErr w:type="spellStart"/>
            <w:r w:rsidRPr="007314B0">
              <w:t>eGFR</w:t>
            </w:r>
            <w:proofErr w:type="spellEnd"/>
            <w:r w:rsidRPr="007314B0">
              <w:t>, est considérée comme un marqueur de lésions rénales.</w:t>
            </w:r>
          </w:p>
        </w:tc>
      </w:tr>
    </w:tbl>
    <w:p w14:paraId="319C14A1" w14:textId="07E1F0DA" w:rsidR="00BB5BA3" w:rsidRPr="007314B0" w:rsidRDefault="0069549E" w:rsidP="00831250">
      <w:pPr>
        <w:pStyle w:val="Heading1"/>
        <w:spacing w:after="120" w:line="240" w:lineRule="auto"/>
        <w:rPr>
          <w:rFonts w:asciiTheme="minorHAnsi" w:eastAsia="Calibri" w:hAnsiTheme="minorHAnsi" w:cstheme="minorBidi"/>
          <w:color w:val="000000"/>
        </w:rPr>
      </w:pPr>
      <w:bookmarkStart w:id="50" w:name="_Toc124428519"/>
      <w:r w:rsidRPr="007314B0">
        <w:rPr>
          <w:rFonts w:asciiTheme="minorHAnsi" w:hAnsiTheme="minorHAnsi"/>
          <w:u w:val="single"/>
        </w:rPr>
        <w:lastRenderedPageBreak/>
        <w:t>Visites de suivi de la PrEP</w:t>
      </w:r>
      <w:bookmarkEnd w:id="50"/>
    </w:p>
    <w:p w14:paraId="4A2798FC" w14:textId="54DF3624" w:rsidR="007408FB" w:rsidRPr="007314B0" w:rsidRDefault="00BB5BA3" w:rsidP="00DD508F">
      <w:pPr>
        <w:spacing w:after="120" w:line="240" w:lineRule="auto"/>
        <w:rPr>
          <w:color w:val="000000" w:themeColor="text1"/>
        </w:rPr>
      </w:pPr>
      <w:r w:rsidRPr="007314B0">
        <w:rPr>
          <w:color w:val="000000" w:themeColor="text1"/>
        </w:rPr>
        <w:t xml:space="preserve">Il est recommandé que les patients qui utilisent la PrEP orale ou l’anneau de PrEP reviennent un mois après l’initiation pour confirmer leur statut séronégatif, évaluer les effets secondaires précoces et parler de toute difficulté rencontrée pour une utilisation efficace et de toutes autres préoccupations du patient. Après la première visite de suivi, les patients qui utilisent la PrEP orale ou l’anneau de PrEP peuvent revenir pour des visites de suivi en fonction de leurs besoins et de leurs préférences, par exemple, tous les trois mois. Pour les patients qui utilisent la CAB PrEP, les visites de suivi auront lieu tous les </w:t>
      </w:r>
      <w:r w:rsidR="007F0C4B" w:rsidRPr="007314B0">
        <w:rPr>
          <w:color w:val="000000" w:themeColor="text1"/>
        </w:rPr>
        <w:t>deux mois</w:t>
      </w:r>
      <w:r w:rsidRPr="007314B0">
        <w:rPr>
          <w:color w:val="000000" w:themeColor="text1"/>
        </w:rPr>
        <w:t xml:space="preserve"> après la deuxième injection initiale. Certaines patientes qui utilisent l’anneau peuvent préférer remettre les anneaux usagés au prestataire de soins ou au point de prestation de services. Si elles choisissent de rendre les anneaux usagés, ils doivent être jetés avec les autres déchets médicaux, comme </w:t>
      </w:r>
      <w:r w:rsidR="00322B1F" w:rsidRPr="007314B0">
        <w:rPr>
          <w:color w:val="000000" w:themeColor="text1"/>
        </w:rPr>
        <w:t>l</w:t>
      </w:r>
      <w:r w:rsidRPr="007314B0">
        <w:rPr>
          <w:color w:val="000000" w:themeColor="text1"/>
        </w:rPr>
        <w:t xml:space="preserve">es gants usagés, ou conformément aux exigences locales. Les patients plus jeunes qui utilisent une PrEP et ceux avec d’autres besoins de santé, mentaux, émotionnels et sociaux pourraient tirer profit de visites plus fréquentes avec les prestataires de PrEP. </w:t>
      </w:r>
    </w:p>
    <w:p w14:paraId="4F1551FD" w14:textId="77777777" w:rsidR="008352D3"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Les visites de suivi de la PrEP comprennent quatre composantes essentielles : </w:t>
      </w:r>
    </w:p>
    <w:p w14:paraId="311D481A" w14:textId="51D8AAB5" w:rsidR="008352D3"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1) dépistage du VIH et counseling, </w:t>
      </w:r>
    </w:p>
    <w:p w14:paraId="3004583B" w14:textId="77777777" w:rsidR="00FF7FDD"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2) évaluations, </w:t>
      </w:r>
    </w:p>
    <w:p w14:paraId="23A1D443" w14:textId="6981B4DC" w:rsidR="008352D3"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3) counseling en matière de PrEP et </w:t>
      </w:r>
    </w:p>
    <w:p w14:paraId="7E94D2DE" w14:textId="3D3E8C86" w:rsidR="007408FB" w:rsidRPr="007314B0" w:rsidRDefault="00822DC9" w:rsidP="00DD508F">
      <w:pPr>
        <w:pBdr>
          <w:top w:val="nil"/>
          <w:left w:val="nil"/>
          <w:bottom w:val="nil"/>
          <w:right w:val="nil"/>
          <w:between w:val="nil"/>
        </w:pBdr>
        <w:spacing w:after="120" w:line="240" w:lineRule="auto"/>
        <w:rPr>
          <w:color w:val="000000"/>
        </w:rPr>
      </w:pPr>
      <w:r w:rsidRPr="007314B0">
        <w:rPr>
          <w:color w:val="000000" w:themeColor="text1"/>
        </w:rPr>
        <w:t xml:space="preserve">4) prescription de la PrEP, tel que décrit ci-dessous. </w:t>
      </w:r>
    </w:p>
    <w:p w14:paraId="71877B48" w14:textId="708A525E" w:rsidR="007408FB" w:rsidRPr="007314B0" w:rsidRDefault="007408FB" w:rsidP="00DD508F">
      <w:pPr>
        <w:pStyle w:val="Heading2"/>
        <w:spacing w:before="0" w:after="120" w:line="240" w:lineRule="auto"/>
        <w:rPr>
          <w:rFonts w:asciiTheme="minorHAnsi" w:hAnsiTheme="minorHAnsi" w:cstheme="minorHAnsi"/>
        </w:rPr>
      </w:pPr>
      <w:bookmarkStart w:id="51" w:name="_Toc124428520"/>
      <w:r w:rsidRPr="007314B0">
        <w:rPr>
          <w:rFonts w:asciiTheme="minorHAnsi" w:hAnsiTheme="minorHAnsi"/>
        </w:rPr>
        <w:t>Composante 1 : Dépistage du VIH et counseling</w:t>
      </w:r>
      <w:bookmarkEnd w:id="51"/>
      <w:r w:rsidRPr="007314B0">
        <w:rPr>
          <w:rFonts w:asciiTheme="minorHAnsi" w:hAnsiTheme="minorHAnsi"/>
        </w:rPr>
        <w:t xml:space="preserve"> </w:t>
      </w:r>
    </w:p>
    <w:p w14:paraId="43EF0C4C" w14:textId="3A918C42" w:rsidR="00246F78" w:rsidRPr="007314B0" w:rsidRDefault="00F75D32" w:rsidP="00DD508F">
      <w:pPr>
        <w:spacing w:after="120" w:line="240" w:lineRule="auto"/>
      </w:pPr>
      <w:r w:rsidRPr="007314B0">
        <w:t>Le dépistage du VIH et le counseling doivent être effectués conformément aux directives nationales un mois après le début de la PrEP (suggéré), puis tous les trois mois pour les patients qui utilisent la PrEP orale et l’anneau, et avant chaque injection pour les patients qui utilisent la CAB PrEP. Cela permettra de prendre des décisions éclairées sur la poursuite ou l’arrêt de la PrEP. L’identification d</w:t>
      </w:r>
      <w:r w:rsidR="00322B1F" w:rsidRPr="007314B0">
        <w:t>’un</w:t>
      </w:r>
      <w:r w:rsidRPr="007314B0">
        <w:t>e AHI lors des tests de dépistage du VIH est limitée à la « fenêtre sérologique » entre le moment où le VIH est contracté et la détection des anticorps.</w:t>
      </w:r>
    </w:p>
    <w:p w14:paraId="415E4A28" w14:textId="3B2A4CC3" w:rsidR="007408FB" w:rsidRPr="007314B0" w:rsidRDefault="007408FB" w:rsidP="00DD508F">
      <w:pPr>
        <w:pStyle w:val="Heading2"/>
        <w:spacing w:before="0" w:after="120" w:line="240" w:lineRule="auto"/>
        <w:rPr>
          <w:rFonts w:asciiTheme="minorHAnsi" w:hAnsiTheme="minorHAnsi" w:cstheme="minorHAnsi"/>
        </w:rPr>
      </w:pPr>
      <w:bookmarkStart w:id="52" w:name="_Toc124428521"/>
      <w:r w:rsidRPr="007314B0">
        <w:rPr>
          <w:rFonts w:asciiTheme="minorHAnsi" w:hAnsiTheme="minorHAnsi"/>
        </w:rPr>
        <w:t>Composante 2 : Évaluations</w:t>
      </w:r>
      <w:bookmarkEnd w:id="52"/>
    </w:p>
    <w:p w14:paraId="60CFA217" w14:textId="434B03E0" w:rsidR="00E9095D" w:rsidRPr="007314B0" w:rsidRDefault="00B00A77" w:rsidP="00DD508F">
      <w:pPr>
        <w:pBdr>
          <w:top w:val="nil"/>
          <w:left w:val="nil"/>
          <w:bottom w:val="nil"/>
          <w:right w:val="nil"/>
          <w:between w:val="nil"/>
        </w:pBdr>
        <w:spacing w:after="120" w:line="240" w:lineRule="auto"/>
      </w:pPr>
      <w:r w:rsidRPr="007314B0">
        <w:rPr>
          <w:color w:val="000000" w:themeColor="text1"/>
        </w:rPr>
        <w:t>Les patients doivent être évalués à chaque visite de suivi pour déterminer si la PrEP est bien utilis</w:t>
      </w:r>
      <w:r w:rsidR="00322B1F" w:rsidRPr="007314B0">
        <w:rPr>
          <w:color w:val="000000" w:themeColor="text1"/>
        </w:rPr>
        <w:t>ée</w:t>
      </w:r>
      <w:r w:rsidRPr="007314B0">
        <w:rPr>
          <w:color w:val="000000" w:themeColor="text1"/>
        </w:rPr>
        <w:t xml:space="preserve"> et leur apporter un soutien afin d’identifier et de résoudre les problèmes liés à une bonne utilisation de la PrEP. Il est essentiel que cette évaluation soit réalisée de manière ouverte et qu’elle soi</w:t>
      </w:r>
      <w:r w:rsidR="00322B1F" w:rsidRPr="007314B0">
        <w:rPr>
          <w:color w:val="000000" w:themeColor="text1"/>
        </w:rPr>
        <w:t>t</w:t>
      </w:r>
      <w:r w:rsidRPr="007314B0">
        <w:rPr>
          <w:color w:val="000000" w:themeColor="text1"/>
        </w:rPr>
        <w:t xml:space="preserve"> dénuée de tout jugement. Une évaluation neutre de l’utilisation de la PrEP permet d’avoir une discussion constructive qui peut aider le patient à trouver des solutions en cas de problèmes d’utilisation. En cas de mauvaise utilisation, le patient doit être évalué pour déterminer s’il est un bon candidat pour la PEP et s’il présente des signes ou symptômes d’AHI. </w:t>
      </w:r>
      <w:r w:rsidRPr="007314B0">
        <w:t xml:space="preserve">Le </w:t>
      </w:r>
      <w:r w:rsidRPr="007314B0">
        <w:rPr>
          <w:i/>
          <w:iCs/>
        </w:rPr>
        <w:t>graphique 2</w:t>
      </w:r>
      <w:r w:rsidRPr="007314B0">
        <w:t xml:space="preserve"> présente l’algorithme de ces évaluations.</w:t>
      </w:r>
    </w:p>
    <w:p w14:paraId="11AA141F" w14:textId="77777777" w:rsidR="00866E5C" w:rsidRPr="007314B0" w:rsidRDefault="00866E5C" w:rsidP="00DD508F">
      <w:pPr>
        <w:pBdr>
          <w:top w:val="nil"/>
          <w:left w:val="nil"/>
          <w:bottom w:val="nil"/>
          <w:right w:val="nil"/>
          <w:between w:val="nil"/>
        </w:pBdr>
        <w:spacing w:after="120" w:line="240" w:lineRule="auto"/>
        <w:rPr>
          <w:rFonts w:cstheme="minorHAnsi"/>
        </w:rPr>
      </w:pPr>
    </w:p>
    <w:p w14:paraId="613814C9" w14:textId="77777777" w:rsidR="00866E5C" w:rsidRPr="007314B0" w:rsidRDefault="00866E5C" w:rsidP="00DD508F">
      <w:pPr>
        <w:pBdr>
          <w:top w:val="nil"/>
          <w:left w:val="nil"/>
          <w:bottom w:val="nil"/>
          <w:right w:val="nil"/>
          <w:between w:val="nil"/>
        </w:pBdr>
        <w:spacing w:after="120" w:line="240" w:lineRule="auto"/>
        <w:rPr>
          <w:rFonts w:cstheme="minorHAnsi"/>
        </w:rPr>
      </w:pPr>
    </w:p>
    <w:p w14:paraId="1F1C7E9F" w14:textId="3E486F14" w:rsidR="00D0390F" w:rsidRPr="007314B0" w:rsidRDefault="00D0390F" w:rsidP="00DD508F">
      <w:pPr>
        <w:spacing w:after="120" w:line="240" w:lineRule="auto"/>
        <w:rPr>
          <w:rFonts w:cstheme="minorHAnsi"/>
          <w:i/>
        </w:rPr>
      </w:pPr>
    </w:p>
    <w:p w14:paraId="7CDC111F" w14:textId="77777777" w:rsidR="002546F7" w:rsidRPr="007314B0" w:rsidRDefault="002546F7">
      <w:pPr>
        <w:rPr>
          <w:rFonts w:cstheme="minorHAnsi"/>
          <w:i/>
        </w:rPr>
      </w:pPr>
      <w:r w:rsidRPr="007314B0">
        <w:br w:type="page"/>
      </w:r>
    </w:p>
    <w:p w14:paraId="7E4CD7FF" w14:textId="1D749E4B" w:rsidR="000A28FD" w:rsidRPr="007314B0" w:rsidRDefault="00CC1F24" w:rsidP="1D9AD929">
      <w:pPr>
        <w:spacing w:after="120" w:line="240" w:lineRule="auto"/>
        <w:rPr>
          <w:b/>
          <w:bCs/>
        </w:rPr>
      </w:pPr>
      <w:r w:rsidRPr="007314B0">
        <w:rPr>
          <w:b/>
          <w:noProof/>
        </w:rPr>
        <w:lastRenderedPageBreak/>
        <mc:AlternateContent>
          <mc:Choice Requires="wps">
            <w:drawing>
              <wp:anchor distT="45720" distB="45720" distL="114300" distR="114300" simplePos="0" relativeHeight="251678733" behindDoc="0" locked="0" layoutInCell="1" allowOverlap="1" wp14:anchorId="1DE9700D" wp14:editId="58348326">
                <wp:simplePos x="0" y="0"/>
                <wp:positionH relativeFrom="margin">
                  <wp:posOffset>2247900</wp:posOffset>
                </wp:positionH>
                <wp:positionV relativeFrom="paragraph">
                  <wp:posOffset>314325</wp:posOffset>
                </wp:positionV>
                <wp:extent cx="1162050" cy="51435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14350"/>
                        </a:xfrm>
                        <a:prstGeom prst="rect">
                          <a:avLst/>
                        </a:prstGeom>
                        <a:solidFill>
                          <a:srgbClr val="33CCCC"/>
                        </a:solidFill>
                        <a:ln w="9525">
                          <a:noFill/>
                          <a:miter lim="800000"/>
                          <a:headEnd/>
                          <a:tailEnd/>
                        </a:ln>
                      </wps:spPr>
                      <wps:txbx>
                        <w:txbxContent>
                          <w:p w14:paraId="0D315FCD" w14:textId="77777777" w:rsidR="00CC1F24" w:rsidRPr="00EA6C78" w:rsidRDefault="00CC1F24" w:rsidP="00CC1F24">
                            <w:pPr>
                              <w:jc w:val="center"/>
                              <w:rPr>
                                <w:rFonts w:cstheme="minorHAnsi"/>
                                <w:sz w:val="16"/>
                                <w:szCs w:val="16"/>
                              </w:rPr>
                            </w:pPr>
                            <w:r w:rsidRPr="00EA6C78">
                              <w:rPr>
                                <w:rFonts w:cstheme="minorHAnsi"/>
                                <w:sz w:val="16"/>
                                <w:szCs w:val="16"/>
                              </w:rPr>
                              <w:t>Les résultats du test de dépistage du patient sont-ils négatifs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9700D" id="_x0000_s1037" type="#_x0000_t202" style="position:absolute;margin-left:177pt;margin-top:24.75pt;width:91.5pt;height:40.5pt;z-index:2516787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" fillcolor="#3cc" stroked="f">
                <v:textbox>
                  <w:txbxContent>
                    <w:p w14:paraId="0D315FCD" w14:textId="77777777" w:rsidR="00CC1F24" w:rsidRPr="00EA6C78" w:rsidRDefault="00CC1F24" w:rsidP="00CC1F24">
                      <w:pPr>
                        <w:jc w:val="center"/>
                        <w:rPr>
                          <w:rFonts w:cstheme="minorHAnsi"/>
                          <w:sz w:val="16"/>
                          <w:szCs w:val="16"/>
                        </w:rPr>
                      </w:pPr>
                      <w:r w:rsidRPr="00EA6C78">
                        <w:rPr>
                          <w:rFonts w:cstheme="minorHAnsi"/>
                          <w:sz w:val="16"/>
                          <w:szCs w:val="16"/>
                        </w:rPr>
                        <w:t>Les résultats du test de dépistage du patient sont-ils négatifs ?</w:t>
                      </w:r>
                    </w:p>
                  </w:txbxContent>
                </v:textbox>
                <w10:wrap anchorx="margin"/>
              </v:shape>
            </w:pict>
          </mc:Fallback>
        </mc:AlternateContent>
      </w:r>
      <w:r w:rsidR="77D4FD67" w:rsidRPr="007314B0">
        <w:rPr>
          <w:b/>
          <w:bCs/>
        </w:rPr>
        <w:t>Graphique 2. Suivi de la PrEP - Évaluation de l’exposition au VIH, de l’AHI et d’une utilisation efficace des méthodes de prévention</w:t>
      </w:r>
    </w:p>
    <w:p w14:paraId="0F044708" w14:textId="00415C87" w:rsidR="00D0390F" w:rsidRPr="007314B0" w:rsidRDefault="00C3791A" w:rsidP="1D9AD929">
      <w:pPr>
        <w:spacing w:after="120" w:line="240" w:lineRule="auto"/>
        <w:rPr>
          <w:b/>
          <w:bCs/>
        </w:rPr>
      </w:pPr>
      <w:r w:rsidRPr="007314B0">
        <w:rPr>
          <w:b/>
          <w:noProof/>
        </w:rPr>
        <mc:AlternateContent>
          <mc:Choice Requires="wps">
            <w:drawing>
              <wp:anchor distT="45720" distB="45720" distL="114300" distR="114300" simplePos="0" relativeHeight="251703309" behindDoc="0" locked="0" layoutInCell="1" allowOverlap="1" wp14:anchorId="1DC611F0" wp14:editId="225C0DFB">
                <wp:simplePos x="0" y="0"/>
                <wp:positionH relativeFrom="margin">
                  <wp:align>left</wp:align>
                </wp:positionH>
                <wp:positionV relativeFrom="paragraph">
                  <wp:posOffset>5012055</wp:posOffset>
                </wp:positionV>
                <wp:extent cx="1666875" cy="1200150"/>
                <wp:effectExtent l="0" t="0" r="9525"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00150"/>
                        </a:xfrm>
                        <a:prstGeom prst="rect">
                          <a:avLst/>
                        </a:prstGeom>
                        <a:solidFill>
                          <a:srgbClr val="33CCCC"/>
                        </a:solidFill>
                        <a:ln w="9525">
                          <a:noFill/>
                          <a:miter lim="800000"/>
                          <a:headEnd/>
                          <a:tailEnd/>
                        </a:ln>
                      </wps:spPr>
                      <wps:txbx>
                        <w:txbxContent>
                          <w:p w14:paraId="4D7A87DD" w14:textId="10C50064" w:rsidR="00C3791A" w:rsidRPr="00EA6C78" w:rsidRDefault="00C3791A" w:rsidP="00C3791A">
                            <w:pPr>
                              <w:jc w:val="center"/>
                              <w:rPr>
                                <w:rFonts w:cstheme="minorHAnsi"/>
                                <w:sz w:val="16"/>
                                <w:szCs w:val="16"/>
                              </w:rPr>
                            </w:pPr>
                            <w:r w:rsidRPr="00EA6C78">
                              <w:rPr>
                                <w:rFonts w:cstheme="minorHAnsi"/>
                                <w:sz w:val="16"/>
                                <w:szCs w:val="16"/>
                              </w:rPr>
                              <w:t xml:space="preserve">Si </w:t>
                            </w:r>
                            <w:r>
                              <w:rPr>
                                <w:rFonts w:cstheme="minorHAnsi"/>
                                <w:sz w:val="16"/>
                                <w:szCs w:val="16"/>
                              </w:rPr>
                              <w:t>OUI</w:t>
                            </w:r>
                            <w:r w:rsidRPr="00EA6C78">
                              <w:rPr>
                                <w:rFonts w:cstheme="minorHAnsi"/>
                                <w:sz w:val="16"/>
                                <w:szCs w:val="16"/>
                              </w:rPr>
                              <w:t xml:space="preserve">,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il utilisait correctement la méthode de prévention au moment de l’exposition potentielle au VIH. Poursuivre le traitement de PrEP en faisant preuve du meilleur jugement clinique</w:t>
                            </w:r>
                            <w:r w:rsidRPr="00EA6C78">
                              <w:rPr>
                                <w:rFonts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611F0" id="_x0000_s1038" type="#_x0000_t202" style="position:absolute;margin-left:0;margin-top:394.65pt;width:131.25pt;height:94.5pt;z-index:251703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" fillcolor="#3cc" stroked="f">
                <v:textbox>
                  <w:txbxContent>
                    <w:p w14:paraId="4D7A87DD" w14:textId="10C50064" w:rsidR="00C3791A" w:rsidRPr="00EA6C78" w:rsidRDefault="00C3791A" w:rsidP="00C3791A">
                      <w:pPr>
                        <w:jc w:val="center"/>
                        <w:rPr>
                          <w:rFonts w:cstheme="minorHAnsi"/>
                          <w:sz w:val="16"/>
                          <w:szCs w:val="16"/>
                        </w:rPr>
                      </w:pPr>
                      <w:r w:rsidRPr="00EA6C78">
                        <w:rPr>
                          <w:rFonts w:cstheme="minorHAnsi"/>
                          <w:sz w:val="16"/>
                          <w:szCs w:val="16"/>
                        </w:rPr>
                        <w:t xml:space="preserve">Si </w:t>
                      </w:r>
                      <w:r>
                        <w:rPr>
                          <w:rFonts w:cstheme="minorHAnsi"/>
                          <w:sz w:val="16"/>
                          <w:szCs w:val="16"/>
                        </w:rPr>
                        <w:t>OUI</w:t>
                      </w:r>
                      <w:r w:rsidRPr="00EA6C78">
                        <w:rPr>
                          <w:rFonts w:cstheme="minorHAnsi"/>
                          <w:sz w:val="16"/>
                          <w:szCs w:val="16"/>
                        </w:rPr>
                        <w:t xml:space="preserve">,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il utilisait correctement la méthode de prévention au moment de l’exposition potentielle au VIH. Poursuivre le traitement de PrEP en faisant preuve du meilleur jugement clinique</w:t>
                      </w:r>
                      <w:r w:rsidRPr="00EA6C78">
                        <w:rPr>
                          <w:rFonts w:cstheme="minorHAnsi"/>
                          <w:sz w:val="16"/>
                          <w:szCs w:val="16"/>
                        </w:rPr>
                        <w:t>.</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701261" behindDoc="0" locked="0" layoutInCell="1" allowOverlap="1" wp14:anchorId="66C9ED27" wp14:editId="71A179B3">
                <wp:simplePos x="0" y="0"/>
                <wp:positionH relativeFrom="margin">
                  <wp:posOffset>95250</wp:posOffset>
                </wp:positionH>
                <wp:positionV relativeFrom="paragraph">
                  <wp:posOffset>1487805</wp:posOffset>
                </wp:positionV>
                <wp:extent cx="1428750" cy="619125"/>
                <wp:effectExtent l="0" t="0" r="0" b="952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19125"/>
                        </a:xfrm>
                        <a:prstGeom prst="rect">
                          <a:avLst/>
                        </a:prstGeom>
                        <a:solidFill>
                          <a:srgbClr val="33CCCC"/>
                        </a:solidFill>
                        <a:ln w="9525">
                          <a:noFill/>
                          <a:miter lim="800000"/>
                          <a:headEnd/>
                          <a:tailEnd/>
                        </a:ln>
                      </wps:spPr>
                      <wps:txbx>
                        <w:txbxContent>
                          <w:p w14:paraId="25B0E5EB" w14:textId="6C418AEC"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w:t>
                            </w:r>
                            <w:r w:rsidR="00C3791A">
                              <w:rPr>
                                <w:rFonts w:cstheme="minorHAnsi"/>
                                <w:sz w:val="16"/>
                                <w:szCs w:val="16"/>
                              </w:rPr>
                              <w:t xml:space="preserve"> la méthode de prévention choisie pendant l’exposition potentielle </w:t>
                            </w:r>
                            <w:r w:rsidRPr="00EA6C78">
                              <w:rPr>
                                <w:rFonts w:cstheme="minorHAnsi"/>
                                <w:sz w:val="16"/>
                                <w:szCs w:val="16"/>
                              </w:rPr>
                              <w:t>?</w:t>
                            </w:r>
                            <w:r w:rsidRPr="00EA6C78">
                              <w:rPr>
                                <w:rFonts w:cstheme="minorHAnsi"/>
                                <w:sz w:val="16"/>
                                <w:szCs w:val="16"/>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9ED27" id="_x0000_s1039" type="#_x0000_t202" style="position:absolute;margin-left:7.5pt;margin-top:117.15pt;width:112.5pt;height:48.75pt;z-index:251701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" fillcolor="#3cc" stroked="f">
                <v:textbox>
                  <w:txbxContent>
                    <w:p w14:paraId="25B0E5EB" w14:textId="6C418AEC"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w:t>
                      </w:r>
                      <w:r w:rsidR="00C3791A">
                        <w:rPr>
                          <w:rFonts w:cstheme="minorHAnsi"/>
                          <w:sz w:val="16"/>
                          <w:szCs w:val="16"/>
                        </w:rPr>
                        <w:t xml:space="preserve"> la méthode de prévention choisie pendant l’exposition potentielle </w:t>
                      </w:r>
                      <w:r w:rsidRPr="00EA6C78">
                        <w:rPr>
                          <w:rFonts w:cstheme="minorHAnsi"/>
                          <w:sz w:val="16"/>
                          <w:szCs w:val="16"/>
                        </w:rPr>
                        <w:t>?</w:t>
                      </w:r>
                      <w:r w:rsidRPr="00EA6C78">
                        <w:rPr>
                          <w:rFonts w:cstheme="minorHAnsi"/>
                          <w:sz w:val="16"/>
                          <w:szCs w:val="16"/>
                          <w:vertAlign w:val="superscript"/>
                        </w:rPr>
                        <w:t>0</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99213" behindDoc="0" locked="0" layoutInCell="1" allowOverlap="1" wp14:anchorId="0E271AB0" wp14:editId="48C0029F">
                <wp:simplePos x="0" y="0"/>
                <wp:positionH relativeFrom="margin">
                  <wp:posOffset>4067175</wp:posOffset>
                </wp:positionH>
                <wp:positionV relativeFrom="paragraph">
                  <wp:posOffset>3554731</wp:posOffset>
                </wp:positionV>
                <wp:extent cx="2381250" cy="89535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95350"/>
                        </a:xfrm>
                        <a:prstGeom prst="rect">
                          <a:avLst/>
                        </a:prstGeom>
                        <a:solidFill>
                          <a:srgbClr val="33CCCC"/>
                        </a:solidFill>
                        <a:ln w="9525">
                          <a:noFill/>
                          <a:miter lim="800000"/>
                          <a:headEnd/>
                          <a:tailEnd/>
                        </a:ln>
                      </wps:spPr>
                      <wps:txbx>
                        <w:txbxContent>
                          <w:p w14:paraId="07614E7D" w14:textId="27A79071" w:rsidR="00EA6C78" w:rsidRPr="00EA6C78" w:rsidRDefault="00EA6C78" w:rsidP="00EA6C78">
                            <w:pPr>
                              <w:jc w:val="center"/>
                              <w:rPr>
                                <w:rFonts w:cstheme="minorHAnsi"/>
                                <w:sz w:val="16"/>
                                <w:szCs w:val="16"/>
                              </w:rPr>
                            </w:pPr>
                            <w:r w:rsidRPr="00EA6C78">
                              <w:rPr>
                                <w:rFonts w:cstheme="minorHAnsi"/>
                                <w:sz w:val="16"/>
                                <w:szCs w:val="16"/>
                              </w:rPr>
                              <w:t xml:space="preserve">Si NON,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le moment des expositions potentielles et le début des symptômes ne correspondent pas. Poursuivre le traitement de PrEP en faisant preuve du meilleur jugement clinique</w:t>
                            </w:r>
                            <w:r w:rsidRPr="00EA6C78">
                              <w:rPr>
                                <w:rFonts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1AB0" id="_x0000_s1040" type="#_x0000_t202" style="position:absolute;margin-left:320.25pt;margin-top:279.9pt;width:187.5pt;height:70.5pt;z-index:251699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" fillcolor="#3cc" stroked="f">
                <v:textbox>
                  <w:txbxContent>
                    <w:p w14:paraId="07614E7D" w14:textId="27A79071" w:rsidR="00EA6C78" w:rsidRPr="00EA6C78" w:rsidRDefault="00EA6C78" w:rsidP="00EA6C78">
                      <w:pPr>
                        <w:jc w:val="center"/>
                        <w:rPr>
                          <w:rFonts w:cstheme="minorHAnsi"/>
                          <w:sz w:val="16"/>
                          <w:szCs w:val="16"/>
                        </w:rPr>
                      </w:pPr>
                      <w:r w:rsidRPr="00EA6C78">
                        <w:rPr>
                          <w:rFonts w:cstheme="minorHAnsi"/>
                          <w:sz w:val="16"/>
                          <w:szCs w:val="16"/>
                        </w:rPr>
                        <w:t xml:space="preserve">Si NON,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le moment des expositions potentielles et le début des symptômes ne correspondent pas. Poursuivre le traitement de PrEP en faisant preuve du meilleur jugement clinique</w:t>
                      </w:r>
                      <w:r w:rsidRPr="00EA6C78">
                        <w:rPr>
                          <w:rFonts w:cstheme="minorHAnsi"/>
                          <w:sz w:val="16"/>
                          <w:szCs w:val="16"/>
                        </w:rPr>
                        <w:t>.</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82829" behindDoc="0" locked="0" layoutInCell="1" allowOverlap="1" wp14:anchorId="1C15965C" wp14:editId="7E01A81E">
                <wp:simplePos x="0" y="0"/>
                <wp:positionH relativeFrom="margin">
                  <wp:posOffset>3333750</wp:posOffset>
                </wp:positionH>
                <wp:positionV relativeFrom="paragraph">
                  <wp:posOffset>601980</wp:posOffset>
                </wp:positionV>
                <wp:extent cx="1590675" cy="523875"/>
                <wp:effectExtent l="0" t="0" r="9525" b="952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23875"/>
                        </a:xfrm>
                        <a:prstGeom prst="rect">
                          <a:avLst/>
                        </a:prstGeom>
                        <a:solidFill>
                          <a:srgbClr val="33CCCC"/>
                        </a:solidFill>
                        <a:ln w="9525">
                          <a:noFill/>
                          <a:miter lim="800000"/>
                          <a:headEnd/>
                          <a:tailEnd/>
                        </a:ln>
                      </wps:spPr>
                      <wps:txbx>
                        <w:txbxContent>
                          <w:p w14:paraId="3DF5CF6A" w14:textId="77777777" w:rsidR="00CC1F24" w:rsidRPr="00EA6C78" w:rsidRDefault="00CC1F24" w:rsidP="00CC1F24">
                            <w:pPr>
                              <w:jc w:val="center"/>
                              <w:rPr>
                                <w:rFonts w:cstheme="minorHAnsi"/>
                                <w:sz w:val="16"/>
                                <w:szCs w:val="16"/>
                              </w:rPr>
                            </w:pPr>
                            <w:r w:rsidRPr="00EA6C78">
                              <w:rPr>
                                <w:rFonts w:cstheme="minorHAnsi"/>
                                <w:sz w:val="16"/>
                                <w:szCs w:val="16"/>
                              </w:rPr>
                              <w:t>Si NON, orienter le patient vers un test de confirmation et un traitement contre le VIH.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5965C" id="_x0000_s1041" type="#_x0000_t202" style="position:absolute;margin-left:262.5pt;margin-top:47.4pt;width:125.25pt;height:41.25pt;z-index:2516828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" fillcolor="#3cc" stroked="f">
                <v:textbox>
                  <w:txbxContent>
                    <w:p w14:paraId="3DF5CF6A" w14:textId="77777777" w:rsidR="00CC1F24" w:rsidRPr="00EA6C78" w:rsidRDefault="00CC1F24" w:rsidP="00CC1F24">
                      <w:pPr>
                        <w:jc w:val="center"/>
                        <w:rPr>
                          <w:rFonts w:cstheme="minorHAnsi"/>
                          <w:sz w:val="16"/>
                          <w:szCs w:val="16"/>
                        </w:rPr>
                      </w:pPr>
                      <w:r w:rsidRPr="00EA6C78">
                        <w:rPr>
                          <w:rFonts w:cstheme="minorHAnsi"/>
                          <w:sz w:val="16"/>
                          <w:szCs w:val="16"/>
                        </w:rPr>
                        <w:t>Si NON, orienter le patient vers un test de confirmation et un traitement contre le VIH.</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97165" behindDoc="0" locked="0" layoutInCell="1" allowOverlap="1" wp14:anchorId="5D5A3A98" wp14:editId="3BDFA062">
                <wp:simplePos x="0" y="0"/>
                <wp:positionH relativeFrom="margin">
                  <wp:posOffset>2181225</wp:posOffset>
                </wp:positionH>
                <wp:positionV relativeFrom="paragraph">
                  <wp:posOffset>3564255</wp:posOffset>
                </wp:positionV>
                <wp:extent cx="1609725" cy="619125"/>
                <wp:effectExtent l="0" t="0" r="9525"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19125"/>
                        </a:xfrm>
                        <a:prstGeom prst="rect">
                          <a:avLst/>
                        </a:prstGeom>
                        <a:solidFill>
                          <a:srgbClr val="33CCCC"/>
                        </a:solidFill>
                        <a:ln w="9525">
                          <a:noFill/>
                          <a:miter lim="800000"/>
                          <a:headEnd/>
                          <a:tailEnd/>
                        </a:ln>
                      </wps:spPr>
                      <wps:txbx>
                        <w:txbxContent>
                          <w:p w14:paraId="39F0151D" w14:textId="064FA1E6"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 la méthode de prévention choisie</w:t>
                            </w:r>
                            <w:r w:rsidRPr="00EA6C78">
                              <w:rPr>
                                <w:color w:val="000000" w:themeColor="text1"/>
                                <w:sz w:val="16"/>
                                <w:szCs w:val="16"/>
                              </w:rPr>
                              <w:t xml:space="preserve"> au moment de l’exposition potentielle au VIH</w:t>
                            </w:r>
                            <w:r w:rsidRPr="00EA6C78">
                              <w:rPr>
                                <w:rFonts w:cstheme="minorHAnsi"/>
                                <w:sz w:val="16"/>
                                <w:szCs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A3A98" id="_x0000_s1042" type="#_x0000_t202" style="position:absolute;margin-left:171.75pt;margin-top:280.65pt;width:126.75pt;height:48.75pt;z-index:2516971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" fillcolor="#3cc" stroked="f">
                <v:textbox>
                  <w:txbxContent>
                    <w:p w14:paraId="39F0151D" w14:textId="064FA1E6"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 la méthode de prévention choisie</w:t>
                      </w:r>
                      <w:r w:rsidRPr="00EA6C78">
                        <w:rPr>
                          <w:color w:val="000000" w:themeColor="text1"/>
                          <w:sz w:val="16"/>
                          <w:szCs w:val="16"/>
                        </w:rPr>
                        <w:t xml:space="preserve"> au moment de l’exposition potentielle au VIH</w:t>
                      </w:r>
                      <w:r w:rsidRPr="00EA6C78">
                        <w:rPr>
                          <w:rFonts w:cstheme="minorHAnsi"/>
                          <w:sz w:val="16"/>
                          <w:szCs w:val="16"/>
                        </w:rPr>
                        <w:t> ?</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88973" behindDoc="0" locked="0" layoutInCell="1" allowOverlap="1" wp14:anchorId="6B2901EB" wp14:editId="68A8C887">
                <wp:simplePos x="0" y="0"/>
                <wp:positionH relativeFrom="margin">
                  <wp:align>left</wp:align>
                </wp:positionH>
                <wp:positionV relativeFrom="paragraph">
                  <wp:posOffset>2354580</wp:posOffset>
                </wp:positionV>
                <wp:extent cx="1133475" cy="390525"/>
                <wp:effectExtent l="0" t="0" r="9525" b="952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90525"/>
                        </a:xfrm>
                        <a:prstGeom prst="rect">
                          <a:avLst/>
                        </a:prstGeom>
                        <a:solidFill>
                          <a:srgbClr val="33CCCC"/>
                        </a:solidFill>
                        <a:ln w="9525">
                          <a:noFill/>
                          <a:miter lim="800000"/>
                          <a:headEnd/>
                          <a:tailEnd/>
                        </a:ln>
                      </wps:spPr>
                      <wps:txbx>
                        <w:txbxContent>
                          <w:p w14:paraId="73C5AD02" w14:textId="37386181" w:rsidR="007A2D7E" w:rsidRPr="00EA6C78" w:rsidRDefault="007A2D7E" w:rsidP="007A2D7E">
                            <w:pPr>
                              <w:jc w:val="center"/>
                              <w:rPr>
                                <w:rFonts w:cstheme="minorHAnsi"/>
                                <w:sz w:val="16"/>
                                <w:szCs w:val="16"/>
                              </w:rPr>
                            </w:pPr>
                            <w:r w:rsidRPr="00EA6C78">
                              <w:rPr>
                                <w:rFonts w:cstheme="minorHAnsi"/>
                                <w:sz w:val="16"/>
                                <w:szCs w:val="16"/>
                              </w:rPr>
                              <w:t>Si OUI, continuer le traitement de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01EB" id="_x0000_s1043" type="#_x0000_t202" style="position:absolute;margin-left:0;margin-top:185.4pt;width:89.25pt;height:30.75pt;z-index:2516889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" fillcolor="#3cc" stroked="f">
                <v:textbox>
                  <w:txbxContent>
                    <w:p w14:paraId="73C5AD02" w14:textId="37386181" w:rsidR="007A2D7E" w:rsidRPr="00EA6C78" w:rsidRDefault="007A2D7E" w:rsidP="007A2D7E">
                      <w:pPr>
                        <w:jc w:val="center"/>
                        <w:rPr>
                          <w:rFonts w:cstheme="minorHAnsi"/>
                          <w:sz w:val="16"/>
                          <w:szCs w:val="16"/>
                        </w:rPr>
                      </w:pPr>
                      <w:r w:rsidRPr="00EA6C78">
                        <w:rPr>
                          <w:rFonts w:cstheme="minorHAnsi"/>
                          <w:sz w:val="16"/>
                          <w:szCs w:val="16"/>
                        </w:rPr>
                        <w:t>Si OUI, continuer le traitement de PrEP.</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80781" behindDoc="0" locked="0" layoutInCell="1" allowOverlap="1" wp14:anchorId="0A4F1009" wp14:editId="01530975">
                <wp:simplePos x="0" y="0"/>
                <wp:positionH relativeFrom="margin">
                  <wp:posOffset>1057275</wp:posOffset>
                </wp:positionH>
                <wp:positionV relativeFrom="paragraph">
                  <wp:posOffset>601980</wp:posOffset>
                </wp:positionV>
                <wp:extent cx="1676400" cy="59055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90550"/>
                        </a:xfrm>
                        <a:prstGeom prst="rect">
                          <a:avLst/>
                        </a:prstGeom>
                        <a:solidFill>
                          <a:srgbClr val="33CCCC"/>
                        </a:solidFill>
                        <a:ln w="9525">
                          <a:noFill/>
                          <a:miter lim="800000"/>
                          <a:headEnd/>
                          <a:tailEnd/>
                        </a:ln>
                      </wps:spPr>
                      <wps:txbx>
                        <w:txbxContent>
                          <w:p w14:paraId="275A9D54" w14:textId="77777777" w:rsidR="00CC1F24" w:rsidRPr="00EA6C78" w:rsidRDefault="00CC1F24" w:rsidP="00CC1F24">
                            <w:pPr>
                              <w:jc w:val="center"/>
                              <w:rPr>
                                <w:rFonts w:cstheme="minorHAnsi"/>
                                <w:sz w:val="16"/>
                                <w:szCs w:val="16"/>
                              </w:rPr>
                            </w:pPr>
                            <w:r w:rsidRPr="00EA6C78">
                              <w:rPr>
                                <w:rFonts w:cstheme="minorHAnsi"/>
                                <w:sz w:val="16"/>
                                <w:szCs w:val="16"/>
                              </w:rPr>
                              <w:t>Si OUI, le patient a-t-il été potentiellement exposé au VIH au cours des dernières 72 heures ?</w:t>
                            </w:r>
                            <w:r w:rsidRPr="00EA6C78">
                              <w:rPr>
                                <w:rFonts w:cstheme="minorHAnsi"/>
                                <w:sz w:val="16"/>
                                <w:szCs w:val="16"/>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1009" id="_x0000_s1044" type="#_x0000_t202" style="position:absolute;margin-left:83.25pt;margin-top:47.4pt;width:132pt;height:46.5pt;z-index:251680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" fillcolor="#3cc" stroked="f">
                <v:textbox>
                  <w:txbxContent>
                    <w:p w14:paraId="275A9D54" w14:textId="77777777" w:rsidR="00CC1F24" w:rsidRPr="00EA6C78" w:rsidRDefault="00CC1F24" w:rsidP="00CC1F24">
                      <w:pPr>
                        <w:jc w:val="center"/>
                        <w:rPr>
                          <w:rFonts w:cstheme="minorHAnsi"/>
                          <w:sz w:val="16"/>
                          <w:szCs w:val="16"/>
                        </w:rPr>
                      </w:pPr>
                      <w:r w:rsidRPr="00EA6C78">
                        <w:rPr>
                          <w:rFonts w:cstheme="minorHAnsi"/>
                          <w:sz w:val="16"/>
                          <w:szCs w:val="16"/>
                        </w:rPr>
                        <w:t>Si OUI, le patient a-t-il été potentiellement exposé au VIH au cours des dernières 72 heures ?</w:t>
                      </w:r>
                      <w:r w:rsidRPr="00EA6C78">
                        <w:rPr>
                          <w:rFonts w:cstheme="minorHAnsi"/>
                          <w:sz w:val="16"/>
                          <w:szCs w:val="16"/>
                          <w:vertAlign w:val="superscript"/>
                        </w:rPr>
                        <w:t>0</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84877" behindDoc="0" locked="0" layoutInCell="1" allowOverlap="1" wp14:anchorId="07A064A6" wp14:editId="28D4B745">
                <wp:simplePos x="0" y="0"/>
                <wp:positionH relativeFrom="page">
                  <wp:posOffset>4152900</wp:posOffset>
                </wp:positionH>
                <wp:positionV relativeFrom="paragraph">
                  <wp:posOffset>1487805</wp:posOffset>
                </wp:positionV>
                <wp:extent cx="2047875" cy="609600"/>
                <wp:effectExtent l="0" t="0" r="9525"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09600"/>
                        </a:xfrm>
                        <a:prstGeom prst="rect">
                          <a:avLst/>
                        </a:prstGeom>
                        <a:solidFill>
                          <a:srgbClr val="33CCCC"/>
                        </a:solidFill>
                        <a:ln w="9525">
                          <a:noFill/>
                          <a:miter lim="800000"/>
                          <a:headEnd/>
                          <a:tailEnd/>
                        </a:ln>
                      </wps:spPr>
                      <wps:txbx>
                        <w:txbxContent>
                          <w:p w14:paraId="4E426964" w14:textId="77777777" w:rsidR="007A2D7E" w:rsidRPr="00EA6C78" w:rsidRDefault="007A2D7E" w:rsidP="007A2D7E">
                            <w:pPr>
                              <w:jc w:val="center"/>
                              <w:rPr>
                                <w:rFonts w:cstheme="minorHAnsi"/>
                                <w:sz w:val="16"/>
                                <w:szCs w:val="16"/>
                              </w:rPr>
                            </w:pPr>
                            <w:r w:rsidRPr="00EA6C78">
                              <w:rPr>
                                <w:rFonts w:cstheme="minorHAnsi"/>
                                <w:sz w:val="16"/>
                                <w:szCs w:val="16"/>
                              </w:rPr>
                              <w:t>Si NON, le patient a-t-il une symptomatologie d’AHI ou a-t-il eu des symptômes d’AHI au cours des 14 derniers jours ?</w:t>
                            </w:r>
                            <w:r w:rsidRPr="00EA6C78">
                              <w:rPr>
                                <w:rFonts w:cstheme="minorHAnsi"/>
                                <w:sz w:val="16"/>
                                <w:szCs w:val="16"/>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064A6" id="_x0000_s1045" type="#_x0000_t202" style="position:absolute;margin-left:327pt;margin-top:117.15pt;width:161.25pt;height:48pt;z-index:251684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" fillcolor="#3cc" stroked="f">
                <v:textbox>
                  <w:txbxContent>
                    <w:p w14:paraId="4E426964" w14:textId="77777777" w:rsidR="007A2D7E" w:rsidRPr="00EA6C78" w:rsidRDefault="007A2D7E" w:rsidP="007A2D7E">
                      <w:pPr>
                        <w:jc w:val="center"/>
                        <w:rPr>
                          <w:rFonts w:cstheme="minorHAnsi"/>
                          <w:sz w:val="16"/>
                          <w:szCs w:val="16"/>
                        </w:rPr>
                      </w:pPr>
                      <w:r w:rsidRPr="00EA6C78">
                        <w:rPr>
                          <w:rFonts w:cstheme="minorHAnsi"/>
                          <w:sz w:val="16"/>
                          <w:szCs w:val="16"/>
                        </w:rPr>
                        <w:t>Si NON, le patient a-t-il une symptomatologie d’AHI ou a-t-il eu des symptômes d’AHI au cours des 14 derniers jours ?</w:t>
                      </w:r>
                      <w:r w:rsidRPr="00EA6C78">
                        <w:rPr>
                          <w:rFonts w:cstheme="minorHAnsi"/>
                          <w:sz w:val="16"/>
                          <w:szCs w:val="16"/>
                          <w:vertAlign w:val="superscript"/>
                        </w:rPr>
                        <w:t>1</w:t>
                      </w:r>
                    </w:p>
                  </w:txbxContent>
                </v:textbox>
                <w10:wrap anchorx="page"/>
              </v:shape>
            </w:pict>
          </mc:Fallback>
        </mc:AlternateContent>
      </w:r>
      <w:r w:rsidR="00EA6C78" w:rsidRPr="007314B0">
        <w:rPr>
          <w:b/>
          <w:noProof/>
        </w:rPr>
        <mc:AlternateContent>
          <mc:Choice Requires="wps">
            <w:drawing>
              <wp:anchor distT="45720" distB="45720" distL="114300" distR="114300" simplePos="0" relativeHeight="251691021" behindDoc="0" locked="0" layoutInCell="1" allowOverlap="1" wp14:anchorId="27C7466A" wp14:editId="0999ADED">
                <wp:simplePos x="0" y="0"/>
                <wp:positionH relativeFrom="margin">
                  <wp:posOffset>5286375</wp:posOffset>
                </wp:positionH>
                <wp:positionV relativeFrom="paragraph">
                  <wp:posOffset>2364106</wp:posOffset>
                </wp:positionV>
                <wp:extent cx="1181100" cy="64770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47700"/>
                        </a:xfrm>
                        <a:prstGeom prst="rect">
                          <a:avLst/>
                        </a:prstGeom>
                        <a:solidFill>
                          <a:srgbClr val="33CCCC"/>
                        </a:solidFill>
                        <a:ln w="9525">
                          <a:noFill/>
                          <a:miter lim="800000"/>
                          <a:headEnd/>
                          <a:tailEnd/>
                        </a:ln>
                      </wps:spPr>
                      <wps:txbx>
                        <w:txbxContent>
                          <w:p w14:paraId="740AB9A9" w14:textId="672FDB86" w:rsidR="007A2D7E" w:rsidRPr="00EA6C78" w:rsidRDefault="007A2D7E" w:rsidP="007A2D7E">
                            <w:pPr>
                              <w:jc w:val="center"/>
                              <w:rPr>
                                <w:rFonts w:cstheme="minorHAnsi"/>
                                <w:sz w:val="16"/>
                                <w:szCs w:val="16"/>
                              </w:rPr>
                            </w:pPr>
                            <w:r w:rsidRPr="00EA6C78">
                              <w:rPr>
                                <w:rFonts w:cstheme="minorHAnsi"/>
                                <w:sz w:val="16"/>
                                <w:szCs w:val="16"/>
                              </w:rPr>
                              <w:t>Si NON, continuer le traitement de PrEP ; un counseling spécial efficace peut être utile.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466A" id="_x0000_s1046" type="#_x0000_t202" style="position:absolute;margin-left:416.25pt;margin-top:186.15pt;width:93pt;height:51pt;z-index:2516910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" fillcolor="#3cc" stroked="f">
                <v:textbox>
                  <w:txbxContent>
                    <w:p w14:paraId="740AB9A9" w14:textId="672FDB86" w:rsidR="007A2D7E" w:rsidRPr="00EA6C78" w:rsidRDefault="007A2D7E" w:rsidP="007A2D7E">
                      <w:pPr>
                        <w:jc w:val="center"/>
                        <w:rPr>
                          <w:rFonts w:cstheme="minorHAnsi"/>
                          <w:sz w:val="16"/>
                          <w:szCs w:val="16"/>
                        </w:rPr>
                      </w:pPr>
                      <w:r w:rsidRPr="00EA6C78">
                        <w:rPr>
                          <w:rFonts w:cstheme="minorHAnsi"/>
                          <w:sz w:val="16"/>
                          <w:szCs w:val="16"/>
                        </w:rPr>
                        <w:t>Si NON, continuer le traitement de PrEP ; un counseling spécial efficace peut être utile.</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86925" behindDoc="0" locked="0" layoutInCell="1" allowOverlap="1" wp14:anchorId="4926C635" wp14:editId="358201BB">
                <wp:simplePos x="0" y="0"/>
                <wp:positionH relativeFrom="margin">
                  <wp:posOffset>3162300</wp:posOffset>
                </wp:positionH>
                <wp:positionV relativeFrom="paragraph">
                  <wp:posOffset>2364105</wp:posOffset>
                </wp:positionV>
                <wp:extent cx="1514475" cy="619125"/>
                <wp:effectExtent l="0" t="0" r="9525" b="952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solidFill>
                          <a:srgbClr val="33CCCC"/>
                        </a:solidFill>
                        <a:ln w="9525">
                          <a:noFill/>
                          <a:miter lim="800000"/>
                          <a:headEnd/>
                          <a:tailEnd/>
                        </a:ln>
                      </wps:spPr>
                      <wps:txbx>
                        <w:txbxContent>
                          <w:p w14:paraId="5AEC204D" w14:textId="77777777" w:rsidR="007A2D7E" w:rsidRPr="00EA6C78" w:rsidRDefault="007A2D7E" w:rsidP="007A2D7E">
                            <w:pPr>
                              <w:jc w:val="center"/>
                              <w:rPr>
                                <w:rFonts w:cstheme="minorHAnsi"/>
                                <w:sz w:val="16"/>
                                <w:szCs w:val="16"/>
                              </w:rPr>
                            </w:pPr>
                            <w:r w:rsidRPr="00EA6C78">
                              <w:rPr>
                                <w:rFonts w:cstheme="minorHAnsi"/>
                                <w:sz w:val="16"/>
                                <w:szCs w:val="16"/>
                              </w:rPr>
                              <w:t>Si OUI, le patient a-t-il été potentiellement exposé au VIH au cours des 14 jours avant le début des symptômes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6C635" id="_x0000_s1047" type="#_x0000_t202" style="position:absolute;margin-left:249pt;margin-top:186.15pt;width:119.25pt;height:48.75pt;z-index:2516869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" fillcolor="#3cc" stroked="f">
                <v:textbox>
                  <w:txbxContent>
                    <w:p w14:paraId="5AEC204D" w14:textId="77777777" w:rsidR="007A2D7E" w:rsidRPr="00EA6C78" w:rsidRDefault="007A2D7E" w:rsidP="007A2D7E">
                      <w:pPr>
                        <w:jc w:val="center"/>
                        <w:rPr>
                          <w:rFonts w:cstheme="minorHAnsi"/>
                          <w:sz w:val="16"/>
                          <w:szCs w:val="16"/>
                        </w:rPr>
                      </w:pPr>
                      <w:r w:rsidRPr="00EA6C78">
                        <w:rPr>
                          <w:rFonts w:cstheme="minorHAnsi"/>
                          <w:sz w:val="16"/>
                          <w:szCs w:val="16"/>
                        </w:rPr>
                        <w:t>Si OUI, le patient a-t-il été potentiellement exposé au VIH au cours des 14 jours avant le début des symptômes ?</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93069" behindDoc="0" locked="0" layoutInCell="1" allowOverlap="1" wp14:anchorId="1950BECC" wp14:editId="11D2315A">
                <wp:simplePos x="0" y="0"/>
                <wp:positionH relativeFrom="margin">
                  <wp:posOffset>2228850</wp:posOffset>
                </wp:positionH>
                <wp:positionV relativeFrom="paragraph">
                  <wp:posOffset>4993005</wp:posOffset>
                </wp:positionV>
                <wp:extent cx="3790950" cy="127635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276350"/>
                        </a:xfrm>
                        <a:prstGeom prst="rect">
                          <a:avLst/>
                        </a:prstGeom>
                        <a:solidFill>
                          <a:srgbClr val="33CCCC"/>
                        </a:solidFill>
                        <a:ln w="9525">
                          <a:noFill/>
                          <a:miter lim="800000"/>
                          <a:headEnd/>
                          <a:tailEnd/>
                        </a:ln>
                      </wps:spPr>
                      <wps:txbx>
                        <w:txbxContent>
                          <w:p w14:paraId="7214B0EE" w14:textId="00C1AC89" w:rsidR="007A2D7E" w:rsidRPr="00EA6C78" w:rsidRDefault="007A2D7E" w:rsidP="007A2D7E">
                            <w:pPr>
                              <w:jc w:val="center"/>
                              <w:rPr>
                                <w:color w:val="000000" w:themeColor="text1"/>
                                <w:sz w:val="16"/>
                                <w:szCs w:val="16"/>
                              </w:rPr>
                            </w:pPr>
                            <w:r w:rsidRPr="00EA6C78">
                              <w:rPr>
                                <w:rFonts w:cstheme="minorHAnsi"/>
                                <w:sz w:val="16"/>
                                <w:szCs w:val="16"/>
                              </w:rPr>
                              <w:t xml:space="preserve">Si NON, </w:t>
                            </w:r>
                            <w:r w:rsidRPr="00EA6C78">
                              <w:rPr>
                                <w:color w:val="000000" w:themeColor="text1"/>
                                <w:sz w:val="16"/>
                                <w:szCs w:val="16"/>
                              </w:rPr>
                              <w:t xml:space="preserve">il est possible que les symptômes du patient soient dus à une AHI parce qu’il n’utilisait pas de méthode de prévention, ou ne l’utilisait pas efficacement, au moment de l’exposition potentielle au VIH. </w:t>
                            </w:r>
                          </w:p>
                          <w:p w14:paraId="1ED4847D" w14:textId="42099079" w:rsidR="007A2D7E" w:rsidRPr="00EA6C78" w:rsidRDefault="007A2D7E" w:rsidP="007A2D7E">
                            <w:pPr>
                              <w:jc w:val="center"/>
                              <w:rPr>
                                <w:rFonts w:cstheme="minorHAnsi"/>
                                <w:sz w:val="16"/>
                                <w:szCs w:val="16"/>
                              </w:rPr>
                            </w:pPr>
                            <w:r w:rsidRPr="00EA6C78">
                              <w:rPr>
                                <w:color w:val="000000" w:themeColor="text1"/>
                                <w:sz w:val="16"/>
                                <w:szCs w:val="16"/>
                              </w:rPr>
                              <w:t>Selon le moment de l’exposition potentielle du patient, le prestataire de santé et le patient doivent évaluer les risques et les avantages de suspendre la PrEP et de tester à nouveau le patient selon l’algorithme national 28 jours après l’exposition potentielle ou plus tôt si un test de dépistage est disponible et peut détecter le VIH de manière fiable.</w:t>
                            </w:r>
                            <w:r w:rsidR="00C43690" w:rsidRPr="007314B0">
                              <w:rPr>
                                <w:color w:val="000000" w:themeColor="text1"/>
                                <w:sz w:val="16"/>
                                <w:szCs w:val="16"/>
                                <w:vertAlign w:val="superscript"/>
                              </w:rPr>
                              <w:t>2</w:t>
                            </w:r>
                            <w:r w:rsidR="00923348">
                              <w:rPr>
                                <w:color w:val="000000" w:themeColor="text1"/>
                                <w:sz w:val="16"/>
                                <w:szCs w:val="16"/>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BECC" id="_x0000_s1048" type="#_x0000_t202" style="position:absolute;margin-left:175.5pt;margin-top:393.15pt;width:298.5pt;height:100.5pt;z-index:251693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" fillcolor="#3cc" stroked="f">
                <v:textbox>
                  <w:txbxContent>
                    <w:p w14:paraId="7214B0EE" w14:textId="00C1AC89" w:rsidR="007A2D7E" w:rsidRPr="00EA6C78" w:rsidRDefault="007A2D7E" w:rsidP="007A2D7E">
                      <w:pPr>
                        <w:jc w:val="center"/>
                        <w:rPr>
                          <w:color w:val="000000" w:themeColor="text1"/>
                          <w:sz w:val="16"/>
                          <w:szCs w:val="16"/>
                        </w:rPr>
                      </w:pPr>
                      <w:r w:rsidRPr="00EA6C78">
                        <w:rPr>
                          <w:rFonts w:cstheme="minorHAnsi"/>
                          <w:sz w:val="16"/>
                          <w:szCs w:val="16"/>
                        </w:rPr>
                        <w:t xml:space="preserve">Si NON, </w:t>
                      </w:r>
                      <w:r w:rsidRPr="00EA6C78">
                        <w:rPr>
                          <w:color w:val="000000" w:themeColor="text1"/>
                          <w:sz w:val="16"/>
                          <w:szCs w:val="16"/>
                        </w:rPr>
                        <w:t xml:space="preserve">il est possible que les symptômes du patient soient dus à une AHI parce qu’il n’utilisait pas de méthode de prévention, ou ne l’utilisait pas efficacement, au moment de l’exposition potentielle au VIH. </w:t>
                      </w:r>
                    </w:p>
                    <w:p w14:paraId="1ED4847D" w14:textId="42099079" w:rsidR="007A2D7E" w:rsidRPr="00EA6C78" w:rsidRDefault="007A2D7E" w:rsidP="007A2D7E">
                      <w:pPr>
                        <w:jc w:val="center"/>
                        <w:rPr>
                          <w:rFonts w:cstheme="minorHAnsi"/>
                          <w:sz w:val="16"/>
                          <w:szCs w:val="16"/>
                        </w:rPr>
                      </w:pPr>
                      <w:r w:rsidRPr="00EA6C78">
                        <w:rPr>
                          <w:color w:val="000000" w:themeColor="text1"/>
                          <w:sz w:val="16"/>
                          <w:szCs w:val="16"/>
                        </w:rPr>
                        <w:t>Selon le moment de l’exposition potentielle du patient, le prestataire de santé et le patient doivent évaluer les risques et les avantages de suspendre la PrEP et de tester à nouveau le patient selon l’algorithme national 28 jours après l’exposition potentielle ou plus tôt si un test de dépistage est disponible et peut détecter le VIH de manière fiable.</w:t>
                      </w:r>
                      <w:r w:rsidR="00C43690" w:rsidRPr="007314B0">
                        <w:rPr>
                          <w:color w:val="000000" w:themeColor="text1"/>
                          <w:sz w:val="16"/>
                          <w:szCs w:val="16"/>
                          <w:vertAlign w:val="superscript"/>
                        </w:rPr>
                        <w:t>2</w:t>
                      </w:r>
                      <w:r w:rsidR="00923348">
                        <w:rPr>
                          <w:color w:val="000000" w:themeColor="text1"/>
                          <w:sz w:val="16"/>
                          <w:szCs w:val="16"/>
                          <w:vertAlign w:val="superscript"/>
                        </w:rPr>
                        <w:t>,3</w:t>
                      </w:r>
                    </w:p>
                  </w:txbxContent>
                </v:textbox>
                <w10:wrap anchorx="margin"/>
              </v:shape>
            </w:pict>
          </mc:Fallback>
        </mc:AlternateContent>
      </w:r>
      <w:r w:rsidR="00EA6C78" w:rsidRPr="007314B0">
        <w:rPr>
          <w:b/>
          <w:noProof/>
        </w:rPr>
        <mc:AlternateContent>
          <mc:Choice Requires="wps">
            <w:drawing>
              <wp:anchor distT="45720" distB="45720" distL="114300" distR="114300" simplePos="0" relativeHeight="251695117" behindDoc="0" locked="0" layoutInCell="1" allowOverlap="1" wp14:anchorId="640B7864" wp14:editId="6899C72B">
                <wp:simplePos x="0" y="0"/>
                <wp:positionH relativeFrom="margin">
                  <wp:posOffset>1352550</wp:posOffset>
                </wp:positionH>
                <wp:positionV relativeFrom="paragraph">
                  <wp:posOffset>2373630</wp:posOffset>
                </wp:positionV>
                <wp:extent cx="1524000" cy="11430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43000"/>
                        </a:xfrm>
                        <a:prstGeom prst="rect">
                          <a:avLst/>
                        </a:prstGeom>
                        <a:solidFill>
                          <a:srgbClr val="33CCCC"/>
                        </a:solidFill>
                        <a:ln w="9525">
                          <a:noFill/>
                          <a:miter lim="800000"/>
                          <a:headEnd/>
                          <a:tailEnd/>
                        </a:ln>
                      </wps:spPr>
                      <wps:txbx>
                        <w:txbxContent>
                          <w:p w14:paraId="79F5897C" w14:textId="13BE980C" w:rsidR="00EA6C78" w:rsidRPr="00EA6C78" w:rsidRDefault="00EA6C78" w:rsidP="00EA6C78">
                            <w:pPr>
                              <w:jc w:val="center"/>
                              <w:rPr>
                                <w:rFonts w:cstheme="minorHAnsi"/>
                                <w:sz w:val="16"/>
                                <w:szCs w:val="16"/>
                              </w:rPr>
                            </w:pPr>
                            <w:r w:rsidRPr="00EA6C78">
                              <w:rPr>
                                <w:rFonts w:cstheme="minorHAnsi"/>
                                <w:sz w:val="16"/>
                                <w:szCs w:val="16"/>
                              </w:rPr>
                              <w:t xml:space="preserve">Si NON, commencer un traitement de </w:t>
                            </w:r>
                            <w:r w:rsidR="00FB6D3E">
                              <w:rPr>
                                <w:rFonts w:cstheme="minorHAnsi"/>
                                <w:sz w:val="16"/>
                                <w:szCs w:val="16"/>
                              </w:rPr>
                              <w:t>PPE</w:t>
                            </w:r>
                            <w:r w:rsidRPr="00EA6C78">
                              <w:rPr>
                                <w:rFonts w:cstheme="minorHAnsi"/>
                                <w:sz w:val="16"/>
                                <w:szCs w:val="16"/>
                              </w:rPr>
                              <w:t xml:space="preserve">. Si une </w:t>
                            </w:r>
                            <w:r w:rsidR="00FB6D3E">
                              <w:rPr>
                                <w:rFonts w:cstheme="minorHAnsi"/>
                                <w:sz w:val="16"/>
                                <w:szCs w:val="16"/>
                              </w:rPr>
                              <w:t>PPE</w:t>
                            </w:r>
                            <w:r w:rsidRPr="00EA6C78">
                              <w:rPr>
                                <w:rFonts w:cstheme="minorHAnsi"/>
                                <w:sz w:val="16"/>
                                <w:szCs w:val="16"/>
                              </w:rPr>
                              <w:t xml:space="preserve"> est commencée, tester de nouveau pour le VIH après 28 jours.</w:t>
                            </w:r>
                            <w:r w:rsidRPr="00EA6C78">
                              <w:rPr>
                                <w:rFonts w:cstheme="minorHAnsi"/>
                                <w:sz w:val="16"/>
                                <w:szCs w:val="16"/>
                                <w:vertAlign w:val="superscript"/>
                              </w:rPr>
                              <w:t>2</w:t>
                            </w:r>
                            <w:r w:rsidRPr="00EA6C78">
                              <w:rPr>
                                <w:rFonts w:cstheme="minorHAnsi"/>
                                <w:sz w:val="16"/>
                                <w:szCs w:val="16"/>
                              </w:rPr>
                              <w:t xml:space="preserve"> Si le patient est séronégatif à la fin du traitement de </w:t>
                            </w:r>
                            <w:r w:rsidR="00FB6D3E">
                              <w:rPr>
                                <w:rFonts w:cstheme="minorHAnsi"/>
                                <w:sz w:val="16"/>
                                <w:szCs w:val="16"/>
                              </w:rPr>
                              <w:t>PPE</w:t>
                            </w:r>
                            <w:r w:rsidRPr="00EA6C78">
                              <w:rPr>
                                <w:rFonts w:cstheme="minorHAnsi"/>
                                <w:sz w:val="16"/>
                                <w:szCs w:val="16"/>
                              </w:rPr>
                              <w:t>, poursuivre un traitement de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B7864" id="_x0000_s1049" type="#_x0000_t202" style="position:absolute;margin-left:106.5pt;margin-top:186.9pt;width:120pt;height:90pt;z-index:2516951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" fillcolor="#3cc" stroked="f">
                <v:textbox>
                  <w:txbxContent>
                    <w:p w14:paraId="79F5897C" w14:textId="13BE980C" w:rsidR="00EA6C78" w:rsidRPr="00EA6C78" w:rsidRDefault="00EA6C78" w:rsidP="00EA6C78">
                      <w:pPr>
                        <w:jc w:val="center"/>
                        <w:rPr>
                          <w:rFonts w:cstheme="minorHAnsi"/>
                          <w:sz w:val="16"/>
                          <w:szCs w:val="16"/>
                        </w:rPr>
                      </w:pPr>
                      <w:r w:rsidRPr="00EA6C78">
                        <w:rPr>
                          <w:rFonts w:cstheme="minorHAnsi"/>
                          <w:sz w:val="16"/>
                          <w:szCs w:val="16"/>
                        </w:rPr>
                        <w:t xml:space="preserve">Si NON, commencer un traitement de </w:t>
                      </w:r>
                      <w:r w:rsidR="00FB6D3E">
                        <w:rPr>
                          <w:rFonts w:cstheme="minorHAnsi"/>
                          <w:sz w:val="16"/>
                          <w:szCs w:val="16"/>
                        </w:rPr>
                        <w:t>PPE</w:t>
                      </w:r>
                      <w:r w:rsidRPr="00EA6C78">
                        <w:rPr>
                          <w:rFonts w:cstheme="minorHAnsi"/>
                          <w:sz w:val="16"/>
                          <w:szCs w:val="16"/>
                        </w:rPr>
                        <w:t xml:space="preserve">. Si une </w:t>
                      </w:r>
                      <w:r w:rsidR="00FB6D3E">
                        <w:rPr>
                          <w:rFonts w:cstheme="minorHAnsi"/>
                          <w:sz w:val="16"/>
                          <w:szCs w:val="16"/>
                        </w:rPr>
                        <w:t>PPE</w:t>
                      </w:r>
                      <w:r w:rsidRPr="00EA6C78">
                        <w:rPr>
                          <w:rFonts w:cstheme="minorHAnsi"/>
                          <w:sz w:val="16"/>
                          <w:szCs w:val="16"/>
                        </w:rPr>
                        <w:t xml:space="preserve"> est commencée, tester de nouveau pour le VIH après 28 jours.</w:t>
                      </w:r>
                      <w:r w:rsidRPr="00EA6C78">
                        <w:rPr>
                          <w:rFonts w:cstheme="minorHAnsi"/>
                          <w:sz w:val="16"/>
                          <w:szCs w:val="16"/>
                          <w:vertAlign w:val="superscript"/>
                        </w:rPr>
                        <w:t>2</w:t>
                      </w:r>
                      <w:r w:rsidRPr="00EA6C78">
                        <w:rPr>
                          <w:rFonts w:cstheme="minorHAnsi"/>
                          <w:sz w:val="16"/>
                          <w:szCs w:val="16"/>
                        </w:rPr>
                        <w:t xml:space="preserve"> Si le patient est séronégatif à la fin du traitement de </w:t>
                      </w:r>
                      <w:r w:rsidR="00FB6D3E">
                        <w:rPr>
                          <w:rFonts w:cstheme="minorHAnsi"/>
                          <w:sz w:val="16"/>
                          <w:szCs w:val="16"/>
                        </w:rPr>
                        <w:t>PPE</w:t>
                      </w:r>
                      <w:r w:rsidRPr="00EA6C78">
                        <w:rPr>
                          <w:rFonts w:cstheme="minorHAnsi"/>
                          <w:sz w:val="16"/>
                          <w:szCs w:val="16"/>
                        </w:rPr>
                        <w:t>, poursuivre un traitement de PrEP.</w:t>
                      </w:r>
                    </w:p>
                  </w:txbxContent>
                </v:textbox>
                <w10:wrap anchorx="margin"/>
              </v:shape>
            </w:pict>
          </mc:Fallback>
        </mc:AlternateContent>
      </w:r>
      <w:r w:rsidR="00BE240A" w:rsidRPr="007314B0">
        <w:rPr>
          <w:b/>
          <w:bCs/>
          <w:noProof/>
        </w:rPr>
        <w:drawing>
          <wp:inline distT="0" distB="0" distL="0" distR="0" wp14:anchorId="0F222179" wp14:editId="35824659">
            <wp:extent cx="6498003" cy="6255385"/>
            <wp:effectExtent l="0" t="0" r="0" b="0"/>
            <wp:docPr id="46" name="Picture 4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2166" cy="6259393"/>
                    </a:xfrm>
                    <a:prstGeom prst="rect">
                      <a:avLst/>
                    </a:prstGeom>
                    <a:noFill/>
                  </pic:spPr>
                </pic:pic>
              </a:graphicData>
            </a:graphic>
          </wp:inline>
        </w:drawing>
      </w:r>
    </w:p>
    <w:p w14:paraId="095A7376" w14:textId="4A6ADA31" w:rsidR="00BE240A" w:rsidRPr="007314B0" w:rsidRDefault="00BE240A" w:rsidP="1D9AD929">
      <w:pPr>
        <w:spacing w:after="120" w:line="240" w:lineRule="auto"/>
        <w:rPr>
          <w:b/>
          <w:bCs/>
        </w:rPr>
      </w:pPr>
    </w:p>
    <w:p w14:paraId="73811070" w14:textId="2FDBB3DD" w:rsidR="00270B46" w:rsidRPr="007314B0" w:rsidRDefault="00270B46" w:rsidP="000A28FD">
      <w:pPr>
        <w:spacing w:after="120" w:line="240" w:lineRule="auto"/>
        <w:rPr>
          <w:rFonts w:cstheme="minorHAnsi"/>
          <w:i/>
        </w:rPr>
      </w:pPr>
    </w:p>
    <w:p w14:paraId="3488B5AB" w14:textId="77777777" w:rsidR="00B60700" w:rsidRPr="007314B0" w:rsidRDefault="00B60700" w:rsidP="00B60700">
      <w:pPr>
        <w:spacing w:before="120" w:after="0" w:line="240" w:lineRule="auto"/>
        <w:rPr>
          <w:rFonts w:eastAsiaTheme="majorEastAsia" w:cstheme="minorHAnsi"/>
          <w:color w:val="000000" w:themeColor="text1"/>
          <w:sz w:val="20"/>
          <w:szCs w:val="20"/>
        </w:rPr>
      </w:pPr>
      <w:r w:rsidRPr="007314B0">
        <w:rPr>
          <w:color w:val="000000" w:themeColor="text1"/>
          <w:sz w:val="20"/>
          <w:szCs w:val="20"/>
          <w:vertAlign w:val="superscript"/>
        </w:rPr>
        <w:t xml:space="preserve">0 </w:t>
      </w:r>
      <w:r w:rsidRPr="007314B0">
        <w:rPr>
          <w:color w:val="000000" w:themeColor="text1"/>
          <w:sz w:val="20"/>
          <w:szCs w:val="20"/>
        </w:rPr>
        <w:t>Une réponse « NON » à la question « Potentiellement exposé(e) au VIH au cours des dernières 72h ? » signifie qu’il n’y a aucune exposition potentielle passée au VIH ou que l’exposition potentielle au VIH connue remonte à plus de 73 heures.</w:t>
      </w:r>
    </w:p>
    <w:p w14:paraId="7BAE3A5B" w14:textId="184B5979" w:rsidR="00B60700" w:rsidRPr="007314B0" w:rsidRDefault="00B60700" w:rsidP="00B60700">
      <w:pPr>
        <w:spacing w:before="120" w:after="0" w:line="240" w:lineRule="auto"/>
        <w:rPr>
          <w:rFonts w:eastAsiaTheme="majorEastAsia" w:cstheme="minorHAnsi"/>
          <w:color w:val="000000" w:themeColor="text1"/>
          <w:sz w:val="20"/>
          <w:szCs w:val="20"/>
        </w:rPr>
      </w:pPr>
      <w:r w:rsidRPr="007314B0">
        <w:rPr>
          <w:color w:val="000000" w:themeColor="text1"/>
          <w:sz w:val="20"/>
          <w:szCs w:val="20"/>
          <w:vertAlign w:val="superscript"/>
        </w:rPr>
        <w:t xml:space="preserve">1 </w:t>
      </w:r>
      <w:r w:rsidRPr="007314B0">
        <w:rPr>
          <w:color w:val="000000" w:themeColor="text1"/>
          <w:sz w:val="20"/>
          <w:szCs w:val="20"/>
        </w:rPr>
        <w:t>Deux tiers des personnes présenteront des symptômes d’AHI dans les 2 à 4 semaines après avoir contracté le VIH (</w:t>
      </w:r>
      <w:hyperlink r:id="rId39" w:history="1">
        <w:r w:rsidRPr="007314B0">
          <w:rPr>
            <w:rStyle w:val="Hyperlink"/>
            <w:sz w:val="20"/>
            <w:szCs w:val="20"/>
          </w:rPr>
          <w:t>Letizia et al.</w:t>
        </w:r>
      </w:hyperlink>
      <w:hyperlink r:id="rId40" w:history="1">
        <w:r w:rsidRPr="007314B0">
          <w:rPr>
            <w:rStyle w:val="Hyperlink"/>
            <w:sz w:val="20"/>
            <w:szCs w:val="20"/>
          </w:rPr>
          <w:t xml:space="preserve"> 2022</w:t>
        </w:r>
      </w:hyperlink>
      <w:r w:rsidRPr="007314B0">
        <w:rPr>
          <w:color w:val="000000" w:themeColor="text1"/>
          <w:sz w:val="20"/>
          <w:szCs w:val="20"/>
        </w:rPr>
        <w:t>). Les signes et symptômes qui imitent une infection aiguë par le VIH (maux de gorge, fièvre, sueurs, ganglions gonflés, lésions buccales, maux de tête, éruptions cutanées, douleurs musculaires) sont généralement dus à des maladies autres que le VIH ; les prestataires doivent faire preuve de discernement pour déterminer si la symptomatologie est cohérente avec le VIH ou si une autre cause peut l’expliquer.</w:t>
      </w:r>
    </w:p>
    <w:p w14:paraId="6601C212" w14:textId="0F2ABB72" w:rsidR="00B60700" w:rsidRPr="007314B0" w:rsidRDefault="00B60700" w:rsidP="00B60700">
      <w:pPr>
        <w:spacing w:before="120" w:after="0" w:line="240" w:lineRule="auto"/>
        <w:rPr>
          <w:color w:val="000000" w:themeColor="text1"/>
          <w:sz w:val="20"/>
          <w:szCs w:val="20"/>
        </w:rPr>
      </w:pPr>
      <w:r w:rsidRPr="007314B0">
        <w:rPr>
          <w:color w:val="000000" w:themeColor="text1"/>
          <w:sz w:val="20"/>
          <w:szCs w:val="20"/>
          <w:vertAlign w:val="superscript"/>
        </w:rPr>
        <w:t xml:space="preserve">2 </w:t>
      </w:r>
      <w:r w:rsidRPr="007314B0">
        <w:rPr>
          <w:color w:val="000000" w:themeColor="text1"/>
          <w:sz w:val="20"/>
          <w:szCs w:val="20"/>
        </w:rPr>
        <w:t xml:space="preserve">Si un test de dépistage du VIH capable de détecter le VIH de manière fiable compte tenu des expositions potentielles et des délais de ces patients est disponible, il est possible de commencer la PrEP avant les 28 jours si les résultats ne sont pas réactifs. </w:t>
      </w:r>
    </w:p>
    <w:p w14:paraId="00A43C49" w14:textId="1DB11721" w:rsidR="001A00A4" w:rsidRPr="007314B0" w:rsidRDefault="001A00A4" w:rsidP="001A00A4">
      <w:pPr>
        <w:spacing w:before="120" w:after="0" w:line="240" w:lineRule="auto"/>
        <w:rPr>
          <w:rFonts w:eastAsiaTheme="majorEastAsia" w:cstheme="minorHAnsi"/>
          <w:color w:val="000000" w:themeColor="text1"/>
          <w:sz w:val="20"/>
          <w:szCs w:val="20"/>
        </w:rPr>
      </w:pPr>
      <w:r w:rsidRPr="007314B0">
        <w:rPr>
          <w:rFonts w:eastAsiaTheme="majorEastAsia" w:cstheme="minorHAnsi"/>
          <w:color w:val="000000" w:themeColor="text1"/>
          <w:sz w:val="20"/>
          <w:szCs w:val="20"/>
          <w:vertAlign w:val="superscript"/>
        </w:rPr>
        <w:t>3</w:t>
      </w:r>
      <w:r w:rsidR="00F6059E" w:rsidRPr="007314B0">
        <w:rPr>
          <w:rFonts w:eastAsiaTheme="majorEastAsia" w:cstheme="minorHAnsi"/>
          <w:color w:val="000000" w:themeColor="text1"/>
          <w:sz w:val="20"/>
          <w:szCs w:val="20"/>
        </w:rPr>
        <w:t>Une suspicion d’IAH ne constitue pas une contre-indication à l’utilisation de l’anneau PrEP. Si une IAH est suspectée, encouragez fortement la personne à revenir dans 4 à 6 semaines pour un nouveau test et à ne pas attendre 3 mois</w:t>
      </w:r>
      <w:r w:rsidR="00FF1E90" w:rsidRPr="007314B0">
        <w:rPr>
          <w:rFonts w:eastAsiaTheme="majorEastAsia" w:cstheme="minorHAnsi"/>
          <w:color w:val="000000" w:themeColor="text1"/>
          <w:sz w:val="20"/>
          <w:szCs w:val="20"/>
        </w:rPr>
        <w:t>.</w:t>
      </w:r>
    </w:p>
    <w:p w14:paraId="2FAC3096" w14:textId="37A95B17" w:rsidR="00923348" w:rsidRPr="007314B0" w:rsidRDefault="00923348" w:rsidP="00B60700">
      <w:pPr>
        <w:spacing w:before="120" w:after="0" w:line="240" w:lineRule="auto"/>
        <w:rPr>
          <w:rFonts w:eastAsiaTheme="majorEastAsia" w:cstheme="minorHAnsi"/>
          <w:color w:val="000000" w:themeColor="text1"/>
          <w:sz w:val="20"/>
          <w:szCs w:val="20"/>
        </w:rPr>
      </w:pPr>
    </w:p>
    <w:p w14:paraId="6602E81B" w14:textId="7FDB5323" w:rsidR="007408FB" w:rsidRPr="007314B0" w:rsidRDefault="007408FB" w:rsidP="002D288B">
      <w:pPr>
        <w:pStyle w:val="Heading2"/>
        <w:spacing w:before="120" w:after="120" w:line="240" w:lineRule="auto"/>
        <w:rPr>
          <w:rFonts w:asciiTheme="minorHAnsi" w:hAnsiTheme="minorHAnsi" w:cstheme="minorHAnsi"/>
        </w:rPr>
      </w:pPr>
      <w:bookmarkStart w:id="53" w:name="_Toc124428522"/>
      <w:r w:rsidRPr="007314B0">
        <w:rPr>
          <w:rFonts w:asciiTheme="minorHAnsi" w:hAnsiTheme="minorHAnsi"/>
        </w:rPr>
        <w:lastRenderedPageBreak/>
        <w:t>Composante 3 : Counseling en matière de PrEP</w:t>
      </w:r>
      <w:bookmarkEnd w:id="53"/>
    </w:p>
    <w:p w14:paraId="164F3EAE" w14:textId="18E7ADD8" w:rsidR="00A85A87" w:rsidRPr="007314B0" w:rsidRDefault="00246F78" w:rsidP="00DD508F">
      <w:pPr>
        <w:spacing w:after="120" w:line="240" w:lineRule="auto"/>
        <w:rPr>
          <w:rFonts w:cstheme="minorHAnsi"/>
        </w:rPr>
      </w:pPr>
      <w:r w:rsidRPr="007314B0">
        <w:t xml:space="preserve">Les prestataires doivent non seulement réitérer les messages clés et les sujets de counseling abordés lors de l’initiation, si nécessaire (voir le </w:t>
      </w:r>
      <w:r w:rsidRPr="007314B0">
        <w:rPr>
          <w:i/>
          <w:iCs/>
        </w:rPr>
        <w:t>tableau 4</w:t>
      </w:r>
      <w:r w:rsidRPr="007314B0">
        <w:t xml:space="preserve"> en </w:t>
      </w:r>
      <w:r w:rsidRPr="007314B0">
        <w:rPr>
          <w:i/>
          <w:iCs/>
        </w:rPr>
        <w:t>annexe</w:t>
      </w:r>
      <w:r w:rsidRPr="007314B0">
        <w:t xml:space="preserve">), mais ils doivent aussi aborder : </w:t>
      </w:r>
    </w:p>
    <w:p w14:paraId="28FD9E32" w14:textId="6CF637ED" w:rsidR="00A85A87" w:rsidRPr="007314B0" w:rsidRDefault="002B3D5C" w:rsidP="71945BB9">
      <w:pPr>
        <w:pStyle w:val="ListParagraph"/>
        <w:numPr>
          <w:ilvl w:val="0"/>
          <w:numId w:val="16"/>
        </w:numPr>
        <w:spacing w:after="120" w:line="240" w:lineRule="auto"/>
      </w:pPr>
      <w:r w:rsidRPr="007314B0">
        <w:t xml:space="preserve">Tout effet secondaire ou indésirable que le patient a ressenti (et les gérer si nécessaire </w:t>
      </w:r>
      <w:r w:rsidR="00322B1F" w:rsidRPr="007314B0">
        <w:t>–</w:t>
      </w:r>
      <w:r w:rsidRPr="007314B0">
        <w:t xml:space="preserve"> prière de consulter la section </w:t>
      </w:r>
      <w:r w:rsidRPr="007314B0">
        <w:rPr>
          <w:i/>
          <w:iCs/>
        </w:rPr>
        <w:t xml:space="preserve">Gestion des effets secondaires et des effets </w:t>
      </w:r>
      <w:r w:rsidR="00DF3220" w:rsidRPr="007314B0">
        <w:rPr>
          <w:i/>
          <w:iCs/>
        </w:rPr>
        <w:t>indésirables</w:t>
      </w:r>
      <w:r w:rsidR="00DF3220" w:rsidRPr="007314B0">
        <w:t xml:space="preserve"> ci</w:t>
      </w:r>
      <w:r w:rsidRPr="007314B0">
        <w:t>-dessous).</w:t>
      </w:r>
    </w:p>
    <w:p w14:paraId="13017FC3" w14:textId="6CCB3EA0" w:rsidR="00246F78" w:rsidRPr="007314B0" w:rsidRDefault="00976892" w:rsidP="0294A27B">
      <w:pPr>
        <w:pStyle w:val="ListParagraph"/>
        <w:numPr>
          <w:ilvl w:val="0"/>
          <w:numId w:val="16"/>
        </w:numPr>
        <w:spacing w:after="120" w:line="240" w:lineRule="auto"/>
      </w:pPr>
      <w:r w:rsidRPr="007314B0">
        <w:t>L’exposition continue au VIH et si le patient estime qu’il est nécessaire de continuer à utiliser la PrEP</w:t>
      </w:r>
    </w:p>
    <w:p w14:paraId="2C0FBFAD" w14:textId="6342C302" w:rsidR="007408FB" w:rsidRPr="007314B0" w:rsidRDefault="007408FB" w:rsidP="00DD508F">
      <w:pPr>
        <w:pStyle w:val="Heading2"/>
        <w:spacing w:before="0" w:after="120" w:line="240" w:lineRule="auto"/>
        <w:rPr>
          <w:rFonts w:asciiTheme="minorHAnsi" w:hAnsiTheme="minorHAnsi" w:cstheme="minorBidi"/>
        </w:rPr>
      </w:pPr>
      <w:bookmarkStart w:id="54" w:name="_Toc124428523"/>
      <w:r w:rsidRPr="007314B0">
        <w:rPr>
          <w:rFonts w:asciiTheme="minorHAnsi" w:hAnsiTheme="minorHAnsi"/>
        </w:rPr>
        <w:t>Composante 4 : Renouvellement de la PrEP</w:t>
      </w:r>
      <w:bookmarkEnd w:id="54"/>
    </w:p>
    <w:p w14:paraId="46086E17" w14:textId="6BB4AA83" w:rsidR="00395A7B" w:rsidRPr="007314B0" w:rsidRDefault="0F00E838" w:rsidP="18373E04">
      <w:pPr>
        <w:pBdr>
          <w:top w:val="nil"/>
          <w:left w:val="nil"/>
          <w:bottom w:val="nil"/>
          <w:right w:val="nil"/>
          <w:between w:val="nil"/>
        </w:pBdr>
        <w:spacing w:after="120" w:line="240" w:lineRule="auto"/>
        <w:rPr>
          <w:color w:val="000000"/>
        </w:rPr>
      </w:pPr>
      <w:r w:rsidRPr="007314B0">
        <w:rPr>
          <w:color w:val="000000" w:themeColor="text1"/>
        </w:rPr>
        <w:t xml:space="preserve">Plusieurs </w:t>
      </w:r>
      <w:r w:rsidR="00322B1F" w:rsidRPr="007314B0">
        <w:rPr>
          <w:color w:val="000000" w:themeColor="text1"/>
        </w:rPr>
        <w:t>boîtes</w:t>
      </w:r>
      <w:r w:rsidRPr="007314B0">
        <w:rPr>
          <w:color w:val="000000" w:themeColor="text1"/>
        </w:rPr>
        <w:t xml:space="preserve"> ou anneaux peuvent être prescrits aux patients qui utilisent la PrEP orale ou l’anneau de PrEP, en quantités suffisantes pour qu’ils n’aient pas besoin d’un renouvellement avant leur prochain rendez-vous de suivi. Cependant, certains patients ne voudront peut-être pas avoir une réserve de plusieurs mois en raison de difficultés de stockage. Les prestataires doivent donc en parler avec leurs patients et trouver un terrain d’entente en fonction de leurs besoins et de leurs préférences. Ceux qui disposent d’une réserve de médicaments ont tendance à mieux les utiliser. Dans certaines situations, selon les besoins et les préférences du patient, il peut être nécessaire de séparer les visites de suivi et les renouvellements. </w:t>
      </w:r>
    </w:p>
    <w:p w14:paraId="5445013E" w14:textId="3BAEBE60" w:rsidR="005C3A15" w:rsidRPr="007314B0" w:rsidRDefault="00FC0132" w:rsidP="00DD508F">
      <w:pPr>
        <w:pBdr>
          <w:top w:val="nil"/>
          <w:left w:val="nil"/>
          <w:bottom w:val="nil"/>
          <w:right w:val="nil"/>
          <w:between w:val="nil"/>
        </w:pBdr>
        <w:spacing w:after="120" w:line="240" w:lineRule="auto"/>
        <w:rPr>
          <w:color w:val="000000"/>
        </w:rPr>
      </w:pPr>
      <w:r w:rsidRPr="007314B0">
        <w:rPr>
          <w:color w:val="000000" w:themeColor="text1"/>
        </w:rPr>
        <w:t xml:space="preserve">Pour les patients qui utilisent l’ED-PrEP, un renouvellement complet ne sera peut-être pas nécessaire à chaque visite de suivi. </w:t>
      </w:r>
      <w:r w:rsidRPr="007314B0">
        <w:t xml:space="preserve">Il est préférable de leur demander à chaque visite combien de </w:t>
      </w:r>
      <w:r w:rsidR="00322B1F" w:rsidRPr="007314B0">
        <w:rPr>
          <w:color w:val="000000" w:themeColor="text1"/>
        </w:rPr>
        <w:t>boîtes</w:t>
      </w:r>
      <w:r w:rsidRPr="007314B0">
        <w:t xml:space="preserve"> enti</w:t>
      </w:r>
      <w:r w:rsidR="00322B1F" w:rsidRPr="007314B0">
        <w:t>ères</w:t>
      </w:r>
      <w:r w:rsidRPr="007314B0">
        <w:t xml:space="preserve"> de PrEP orale ils ont </w:t>
      </w:r>
      <w:r w:rsidR="00322B1F" w:rsidRPr="007314B0">
        <w:t xml:space="preserve">en réserve </w:t>
      </w:r>
      <w:r w:rsidRPr="007314B0">
        <w:t xml:space="preserve">et de leur fournir suffisamment de </w:t>
      </w:r>
      <w:r w:rsidR="00322B1F" w:rsidRPr="007314B0">
        <w:rPr>
          <w:color w:val="000000" w:themeColor="text1"/>
        </w:rPr>
        <w:t xml:space="preserve">boîtes </w:t>
      </w:r>
      <w:r w:rsidRPr="007314B0">
        <w:t>pour qu’ils puissent utiliser la PrEP orale quotidiennement si nécessaire.</w:t>
      </w:r>
      <w:r w:rsidRPr="007314B0">
        <w:rPr>
          <w:color w:val="000000" w:themeColor="text1"/>
        </w:rPr>
        <w:t xml:space="preserve"> En général,</w:t>
      </w:r>
      <w:r w:rsidR="00322B1F" w:rsidRPr="007314B0">
        <w:rPr>
          <w:color w:val="000000" w:themeColor="text1"/>
        </w:rPr>
        <w:t xml:space="preserve"> </w:t>
      </w:r>
      <w:r w:rsidRPr="007314B0">
        <w:rPr>
          <w:color w:val="000000" w:themeColor="text1"/>
        </w:rPr>
        <w:t xml:space="preserve">cela signifie leur en prescrire trois, moins le nombre de </w:t>
      </w:r>
      <w:r w:rsidR="00322B1F" w:rsidRPr="007314B0">
        <w:rPr>
          <w:color w:val="000000" w:themeColor="text1"/>
        </w:rPr>
        <w:t xml:space="preserve">boîtes </w:t>
      </w:r>
      <w:r w:rsidRPr="007314B0">
        <w:rPr>
          <w:color w:val="000000" w:themeColor="text1"/>
        </w:rPr>
        <w:t>enti</w:t>
      </w:r>
      <w:r w:rsidR="00322B1F" w:rsidRPr="007314B0">
        <w:rPr>
          <w:color w:val="000000" w:themeColor="text1"/>
        </w:rPr>
        <w:t>ères</w:t>
      </w:r>
      <w:r w:rsidRPr="007314B0">
        <w:rPr>
          <w:color w:val="000000" w:themeColor="text1"/>
        </w:rPr>
        <w:t xml:space="preserve"> dont ils disposent.</w:t>
      </w:r>
    </w:p>
    <w:p w14:paraId="7CBBE202" w14:textId="4A2EA007" w:rsidR="00B01449" w:rsidRPr="007314B0" w:rsidRDefault="00D2585A"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Pour les patients qui utilisent la PrEP orale ou l’anneau, il est recommandé de prévoir la prochaine visite du patient au moins tous les trois mois et au moins une semaine avant la fin de la réserve de médicaments dans le cas d’un traitement quotidien ou au moins une semaine avant que la patiente n’ait à changer le dernier anneau qui lui a été remis. Pour ceux qui utilisent le CAB PrEP, il faudra programmer la visite de suivi </w:t>
      </w:r>
      <w:r w:rsidR="00677F3A" w:rsidRPr="007314B0">
        <w:rPr>
          <w:color w:val="000000" w:themeColor="text1"/>
        </w:rPr>
        <w:t>deux mois</w:t>
      </w:r>
      <w:r w:rsidRPr="007314B0">
        <w:rPr>
          <w:color w:val="000000" w:themeColor="text1"/>
        </w:rPr>
        <w:t xml:space="preserve"> après la deuxième injection initiale, puis une visite tous les</w:t>
      </w:r>
      <w:r w:rsidR="00677F3A" w:rsidRPr="007314B0">
        <w:rPr>
          <w:color w:val="000000" w:themeColor="text1"/>
        </w:rPr>
        <w:t xml:space="preserve"> deux mois</w:t>
      </w:r>
      <w:r w:rsidRPr="007314B0">
        <w:rPr>
          <w:color w:val="000000" w:themeColor="text1"/>
        </w:rPr>
        <w:t xml:space="preserve"> </w:t>
      </w:r>
    </w:p>
    <w:p w14:paraId="6C453258" w14:textId="43BC7DE1" w:rsidR="009522F0" w:rsidRPr="007314B0" w:rsidRDefault="009522F0" w:rsidP="00DD508F">
      <w:pPr>
        <w:pBdr>
          <w:top w:val="nil"/>
          <w:left w:val="nil"/>
          <w:bottom w:val="nil"/>
          <w:right w:val="nil"/>
          <w:between w:val="nil"/>
        </w:pBdr>
        <w:spacing w:after="120" w:line="240" w:lineRule="auto"/>
        <w:rPr>
          <w:color w:val="000000"/>
        </w:rPr>
      </w:pPr>
      <w:r w:rsidRPr="007314B0">
        <w:rPr>
          <w:color w:val="000000" w:themeColor="text1"/>
        </w:rPr>
        <w:t>Dans la mesure du possible, les visites de suivi doivent être coordonnées avec les visites pour d’autres services afin de réduire le nombre de fois où un patient doit se présenter pour recevoir des services.</w:t>
      </w:r>
    </w:p>
    <w:p w14:paraId="6017071D" w14:textId="1EDFAB83" w:rsidR="00AD74A6" w:rsidRPr="007314B0" w:rsidRDefault="0073085D" w:rsidP="00DD508F">
      <w:pPr>
        <w:pStyle w:val="Heading2"/>
        <w:spacing w:before="0" w:after="120" w:line="240" w:lineRule="auto"/>
        <w:rPr>
          <w:rFonts w:asciiTheme="minorHAnsi" w:hAnsiTheme="minorHAnsi" w:cstheme="minorBidi"/>
        </w:rPr>
      </w:pPr>
      <w:bookmarkStart w:id="55" w:name="_Toc124428524"/>
      <w:r w:rsidRPr="007314B0">
        <w:rPr>
          <w:rFonts w:asciiTheme="minorHAnsi" w:hAnsiTheme="minorHAnsi"/>
        </w:rPr>
        <w:t>Composantes potentielles des visites de suivi de la PrEP</w:t>
      </w:r>
      <w:bookmarkEnd w:id="55"/>
    </w:p>
    <w:p w14:paraId="22B71F2F" w14:textId="043F6979" w:rsidR="00AD74A6" w:rsidRPr="007314B0" w:rsidDel="00586470" w:rsidRDefault="0073085D">
      <w:pPr>
        <w:pBdr>
          <w:top w:val="nil"/>
          <w:left w:val="nil"/>
          <w:bottom w:val="nil"/>
          <w:right w:val="nil"/>
          <w:between w:val="nil"/>
        </w:pBdr>
        <w:spacing w:after="120" w:line="240" w:lineRule="auto"/>
        <w:rPr>
          <w:b/>
          <w:color w:val="000000"/>
        </w:rPr>
      </w:pPr>
      <w:r w:rsidRPr="007314B0">
        <w:rPr>
          <w:color w:val="000000" w:themeColor="text1"/>
        </w:rPr>
        <w:t xml:space="preserve">Les composantes potentielles des visites de suivi de la PrEP sont les mêmes que celles des visites d’initiation. </w:t>
      </w:r>
    </w:p>
    <w:p w14:paraId="035A4C00" w14:textId="7C6903DC" w:rsidR="00E51515" w:rsidRPr="007314B0" w:rsidRDefault="00FA0E4A" w:rsidP="00DD508F">
      <w:pPr>
        <w:pBdr>
          <w:top w:val="nil"/>
          <w:left w:val="nil"/>
          <w:bottom w:val="nil"/>
          <w:right w:val="nil"/>
          <w:between w:val="nil"/>
        </w:pBdr>
        <w:spacing w:after="120" w:line="240" w:lineRule="auto"/>
        <w:rPr>
          <w:color w:val="000000"/>
        </w:rPr>
      </w:pPr>
      <w:r w:rsidRPr="007314B0">
        <w:t>Si la clairance de la créatinine estimée est &lt;60 ml/min ou si l’</w:t>
      </w:r>
      <w:proofErr w:type="spellStart"/>
      <w:r w:rsidRPr="007314B0">
        <w:t>eGFR</w:t>
      </w:r>
      <w:proofErr w:type="spellEnd"/>
      <w:r w:rsidRPr="007314B0">
        <w:t xml:space="preserve"> est &lt;60 ml/min par 1,73m</w:t>
      </w:r>
      <w:r w:rsidRPr="007314B0">
        <w:rPr>
          <w:vertAlign w:val="superscript"/>
        </w:rPr>
        <w:t>2</w:t>
      </w:r>
      <w:r w:rsidRPr="007314B0">
        <w:t xml:space="preserve">, prière de consulter la section </w:t>
      </w:r>
      <w:r w:rsidRPr="007314B0">
        <w:rPr>
          <w:i/>
          <w:iCs/>
        </w:rPr>
        <w:t>Gestion de l’élévation de la créatinine</w:t>
      </w:r>
      <w:r w:rsidRPr="007314B0">
        <w:t xml:space="preserve"> ci-dessous.</w:t>
      </w:r>
    </w:p>
    <w:p w14:paraId="329DA548" w14:textId="0525D251" w:rsidR="00AE1F62" w:rsidRPr="007314B0" w:rsidRDefault="00AE1F62" w:rsidP="00141C78">
      <w:pPr>
        <w:pStyle w:val="Heading1"/>
        <w:spacing w:after="120" w:line="240" w:lineRule="auto"/>
        <w:rPr>
          <w:rFonts w:asciiTheme="minorHAnsi" w:hAnsiTheme="minorHAnsi" w:cstheme="minorBidi"/>
        </w:rPr>
      </w:pPr>
      <w:bookmarkStart w:id="56" w:name="_Toc124428525"/>
      <w:bookmarkStart w:id="57" w:name="_Toc80690931"/>
      <w:r w:rsidRPr="007314B0">
        <w:rPr>
          <w:rFonts w:asciiTheme="minorHAnsi" w:hAnsiTheme="minorHAnsi"/>
        </w:rPr>
        <w:t>Visites non programmées de PrEP</w:t>
      </w:r>
      <w:bookmarkEnd w:id="56"/>
    </w:p>
    <w:tbl>
      <w:tblPr>
        <w:tblW w:w="0" w:type="auto"/>
        <w:tblLook w:val="04A0" w:firstRow="1" w:lastRow="0" w:firstColumn="1" w:lastColumn="0" w:noHBand="0" w:noVBand="1"/>
      </w:tblPr>
      <w:tblGrid>
        <w:gridCol w:w="10456"/>
      </w:tblGrid>
      <w:tr w:rsidR="0084627C" w:rsidRPr="007314B0" w14:paraId="19B74D19" w14:textId="77777777" w:rsidTr="56D00486">
        <w:tc>
          <w:tcPr>
            <w:tcW w:w="10456" w:type="dxa"/>
            <w:shd w:val="clear" w:color="auto" w:fill="C5E0B3" w:themeFill="accent6" w:themeFillTint="66"/>
          </w:tcPr>
          <w:p w14:paraId="7771F76C" w14:textId="1C3C8B01" w:rsidR="0084627C" w:rsidRPr="007314B0" w:rsidRDefault="0470250A" w:rsidP="56D00486">
            <w:pPr>
              <w:pBdr>
                <w:top w:val="nil"/>
                <w:left w:val="nil"/>
                <w:bottom w:val="nil"/>
                <w:right w:val="nil"/>
                <w:between w:val="nil"/>
              </w:pBdr>
              <w:spacing w:after="120"/>
              <w:rPr>
                <w:color w:val="000000"/>
              </w:rPr>
            </w:pPr>
            <w:r w:rsidRPr="007314B0">
              <w:rPr>
                <w:b/>
                <w:bCs/>
              </w:rPr>
              <w:t>Point à prendre en compte :</w:t>
            </w:r>
            <w:r w:rsidRPr="007314B0">
              <w:t xml:space="preserve"> </w:t>
            </w:r>
            <w:r w:rsidRPr="007314B0">
              <w:rPr>
                <w:color w:val="000000" w:themeColor="text1"/>
              </w:rPr>
              <w:t xml:space="preserve">Les procédures pour les visites non programmées pourraient inclure : </w:t>
            </w:r>
          </w:p>
          <w:p w14:paraId="2430EDE7" w14:textId="4C2E5F49" w:rsidR="0084627C" w:rsidRPr="007314B0" w:rsidRDefault="0084627C" w:rsidP="0294A27B">
            <w:pPr>
              <w:pStyle w:val="ListParagraph"/>
              <w:numPr>
                <w:ilvl w:val="0"/>
                <w:numId w:val="17"/>
              </w:numPr>
              <w:pBdr>
                <w:top w:val="nil"/>
                <w:left w:val="nil"/>
                <w:bottom w:val="nil"/>
                <w:right w:val="nil"/>
                <w:between w:val="nil"/>
              </w:pBdr>
              <w:spacing w:after="120"/>
              <w:rPr>
                <w:color w:val="000000"/>
              </w:rPr>
            </w:pPr>
            <w:r w:rsidRPr="007314B0">
              <w:rPr>
                <w:color w:val="000000" w:themeColor="text1"/>
              </w:rPr>
              <w:t>Déterminer si la raison de la visite est liée à la PrEP ou non, par exemple, des effets indésirables</w:t>
            </w:r>
          </w:p>
          <w:p w14:paraId="36BD738C" w14:textId="2A0A415F" w:rsidR="0084627C" w:rsidRPr="007314B0" w:rsidRDefault="0084627C" w:rsidP="00B25741">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rPr>
            </w:pPr>
            <w:r w:rsidRPr="007314B0">
              <w:rPr>
                <w:color w:val="000000"/>
              </w:rPr>
              <w:t>Évaluer et gérer la raison de la visite imprévue conformément aux directives nationales, par exemple, une maladie aiguë ou chronique, une exposition au VIH en cas de mauvaise utilisation de la PrEP, l’aggravation de maladies existantes</w:t>
            </w:r>
          </w:p>
          <w:p w14:paraId="18C89149" w14:textId="667AA8C9" w:rsidR="0084627C" w:rsidRPr="007314B0" w:rsidRDefault="0084627C" w:rsidP="0294A27B">
            <w:pPr>
              <w:pStyle w:val="ListParagraph"/>
              <w:numPr>
                <w:ilvl w:val="0"/>
                <w:numId w:val="17"/>
              </w:numPr>
              <w:pBdr>
                <w:top w:val="nil"/>
                <w:left w:val="nil"/>
                <w:bottom w:val="nil"/>
                <w:right w:val="nil"/>
                <w:between w:val="nil"/>
              </w:pBdr>
              <w:spacing w:after="120"/>
              <w:rPr>
                <w:color w:val="000000"/>
              </w:rPr>
            </w:pPr>
            <w:r w:rsidRPr="007314B0">
              <w:rPr>
                <w:color w:val="000000" w:themeColor="text1"/>
              </w:rPr>
              <w:t>Offrir du counseling sur la réduction de l’exposition au VIH et une bonne utilisation de la PrEP</w:t>
            </w:r>
          </w:p>
          <w:p w14:paraId="48986714" w14:textId="0AAA079B" w:rsidR="0084627C" w:rsidRPr="007314B0" w:rsidRDefault="0084627C" w:rsidP="00391C93">
            <w:pPr>
              <w:pStyle w:val="ListParagraph"/>
              <w:numPr>
                <w:ilvl w:val="0"/>
                <w:numId w:val="17"/>
              </w:numPr>
              <w:pBdr>
                <w:top w:val="nil"/>
                <w:left w:val="nil"/>
                <w:bottom w:val="nil"/>
                <w:right w:val="nil"/>
                <w:between w:val="nil"/>
              </w:pBdr>
              <w:spacing w:after="120"/>
              <w:contextualSpacing w:val="0"/>
              <w:rPr>
                <w:rFonts w:cstheme="minorHAnsi"/>
                <w:color w:val="000000"/>
              </w:rPr>
            </w:pPr>
            <w:r w:rsidRPr="007314B0">
              <w:rPr>
                <w:color w:val="000000"/>
              </w:rPr>
              <w:t>Convenir d’un calendrier de suivi</w:t>
            </w:r>
          </w:p>
        </w:tc>
      </w:tr>
    </w:tbl>
    <w:p w14:paraId="749770C4" w14:textId="2BB750A5" w:rsidR="000A2F1B" w:rsidRPr="007314B0" w:rsidRDefault="000A2F1B" w:rsidP="003C3CF5">
      <w:pPr>
        <w:pStyle w:val="Heading1"/>
        <w:spacing w:after="120" w:line="240" w:lineRule="auto"/>
        <w:rPr>
          <w:rFonts w:asciiTheme="minorHAnsi" w:hAnsiTheme="minorHAnsi" w:cstheme="minorBidi"/>
        </w:rPr>
      </w:pPr>
      <w:bookmarkStart w:id="58" w:name="_Toc124428526"/>
      <w:r w:rsidRPr="007314B0">
        <w:rPr>
          <w:rFonts w:asciiTheme="minorHAnsi" w:hAnsiTheme="minorHAnsi"/>
        </w:rPr>
        <w:t>Arrêter d’utiliser la PrEP</w:t>
      </w:r>
      <w:bookmarkEnd w:id="58"/>
    </w:p>
    <w:p w14:paraId="219447E6" w14:textId="77A4118B" w:rsidR="00594D5D" w:rsidRPr="007314B0" w:rsidRDefault="16C944BA" w:rsidP="00DD508F">
      <w:pPr>
        <w:spacing w:after="120" w:line="240" w:lineRule="auto"/>
      </w:pPr>
      <w:r w:rsidRPr="007314B0">
        <w:rPr>
          <w:color w:val="000000" w:themeColor="text1"/>
        </w:rPr>
        <w:t>La durée d’utilisation de la PrEP peut varier, et les personnes sont susceptibles de commencer à utiliser la PrEP et d’arrêter de l’utiliser en fonction de leur évaluation personnelle des expositions potentielles au VIH à différentes périodes de leur vie, y compris en cas de changements dans les relations ou de comportement.</w:t>
      </w:r>
      <w:r w:rsidRPr="007314B0">
        <w:t xml:space="preserve"> Dans l’idéal, le patient informe son prestataire de services s’il souhaite arrêter la PrEP. Cependant, il n’est pas rare que les patients cessent simplement de venir aux rendez-vous avec leur prestataire ou que ce dernier soit informé après l’arrêt de la PrEP. Il est donc important d’informer les patients sur la manière d’arrêter la PrEP en toute sécurité lors des visites d’initiation et de suivi (ou d’arrêter et de la reprendre, le cas échéant).</w:t>
      </w:r>
    </w:p>
    <w:p w14:paraId="70CE0583" w14:textId="25303A60" w:rsidR="000A2F1B" w:rsidRPr="007314B0" w:rsidRDefault="16C944BA" w:rsidP="00DD508F">
      <w:pPr>
        <w:spacing w:after="120" w:line="240" w:lineRule="auto"/>
      </w:pPr>
      <w:r w:rsidRPr="007314B0">
        <w:lastRenderedPageBreak/>
        <w:t>Pendant le counseling, les prestataires doivent discuter avec les patients du moment où il peut être approprié d’arrêter la PrEP. L’utilisation de la PrEP peut être suspendue pour l’une des raisons suivantes :</w:t>
      </w:r>
    </w:p>
    <w:p w14:paraId="2AB66B9A" w14:textId="37F27DF5" w:rsidR="000A2F1B" w:rsidRPr="007314B0" w:rsidRDefault="000A2F1B" w:rsidP="00391C93">
      <w:pPr>
        <w:pStyle w:val="ListParagraph"/>
        <w:numPr>
          <w:ilvl w:val="0"/>
          <w:numId w:val="15"/>
        </w:numPr>
        <w:spacing w:after="120" w:line="240" w:lineRule="auto"/>
        <w:contextualSpacing w:val="0"/>
        <w:rPr>
          <w:rFonts w:cstheme="minorHAnsi"/>
        </w:rPr>
      </w:pPr>
      <w:r w:rsidRPr="007314B0">
        <w:t>À la demande du patient</w:t>
      </w:r>
    </w:p>
    <w:p w14:paraId="334AB3E9" w14:textId="6CD6DFC4" w:rsidR="000A2F1B" w:rsidRPr="007314B0" w:rsidRDefault="000A2F1B" w:rsidP="0294A27B">
      <w:pPr>
        <w:pStyle w:val="ListParagraph"/>
        <w:numPr>
          <w:ilvl w:val="0"/>
          <w:numId w:val="15"/>
        </w:numPr>
        <w:spacing w:after="120" w:line="240" w:lineRule="auto"/>
      </w:pPr>
      <w:r w:rsidRPr="007314B0">
        <w:t>En cas de test VIH positif (les patients qui deviennent séropositifs alors qu’ils suivent un traitement de PrEP doivent être orientés vers des services de soins et commencer un traitement antirétroviral conformément aux directives nationales)</w:t>
      </w:r>
    </w:p>
    <w:p w14:paraId="53E4B7A0" w14:textId="0A535226" w:rsidR="000A2F1B" w:rsidRPr="007314B0" w:rsidRDefault="7E3B93CB" w:rsidP="00C24CE7">
      <w:pPr>
        <w:pStyle w:val="ListParagraph"/>
        <w:numPr>
          <w:ilvl w:val="0"/>
          <w:numId w:val="15"/>
        </w:numPr>
        <w:spacing w:after="120" w:line="240" w:lineRule="auto"/>
      </w:pPr>
      <w:r w:rsidRPr="007314B0">
        <w:t xml:space="preserve">En cas de problèmes d’innocuité, comme une clairance de la créatinine estimée de &lt;60 ml/min ou un </w:t>
      </w:r>
      <w:proofErr w:type="spellStart"/>
      <w:r w:rsidR="00DF3220" w:rsidRPr="007314B0">
        <w:t>e</w:t>
      </w:r>
      <w:r w:rsidRPr="007314B0">
        <w:t>GFR</w:t>
      </w:r>
      <w:proofErr w:type="spellEnd"/>
      <w:r w:rsidRPr="007314B0">
        <w:t xml:space="preserve"> &lt;60 ml/min par 1,73m</w:t>
      </w:r>
      <w:r w:rsidRPr="007314B0">
        <w:rPr>
          <w:vertAlign w:val="superscript"/>
        </w:rPr>
        <w:t>2</w:t>
      </w:r>
      <w:r w:rsidRPr="007314B0">
        <w:t xml:space="preserve"> (s’il est connu) pour les patients qui utilisent la PrEP orale (certaines patientes doivent également recevoir du counseling sur l’utilisation de l’anneau de PrEP, le cas échéant) ou une hépatotoxicité confirmée pour les patients qui utilisent la CAB PrEP</w:t>
      </w:r>
    </w:p>
    <w:p w14:paraId="26C6650E" w14:textId="39833DAB" w:rsidR="00F738B1" w:rsidRPr="007314B0" w:rsidRDefault="000A2F1B" w:rsidP="00B1577A">
      <w:pPr>
        <w:pStyle w:val="ListParagraph"/>
        <w:numPr>
          <w:ilvl w:val="0"/>
          <w:numId w:val="15"/>
        </w:numPr>
        <w:spacing w:before="200" w:after="120" w:line="240" w:lineRule="auto"/>
        <w:contextualSpacing w:val="0"/>
        <w:rPr>
          <w:rFonts w:cstheme="minorHAnsi"/>
        </w:rPr>
      </w:pPr>
      <w:r w:rsidRPr="007314B0">
        <w:t>Plus de risque d’être exposé au VIH</w:t>
      </w:r>
    </w:p>
    <w:p w14:paraId="35534035" w14:textId="7AE195FF" w:rsidR="000A2F1B" w:rsidRPr="007314B0" w:rsidRDefault="000A2F1B" w:rsidP="00391C93">
      <w:pPr>
        <w:pStyle w:val="ListParagraph"/>
        <w:numPr>
          <w:ilvl w:val="0"/>
          <w:numId w:val="15"/>
        </w:numPr>
        <w:spacing w:after="120" w:line="240" w:lineRule="auto"/>
        <w:contextualSpacing w:val="0"/>
        <w:rPr>
          <w:rFonts w:cstheme="minorHAnsi"/>
        </w:rPr>
      </w:pPr>
      <w:r w:rsidRPr="007314B0">
        <w:t>En cas d’effets secondaires persistants qui ne sont pas gérables</w:t>
      </w:r>
    </w:p>
    <w:p w14:paraId="55D30F4A" w14:textId="3B443F6A" w:rsidR="000A2F1B" w:rsidRPr="007314B0" w:rsidRDefault="000A2F1B" w:rsidP="00391C93">
      <w:pPr>
        <w:pStyle w:val="ListParagraph"/>
        <w:numPr>
          <w:ilvl w:val="0"/>
          <w:numId w:val="15"/>
        </w:numPr>
        <w:spacing w:after="120" w:line="240" w:lineRule="auto"/>
        <w:contextualSpacing w:val="0"/>
        <w:rPr>
          <w:rFonts w:cstheme="minorHAnsi"/>
        </w:rPr>
      </w:pPr>
      <w:r w:rsidRPr="007314B0">
        <w:t xml:space="preserve">En cas de décision de passer à une autre méthode de prévention du VIH </w:t>
      </w:r>
    </w:p>
    <w:p w14:paraId="7783301F" w14:textId="44418F03" w:rsidR="00401781" w:rsidRPr="007314B0" w:rsidRDefault="00E829C8" w:rsidP="00391C93">
      <w:pPr>
        <w:pStyle w:val="ListParagraph"/>
        <w:numPr>
          <w:ilvl w:val="0"/>
          <w:numId w:val="15"/>
        </w:numPr>
        <w:spacing w:after="120" w:line="240" w:lineRule="auto"/>
        <w:contextualSpacing w:val="0"/>
        <w:rPr>
          <w:rFonts w:cstheme="minorHAnsi"/>
        </w:rPr>
      </w:pPr>
      <w:r w:rsidRPr="007314B0">
        <w:t>En cas d’utilisation de médicaments contrindiqués</w:t>
      </w:r>
    </w:p>
    <w:p w14:paraId="70FC720F" w14:textId="2E711DD5" w:rsidR="00FE305F" w:rsidRPr="007314B0" w:rsidRDefault="000A2F1B" w:rsidP="00DD508F">
      <w:pPr>
        <w:spacing w:after="120" w:line="240" w:lineRule="auto"/>
      </w:pPr>
      <w:r w:rsidRPr="007314B0">
        <w:t>Les instructions sur la manière d’arrêter la PrEP sont incluses dans les informations relatives à l’utilisation de chaque méthode ci-dessus et dans les messages de counseling.</w:t>
      </w:r>
      <w:bookmarkEnd w:id="57"/>
    </w:p>
    <w:p w14:paraId="291EC6FB" w14:textId="76DB3F18" w:rsidR="00763263" w:rsidRPr="007314B0" w:rsidRDefault="00E2001F" w:rsidP="00DD508F">
      <w:pPr>
        <w:spacing w:after="120" w:line="240" w:lineRule="auto"/>
      </w:pPr>
      <w:r w:rsidRPr="007314B0">
        <w:rPr>
          <w:color w:val="000000" w:themeColor="text1"/>
        </w:rPr>
        <w:t xml:space="preserve">Pour les patients qui souffrent d’hépatite B chronique et qui arrêtent la PrEP orale à base de TDF, il est important d’avoir un suivi régulier pour détecter une rechute et prendre l’hépatite B en charge. Les patients qui prennent du TDF pour le traitement de l’hépatite B et qui souhaitent arrêter la PrEP orale peuvent passer à un traitement à base de TDF uniquement. </w:t>
      </w:r>
    </w:p>
    <w:p w14:paraId="4F35FD8D" w14:textId="6AB2B6C3" w:rsidR="00AE1F62" w:rsidRPr="007314B0" w:rsidRDefault="0B4F7F81" w:rsidP="56D00486">
      <w:pPr>
        <w:pStyle w:val="Heading1"/>
        <w:spacing w:before="0" w:after="120" w:line="240" w:lineRule="auto"/>
        <w:rPr>
          <w:rFonts w:asciiTheme="minorHAnsi" w:hAnsiTheme="minorHAnsi" w:cstheme="minorBidi"/>
        </w:rPr>
      </w:pPr>
      <w:bookmarkStart w:id="59" w:name="_Toc124428527"/>
      <w:r w:rsidRPr="007314B0">
        <w:rPr>
          <w:rFonts w:asciiTheme="minorHAnsi" w:hAnsiTheme="minorHAnsi"/>
        </w:rPr>
        <w:t>Recommencer à utiliser la PrEP</w:t>
      </w:r>
      <w:bookmarkEnd w:id="59"/>
    </w:p>
    <w:p w14:paraId="531D6EBF" w14:textId="3C6FFB4B" w:rsidR="00FB3A07" w:rsidRPr="007314B0" w:rsidRDefault="00FB3A07" w:rsidP="00FB3A07">
      <w:r w:rsidRPr="007314B0">
        <w:rPr>
          <w:color w:val="000000" w:themeColor="text1"/>
        </w:rPr>
        <w:t>Les personnes qui recommencent à utiliser la PrEP devront subir un nouveau test de dépistage du VIH et ne pas présenter de contrindication à la méthode de PrEP choisie.</w:t>
      </w:r>
    </w:p>
    <w:tbl>
      <w:tblPr>
        <w:tblW w:w="0" w:type="auto"/>
        <w:tblLook w:val="04A0" w:firstRow="1" w:lastRow="0" w:firstColumn="1" w:lastColumn="0" w:noHBand="0" w:noVBand="1"/>
      </w:tblPr>
      <w:tblGrid>
        <w:gridCol w:w="10456"/>
      </w:tblGrid>
      <w:tr w:rsidR="002B0180" w:rsidRPr="007314B0" w14:paraId="786A8008" w14:textId="77777777" w:rsidTr="56D00486">
        <w:tc>
          <w:tcPr>
            <w:tcW w:w="10456" w:type="dxa"/>
            <w:shd w:val="clear" w:color="auto" w:fill="C5E0B3" w:themeFill="accent6" w:themeFillTint="66"/>
          </w:tcPr>
          <w:p w14:paraId="26B492A5" w14:textId="76536066" w:rsidR="002B0180" w:rsidRPr="007314B0" w:rsidRDefault="1E3B5410" w:rsidP="00DD508F">
            <w:pPr>
              <w:spacing w:after="120"/>
            </w:pPr>
            <w:r w:rsidRPr="007314B0">
              <w:rPr>
                <w:b/>
                <w:bCs/>
                <w:color w:val="000000" w:themeColor="text1"/>
              </w:rPr>
              <w:t>Point à prendre en compte :</w:t>
            </w:r>
            <w:r w:rsidRPr="007314B0">
              <w:rPr>
                <w:color w:val="000000" w:themeColor="text1"/>
              </w:rPr>
              <w:t xml:space="preserve"> Dans les directives nationales, certains pays ont choisi de préciser à quel moment il est considéré qu’un patient a arrêté le traitement : soit le nombre de jours après l’arrêt de l’utilisation de la PrEP, soit le nombre de jours après un rendez-vous manqué. En général, des procédures pour la reprise de la PrEP sont appliquées. Si un pays décide d’inclure une définition pour l’arrêt de la PrEP, des procédures de reprise qui ajoutent aux composantes essentielles peuvent devenir des obstacles à l’utilisation de la PrEP en retardant ou en empêchant une personne de recommencer la PrEP et peuvent augmenter les coûts du programme.</w:t>
            </w:r>
          </w:p>
        </w:tc>
      </w:tr>
    </w:tbl>
    <w:p w14:paraId="525C4E81" w14:textId="0C2B21EB" w:rsidR="00BB5BA3" w:rsidRPr="007314B0" w:rsidRDefault="00BB5BA3" w:rsidP="0030088C">
      <w:pPr>
        <w:pStyle w:val="Heading1"/>
        <w:spacing w:after="120" w:line="240" w:lineRule="auto"/>
        <w:rPr>
          <w:rFonts w:asciiTheme="minorHAnsi" w:hAnsiTheme="minorHAnsi" w:cstheme="minorHAnsi"/>
        </w:rPr>
      </w:pPr>
      <w:bookmarkStart w:id="60" w:name="_Toc124428528"/>
      <w:r w:rsidRPr="007314B0">
        <w:rPr>
          <w:rFonts w:asciiTheme="minorHAnsi" w:hAnsiTheme="minorHAnsi"/>
        </w:rPr>
        <w:t>Prise en charge des patients dans des situations spécifiques</w:t>
      </w:r>
      <w:bookmarkEnd w:id="60"/>
      <w:r w:rsidRPr="007314B0">
        <w:rPr>
          <w:rFonts w:asciiTheme="minorHAnsi" w:hAnsiTheme="minorHAnsi"/>
        </w:rPr>
        <w:t xml:space="preserve"> </w:t>
      </w:r>
    </w:p>
    <w:p w14:paraId="3A3C8AD9" w14:textId="0440E3EC" w:rsidR="00BB5BA3" w:rsidRPr="007314B0" w:rsidRDefault="00BB5BA3" w:rsidP="00DD508F">
      <w:pPr>
        <w:pBdr>
          <w:top w:val="nil"/>
          <w:left w:val="nil"/>
          <w:bottom w:val="nil"/>
          <w:right w:val="nil"/>
          <w:between w:val="nil"/>
        </w:pBdr>
        <w:spacing w:after="120" w:line="240" w:lineRule="auto"/>
        <w:rPr>
          <w:color w:val="000000"/>
        </w:rPr>
      </w:pPr>
      <w:r w:rsidRPr="007314B0">
        <w:rPr>
          <w:color w:val="000000" w:themeColor="text1"/>
        </w:rPr>
        <w:t xml:space="preserve">Cette section décrit la prise en charge des patients dans des situations spécifiques. </w:t>
      </w:r>
    </w:p>
    <w:p w14:paraId="3FA77475" w14:textId="16377E7A" w:rsidR="00BB5BA3" w:rsidRPr="007314B0" w:rsidRDefault="00BB5BA3" w:rsidP="00DD508F">
      <w:pPr>
        <w:pStyle w:val="Heading2"/>
        <w:spacing w:before="0" w:after="120" w:line="240" w:lineRule="auto"/>
        <w:rPr>
          <w:rFonts w:asciiTheme="minorHAnsi" w:hAnsiTheme="minorHAnsi" w:cstheme="minorBidi"/>
        </w:rPr>
      </w:pPr>
      <w:bookmarkStart w:id="61" w:name="_Toc124428529"/>
      <w:r w:rsidRPr="007314B0">
        <w:rPr>
          <w:rFonts w:asciiTheme="minorHAnsi" w:hAnsiTheme="minorHAnsi"/>
        </w:rPr>
        <w:t>Prise en charge d’une élévation du taux de créatinine chez les patients qui utilisent la PrEP orale</w:t>
      </w:r>
      <w:bookmarkEnd w:id="61"/>
      <w:r w:rsidRPr="007314B0">
        <w:rPr>
          <w:rFonts w:asciiTheme="minorHAnsi" w:hAnsiTheme="minorHAnsi"/>
        </w:rPr>
        <w:t xml:space="preserve"> </w:t>
      </w:r>
    </w:p>
    <w:p w14:paraId="1FD623BF" w14:textId="340543C3" w:rsidR="00BB5BA3" w:rsidRPr="007314B0" w:rsidRDefault="00BB5BA3" w:rsidP="00DD508F">
      <w:pPr>
        <w:pBdr>
          <w:top w:val="nil"/>
          <w:left w:val="nil"/>
          <w:bottom w:val="nil"/>
          <w:right w:val="nil"/>
          <w:between w:val="nil"/>
        </w:pBdr>
        <w:spacing w:after="120" w:line="240" w:lineRule="auto"/>
        <w:rPr>
          <w:color w:val="000000"/>
        </w:rPr>
      </w:pPr>
      <w:r w:rsidRPr="007314B0">
        <w:rPr>
          <w:color w:val="000000" w:themeColor="text1"/>
        </w:rPr>
        <w:t xml:space="preserve">Très peu de patients présentent une élévation de la créatinine. Très souvent, une créatinine élevée s’autorégule et peut être traitée sans arrêter la PrEP orale. Elle est causée par une déshydratation, de l’exercice, un régime alimentaire, un diabète sucré, une hypertension, une insuffisance hépatique ou le virus de l’hépatite C. Certaines élévations peuvent être un faux positif. Il faut écarter les autres causes d’élévation de la créatinine et les traiter. </w:t>
      </w:r>
    </w:p>
    <w:p w14:paraId="767414CB" w14:textId="139BFE78" w:rsidR="00BB5BA3" w:rsidRPr="007314B0" w:rsidRDefault="00EA74A1" w:rsidP="00DD508F">
      <w:pPr>
        <w:pBdr>
          <w:top w:val="nil"/>
          <w:left w:val="nil"/>
          <w:bottom w:val="nil"/>
          <w:right w:val="nil"/>
          <w:between w:val="nil"/>
        </w:pBdr>
        <w:spacing w:after="120" w:line="240" w:lineRule="auto"/>
        <w:rPr>
          <w:color w:val="000000"/>
        </w:rPr>
      </w:pPr>
      <w:r w:rsidRPr="007314B0">
        <w:t>Si la clairance estimée de la créatinine est &lt;60 ml/min ou si l’</w:t>
      </w:r>
      <w:proofErr w:type="spellStart"/>
      <w:r w:rsidRPr="007314B0">
        <w:t>eGFR</w:t>
      </w:r>
      <w:proofErr w:type="spellEnd"/>
      <w:r w:rsidRPr="007314B0">
        <w:t xml:space="preserve"> est &lt;60 ml/min par 1,73 m</w:t>
      </w:r>
      <w:r w:rsidRPr="007314B0">
        <w:rPr>
          <w:vertAlign w:val="superscript"/>
        </w:rPr>
        <w:t>2</w:t>
      </w:r>
      <w:r w:rsidRPr="007314B0">
        <w:t xml:space="preserve">, le </w:t>
      </w:r>
      <w:r w:rsidRPr="007314B0">
        <w:rPr>
          <w:rStyle w:val="fontstyle01"/>
        </w:rPr>
        <w:t>test de la fonction rénale doit être répété un autre jour</w:t>
      </w:r>
      <w:r w:rsidRPr="007314B0">
        <w:t xml:space="preserve"> avant d’arrêter la PrEP orale.</w:t>
      </w:r>
      <w:r w:rsidRPr="007314B0">
        <w:rPr>
          <w:color w:val="000000" w:themeColor="text1"/>
        </w:rPr>
        <w:t xml:space="preserve"> </w:t>
      </w:r>
      <w:r w:rsidRPr="007314B0">
        <w:t>La PrEP orale doit être arrêtée si les résultats du nouveau test indiquent aussi que la clairance de la créatinine estimée est &lt;60 ml/min ou que l’</w:t>
      </w:r>
      <w:proofErr w:type="spellStart"/>
      <w:r w:rsidRPr="007314B0">
        <w:t>eGFR</w:t>
      </w:r>
      <w:proofErr w:type="spellEnd"/>
      <w:r w:rsidRPr="007314B0">
        <w:t xml:space="preserve"> est &lt;60 ml/min par 1,73 m</w:t>
      </w:r>
      <w:r w:rsidRPr="007314B0">
        <w:rPr>
          <w:vertAlign w:val="superscript"/>
        </w:rPr>
        <w:t>2</w:t>
      </w:r>
      <w:r w:rsidRPr="007314B0">
        <w:t>.</w:t>
      </w:r>
      <w:r w:rsidRPr="007314B0">
        <w:rPr>
          <w:color w:val="000000" w:themeColor="text1"/>
        </w:rPr>
        <w:t xml:space="preserve"> Ces patients doivent recevoir un counseling sur d’autres stratégies de prévention du VIH, y compris d’autres méthodes de PrEP. </w:t>
      </w:r>
      <w:r w:rsidRPr="007314B0">
        <w:rPr>
          <w:rStyle w:val="fontstyle01"/>
        </w:rPr>
        <w:t>La fonction rénale revient généralement à des niveaux normaux après avoir arrêté la PrEP orale. Il est possible de reprendre la PrEP orale si</w:t>
      </w:r>
      <w:r w:rsidRPr="007314B0">
        <w:t xml:space="preserve"> une clairance de la créatinine estimée à ≥60 ml/min ou un </w:t>
      </w:r>
      <w:proofErr w:type="spellStart"/>
      <w:r w:rsidRPr="007314B0">
        <w:t>eGFR</w:t>
      </w:r>
      <w:proofErr w:type="spellEnd"/>
      <w:r w:rsidRPr="007314B0">
        <w:t xml:space="preserve"> de ≥60 ml/min par 1,73 m</w:t>
      </w:r>
      <w:r w:rsidRPr="007314B0">
        <w:rPr>
          <w:vertAlign w:val="superscript"/>
        </w:rPr>
        <w:t>2</w:t>
      </w:r>
      <w:r w:rsidRPr="007314B0">
        <w:rPr>
          <w:rStyle w:val="fontstyle01"/>
        </w:rPr>
        <w:t xml:space="preserve"> est confirmé</w:t>
      </w:r>
      <w:r w:rsidR="002036C9" w:rsidRPr="007314B0">
        <w:rPr>
          <w:rStyle w:val="fontstyle01"/>
        </w:rPr>
        <w:t>(</w:t>
      </w:r>
      <w:r w:rsidRPr="007314B0">
        <w:rPr>
          <w:rStyle w:val="fontstyle01"/>
        </w:rPr>
        <w:t>e</w:t>
      </w:r>
      <w:r w:rsidR="002036C9" w:rsidRPr="007314B0">
        <w:rPr>
          <w:rStyle w:val="fontstyle01"/>
        </w:rPr>
        <w:t>)</w:t>
      </w:r>
      <w:r w:rsidRPr="007314B0">
        <w:rPr>
          <w:rStyle w:val="fontstyle01"/>
        </w:rPr>
        <w:t xml:space="preserve"> un à trois mois après l’arrêt de la PrEP orale. Si la fonction rénale ne revient pas à des niveaux normaux après avoir arrêté la PrEP, il faudra alors évaluer d’autres causes d’insuffisance rénale.</w:t>
      </w:r>
    </w:p>
    <w:tbl>
      <w:tblPr>
        <w:tblW w:w="0" w:type="auto"/>
        <w:tblLook w:val="04A0" w:firstRow="1" w:lastRow="0" w:firstColumn="1" w:lastColumn="0" w:noHBand="0" w:noVBand="1"/>
      </w:tblPr>
      <w:tblGrid>
        <w:gridCol w:w="10456"/>
      </w:tblGrid>
      <w:tr w:rsidR="004153D1" w:rsidRPr="007314B0" w14:paraId="71186EB8" w14:textId="77777777" w:rsidTr="000A538F">
        <w:trPr>
          <w:trHeight w:val="2970"/>
        </w:trPr>
        <w:tc>
          <w:tcPr>
            <w:tcW w:w="10456" w:type="dxa"/>
            <w:shd w:val="clear" w:color="auto" w:fill="C5E0B3" w:themeFill="accent6" w:themeFillTint="66"/>
          </w:tcPr>
          <w:p w14:paraId="515C6A2D" w14:textId="29493B96" w:rsidR="004153D1" w:rsidRPr="007314B0" w:rsidRDefault="004153D1" w:rsidP="00DD508F">
            <w:pPr>
              <w:spacing w:after="120"/>
              <w:rPr>
                <w:color w:val="000000"/>
              </w:rPr>
            </w:pPr>
            <w:r w:rsidRPr="007314B0">
              <w:rPr>
                <w:b/>
                <w:color w:val="000000" w:themeColor="text1"/>
              </w:rPr>
              <w:lastRenderedPageBreak/>
              <w:t xml:space="preserve">Point à prendre en compte : </w:t>
            </w:r>
            <w:r w:rsidRPr="007314B0">
              <w:rPr>
                <w:color w:val="000000" w:themeColor="text1"/>
              </w:rPr>
              <w:t xml:space="preserve">Les directives nationales peuvent envisager d’arrêter l’utilisation de la PrEP orale si la clairance de la créatinine d’un patient lors du test initial est &lt;50 ml/min, mais cela n’est pas conforme aux directives de l’OMS et c’est un domaine où les directives nationales varient. Un exemple de texte extrait d’autres directives nationales est présenté ci-dessous : </w:t>
            </w:r>
          </w:p>
          <w:p w14:paraId="61621863" w14:textId="77777777" w:rsidR="004153D1" w:rsidRPr="007314B0" w:rsidRDefault="004153D1" w:rsidP="00DD508F">
            <w:pPr>
              <w:pBdr>
                <w:top w:val="nil"/>
                <w:left w:val="nil"/>
                <w:bottom w:val="nil"/>
                <w:right w:val="nil"/>
                <w:between w:val="nil"/>
              </w:pBdr>
              <w:spacing w:after="120"/>
              <w:rPr>
                <w:rFonts w:cstheme="minorHAnsi"/>
                <w:color w:val="000000"/>
              </w:rPr>
            </w:pPr>
            <w:r w:rsidRPr="007314B0">
              <w:rPr>
                <w:color w:val="000000"/>
              </w:rPr>
              <w:t xml:space="preserve">Si la clairance de la créatinine calculée est : </w:t>
            </w:r>
          </w:p>
          <w:p w14:paraId="15FA30E9" w14:textId="18703297" w:rsidR="004153D1" w:rsidRPr="007314B0" w:rsidRDefault="004153D1" w:rsidP="00391C93">
            <w:pPr>
              <w:numPr>
                <w:ilvl w:val="0"/>
                <w:numId w:val="3"/>
              </w:numPr>
              <w:pBdr>
                <w:top w:val="nil"/>
                <w:left w:val="nil"/>
                <w:bottom w:val="nil"/>
                <w:right w:val="nil"/>
                <w:between w:val="nil"/>
              </w:pBdr>
              <w:spacing w:after="120"/>
              <w:rPr>
                <w:color w:val="000000"/>
              </w:rPr>
            </w:pPr>
            <w:r w:rsidRPr="007314B0">
              <w:rPr>
                <w:color w:val="000000" w:themeColor="text1"/>
              </w:rPr>
              <w:t xml:space="preserve">&lt;50 ml/min : Arrêter la PrEP orale et orienter immédiatement vers </w:t>
            </w:r>
            <w:r w:rsidRPr="007314B0">
              <w:rPr>
                <w:color w:val="FF0000"/>
              </w:rPr>
              <w:t>[catégorie de personnel clinique]</w:t>
            </w:r>
            <w:r w:rsidRPr="007314B0">
              <w:rPr>
                <w:color w:val="000000" w:themeColor="text1"/>
              </w:rPr>
              <w:t>.</w:t>
            </w:r>
          </w:p>
          <w:p w14:paraId="5A9A6B6F" w14:textId="0A734563" w:rsidR="004153D1" w:rsidRPr="007314B0" w:rsidRDefault="004153D1" w:rsidP="00391C93">
            <w:pPr>
              <w:numPr>
                <w:ilvl w:val="0"/>
                <w:numId w:val="3"/>
              </w:numPr>
              <w:pBdr>
                <w:top w:val="nil"/>
                <w:left w:val="nil"/>
                <w:bottom w:val="nil"/>
                <w:right w:val="nil"/>
                <w:between w:val="nil"/>
              </w:pBdr>
              <w:spacing w:after="120"/>
              <w:rPr>
                <w:color w:val="000000"/>
              </w:rPr>
            </w:pPr>
            <w:r w:rsidRPr="007314B0">
              <w:rPr>
                <w:color w:val="000000" w:themeColor="text1"/>
              </w:rPr>
              <w:t xml:space="preserve">50-60 ml/min : Répéter le test de la créatinine sérique dans les deux semaines. </w:t>
            </w:r>
            <w:r w:rsidRPr="007314B0">
              <w:t xml:space="preserve">Si la clairance de la créatinine du nouvel échantillon est &lt;60 ml/min, arrêter la PrEP orale et </w:t>
            </w:r>
            <w:r w:rsidR="006B2417" w:rsidRPr="007314B0">
              <w:t>consulter [</w:t>
            </w:r>
            <w:r w:rsidRPr="007314B0">
              <w:rPr>
                <w:color w:val="FF0000"/>
              </w:rPr>
              <w:t>catégorie de personnel clinique]</w:t>
            </w:r>
            <w:r w:rsidRPr="007314B0">
              <w:t xml:space="preserve"> pour effectuer d’autres examens et une prise en charge.</w:t>
            </w:r>
          </w:p>
        </w:tc>
      </w:tr>
    </w:tbl>
    <w:p w14:paraId="66FC06D3" w14:textId="574AC399" w:rsidR="00BB5BA3" w:rsidRPr="007314B0" w:rsidRDefault="0B0707B2" w:rsidP="1D9AD929">
      <w:pPr>
        <w:pStyle w:val="Heading2"/>
        <w:spacing w:before="240" w:after="120" w:line="240" w:lineRule="auto"/>
        <w:rPr>
          <w:rFonts w:asciiTheme="minorHAnsi" w:hAnsiTheme="minorHAnsi" w:cstheme="minorBidi"/>
        </w:rPr>
      </w:pPr>
      <w:bookmarkStart w:id="62" w:name="_heading=h.4i7ojhp"/>
      <w:bookmarkStart w:id="63" w:name="_Toc124428530"/>
      <w:bookmarkEnd w:id="62"/>
      <w:r w:rsidRPr="007314B0">
        <w:rPr>
          <w:rFonts w:asciiTheme="minorHAnsi" w:hAnsiTheme="minorHAnsi"/>
        </w:rPr>
        <w:t>Prise en charge de la séroconversion au VIH</w:t>
      </w:r>
      <w:bookmarkEnd w:id="63"/>
    </w:p>
    <w:p w14:paraId="6D9EB2B4" w14:textId="7B12E41C" w:rsidR="00BB5BA3" w:rsidRPr="007314B0" w:rsidRDefault="00BB5BA3" w:rsidP="00DD508F">
      <w:pPr>
        <w:pBdr>
          <w:top w:val="nil"/>
          <w:left w:val="nil"/>
          <w:bottom w:val="nil"/>
          <w:right w:val="nil"/>
          <w:between w:val="nil"/>
        </w:pBdr>
        <w:spacing w:after="120" w:line="240" w:lineRule="auto"/>
        <w:rPr>
          <w:color w:val="000000"/>
        </w:rPr>
      </w:pPr>
      <w:r w:rsidRPr="007314B0">
        <w:rPr>
          <w:color w:val="000000" w:themeColor="text1"/>
        </w:rPr>
        <w:t xml:space="preserve">En cas de séroconversion pendant un traitement de PrEP ou après avoir commencé la PrEP (même si le patient n’utilise pas la PrEP ou </w:t>
      </w:r>
      <w:r w:rsidR="00877B6F" w:rsidRPr="007314B0">
        <w:rPr>
          <w:color w:val="000000" w:themeColor="text1"/>
        </w:rPr>
        <w:t xml:space="preserve">s’il </w:t>
      </w:r>
      <w:r w:rsidRPr="007314B0">
        <w:rPr>
          <w:color w:val="000000" w:themeColor="text1"/>
        </w:rPr>
        <w:t>ne la prend pas de façon régulière) :</w:t>
      </w:r>
    </w:p>
    <w:p w14:paraId="3E94C4ED" w14:textId="0339A635" w:rsidR="00696598" w:rsidRPr="007314B0" w:rsidRDefault="00696598" w:rsidP="0294A27B">
      <w:pPr>
        <w:pStyle w:val="ListParagraph"/>
        <w:numPr>
          <w:ilvl w:val="0"/>
          <w:numId w:val="18"/>
        </w:numPr>
        <w:pBdr>
          <w:top w:val="nil"/>
          <w:left w:val="nil"/>
          <w:bottom w:val="nil"/>
          <w:right w:val="nil"/>
          <w:between w:val="nil"/>
        </w:pBdr>
        <w:spacing w:after="120" w:line="240" w:lineRule="auto"/>
        <w:rPr>
          <w:color w:val="000000"/>
        </w:rPr>
      </w:pPr>
      <w:r w:rsidRPr="007314B0">
        <w:rPr>
          <w:color w:val="000000" w:themeColor="text1"/>
        </w:rPr>
        <w:t xml:space="preserve">Arrêter immédiatement l’utilisation de la PrEP. </w:t>
      </w:r>
    </w:p>
    <w:p w14:paraId="25DB9CCA" w14:textId="31520AF6" w:rsidR="00DF4015" w:rsidRPr="007314B0"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7314B0">
        <w:rPr>
          <w:color w:val="000000"/>
        </w:rPr>
        <w:t>Confirmer la séroconversion en suivant l’algorithme national de dépistage.</w:t>
      </w:r>
    </w:p>
    <w:p w14:paraId="324F448F" w14:textId="43D30E14" w:rsidR="00DF4015" w:rsidRPr="007314B0"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7314B0">
        <w:rPr>
          <w:color w:val="000000"/>
        </w:rPr>
        <w:t xml:space="preserve">Mettre immédiatement le patient en relation avec les soins et commencer un traitement antirétroviral (conformément aux directives nationales pour le </w:t>
      </w:r>
      <w:r w:rsidR="0094196F" w:rsidRPr="007314B0">
        <w:rPr>
          <w:color w:val="000000"/>
        </w:rPr>
        <w:t xml:space="preserve">traitement </w:t>
      </w:r>
      <w:r w:rsidRPr="007314B0">
        <w:rPr>
          <w:color w:val="000000"/>
        </w:rPr>
        <w:t>AR</w:t>
      </w:r>
      <w:r w:rsidR="0094196F" w:rsidRPr="007314B0">
        <w:rPr>
          <w:color w:val="000000"/>
        </w:rPr>
        <w:t>V</w:t>
      </w:r>
      <w:r w:rsidRPr="007314B0">
        <w:rPr>
          <w:color w:val="000000"/>
        </w:rPr>
        <w:t>).</w:t>
      </w:r>
    </w:p>
    <w:p w14:paraId="27CCDD0F" w14:textId="2FE2F258" w:rsidR="00BB5BA3" w:rsidRPr="007314B0" w:rsidRDefault="00BB5BA3" w:rsidP="0294A27B">
      <w:pPr>
        <w:pStyle w:val="ListParagraph"/>
        <w:numPr>
          <w:ilvl w:val="0"/>
          <w:numId w:val="18"/>
        </w:numPr>
        <w:pBdr>
          <w:top w:val="nil"/>
          <w:left w:val="nil"/>
          <w:bottom w:val="nil"/>
          <w:right w:val="nil"/>
          <w:between w:val="nil"/>
        </w:pBdr>
        <w:spacing w:after="120" w:line="240" w:lineRule="auto"/>
        <w:rPr>
          <w:color w:val="000000"/>
        </w:rPr>
      </w:pPr>
      <w:r w:rsidRPr="007314B0">
        <w:t xml:space="preserve">Documenter la séroconversion et la raison possible (mauvaise utilisation de la PrEP, arrêt ou échec de la PrEP, c’est-à-dire </w:t>
      </w:r>
      <w:r w:rsidR="008B43A1" w:rsidRPr="007314B0">
        <w:t>infection</w:t>
      </w:r>
      <w:r w:rsidRPr="007314B0">
        <w:t xml:space="preserve"> </w:t>
      </w:r>
      <w:r w:rsidR="008B43A1" w:rsidRPr="007314B0">
        <w:t xml:space="preserve">au </w:t>
      </w:r>
      <w:r w:rsidRPr="007314B0">
        <w:t xml:space="preserve">VIH alors que le patient </w:t>
      </w:r>
      <w:r w:rsidR="008B43A1" w:rsidRPr="007314B0">
        <w:t>est observant</w:t>
      </w:r>
      <w:r w:rsidRPr="007314B0">
        <w:t xml:space="preserve"> </w:t>
      </w:r>
      <w:r w:rsidR="008B43A1" w:rsidRPr="007314B0">
        <w:t>sous</w:t>
      </w:r>
      <w:r w:rsidRPr="007314B0">
        <w:t xml:space="preserve"> PrEP) et, si </w:t>
      </w:r>
      <w:r w:rsidR="008B43A1" w:rsidRPr="007314B0">
        <w:t>disponible,</w:t>
      </w:r>
      <w:r w:rsidR="00980839" w:rsidRPr="007314B0">
        <w:t xml:space="preserve"> </w:t>
      </w:r>
      <w:r w:rsidRPr="007314B0">
        <w:t>indiqué, faire l</w:t>
      </w:r>
      <w:r w:rsidR="008B43A1" w:rsidRPr="007314B0">
        <w:t>a</w:t>
      </w:r>
      <w:r w:rsidRPr="007314B0">
        <w:t xml:space="preserve"> li</w:t>
      </w:r>
      <w:r w:rsidR="008B43A1" w:rsidRPr="007314B0">
        <w:t>aison</w:t>
      </w:r>
      <w:r w:rsidRPr="007314B0">
        <w:t xml:space="preserve"> </w:t>
      </w:r>
      <w:r w:rsidR="009B28CB" w:rsidRPr="007314B0">
        <w:t>pour le</w:t>
      </w:r>
      <w:r w:rsidRPr="007314B0">
        <w:t xml:space="preserve"> test de résistance du VIH aux médicaments.</w:t>
      </w:r>
    </w:p>
    <w:p w14:paraId="7949588B" w14:textId="39675441" w:rsidR="00BB5BA3" w:rsidRPr="007314B0" w:rsidRDefault="7B941D68" w:rsidP="56D00486">
      <w:pPr>
        <w:pStyle w:val="Heading2"/>
        <w:spacing w:before="0" w:after="120" w:line="240" w:lineRule="auto"/>
        <w:rPr>
          <w:rFonts w:asciiTheme="minorHAnsi" w:hAnsiTheme="minorHAnsi" w:cstheme="minorBidi"/>
        </w:rPr>
      </w:pPr>
      <w:bookmarkStart w:id="64" w:name="_Toc124428531"/>
      <w:r w:rsidRPr="007314B0">
        <w:rPr>
          <w:rFonts w:asciiTheme="minorHAnsi" w:hAnsiTheme="minorHAnsi"/>
        </w:rPr>
        <w:t>Gestion des effets secondaires et des effets indésirables</w:t>
      </w:r>
      <w:bookmarkEnd w:id="64"/>
      <w:r w:rsidRPr="007314B0">
        <w:rPr>
          <w:rFonts w:asciiTheme="minorHAnsi" w:hAnsiTheme="minorHAnsi"/>
        </w:rPr>
        <w:t xml:space="preserve"> </w:t>
      </w:r>
    </w:p>
    <w:p w14:paraId="015D48CE" w14:textId="351B8720" w:rsidR="0007236B" w:rsidRPr="007314B0" w:rsidRDefault="7B941D68" w:rsidP="56D00486">
      <w:pPr>
        <w:pBdr>
          <w:top w:val="nil"/>
          <w:left w:val="nil"/>
          <w:bottom w:val="nil"/>
          <w:right w:val="nil"/>
          <w:between w:val="nil"/>
        </w:pBdr>
        <w:spacing w:after="120" w:line="240" w:lineRule="auto"/>
        <w:rPr>
          <w:color w:val="000000" w:themeColor="text1"/>
        </w:rPr>
      </w:pPr>
      <w:r w:rsidRPr="007314B0">
        <w:rPr>
          <w:color w:val="000000" w:themeColor="text1"/>
        </w:rPr>
        <w:t xml:space="preserve">Les symptômes des effets secondaires doivent être pris en charge et la plupart d’entre eux disparaîtront au cours du premier mois d’utilisation. Il est recommandé de proposer un counseling pour aider à gérer les effets secondaires. </w:t>
      </w:r>
      <w:r w:rsidRPr="007314B0">
        <w:t>Tout effet secondaire doit être consigné dans le dossier du patient et dans</w:t>
      </w:r>
      <w:r w:rsidRPr="007314B0">
        <w:rPr>
          <w:color w:val="000000" w:themeColor="text1"/>
        </w:rPr>
        <w:t xml:space="preserve"> </w:t>
      </w:r>
      <w:r w:rsidRPr="007314B0">
        <w:rPr>
          <w:color w:val="FF0000"/>
        </w:rPr>
        <w:t>[formulaires pertinents]</w:t>
      </w:r>
      <w:r w:rsidRPr="007314B0">
        <w:t>, quelle que soit sa gravité.</w:t>
      </w:r>
      <w:r w:rsidRPr="007314B0">
        <w:rPr>
          <w:color w:val="000000" w:themeColor="text1"/>
        </w:rPr>
        <w:t xml:space="preserve"> </w:t>
      </w:r>
      <w:r w:rsidRPr="007314B0">
        <w:t xml:space="preserve">À ce jour, les toxicités majeures (y compris la toxicité rénale et les complications métaboliques) associées au </w:t>
      </w:r>
      <w:bookmarkStart w:id="65" w:name="_Int_2fVdc7G2"/>
      <w:r w:rsidRPr="007314B0">
        <w:t>TDF</w:t>
      </w:r>
      <w:bookmarkEnd w:id="65"/>
      <w:r w:rsidRPr="007314B0">
        <w:t xml:space="preserve"> et au FTC sont rares dans l’exposition à la PrEP orale.</w:t>
      </w:r>
      <w:r w:rsidRPr="007314B0">
        <w:rPr>
          <w:color w:val="000000" w:themeColor="text1"/>
        </w:rPr>
        <w:t xml:space="preserve"> Aucune toxicité majeure ou réaction indésirable grave n’a été enregistrée dans le cadre de l’utilisation de l’anneau. À ce jour, les réactions indésirables graves, liées ou non au site d’injection, sont rares dans l’exposition à la CAB PrEP. </w:t>
      </w:r>
      <w:r w:rsidRPr="007314B0">
        <w:t xml:space="preserve">Prière de consulter </w:t>
      </w:r>
      <w:r w:rsidRPr="007314B0">
        <w:rPr>
          <w:color w:val="FF0000"/>
        </w:rPr>
        <w:t>[catégorie de personnel clinique]</w:t>
      </w:r>
      <w:r w:rsidRPr="007314B0">
        <w:t xml:space="preserve"> si des réactions indésirables graves devaient se produire.</w:t>
      </w:r>
      <w:r w:rsidRPr="007314B0">
        <w:rPr>
          <w:color w:val="000000" w:themeColor="text1"/>
        </w:rPr>
        <w:t xml:space="preserve"> </w:t>
      </w:r>
      <w:r w:rsidRPr="007314B0">
        <w:t xml:space="preserve">Remplir le </w:t>
      </w:r>
      <w:r w:rsidRPr="007314B0">
        <w:rPr>
          <w:color w:val="FF0000"/>
        </w:rPr>
        <w:t>[formulaire national des effets indésirables]</w:t>
      </w:r>
      <w:r w:rsidRPr="007314B0">
        <w:t xml:space="preserve"> et les signaler conformément aux procédures opérationnelles standard.</w:t>
      </w:r>
      <w:r w:rsidRPr="007314B0">
        <w:rPr>
          <w:color w:val="000000" w:themeColor="text1"/>
        </w:rPr>
        <w:t xml:space="preserve"> </w:t>
      </w:r>
    </w:p>
    <w:p w14:paraId="6A4AF973" w14:textId="74CA8A27" w:rsidR="009664BF" w:rsidRPr="007314B0" w:rsidRDefault="00493548" w:rsidP="56D00486">
      <w:pPr>
        <w:pBdr>
          <w:top w:val="nil"/>
          <w:left w:val="nil"/>
          <w:bottom w:val="nil"/>
          <w:right w:val="nil"/>
          <w:between w:val="nil"/>
        </w:pBdr>
        <w:spacing w:after="120" w:line="240" w:lineRule="auto"/>
        <w:rPr>
          <w:b/>
          <w:bCs/>
          <w:color w:val="000000"/>
          <w:u w:val="single"/>
        </w:rPr>
      </w:pPr>
      <w:r w:rsidRPr="007314B0">
        <w:rPr>
          <w:color w:val="000000" w:themeColor="text1"/>
        </w:rPr>
        <w:t>Dans certains cas, les effets secondaires peuvent amener le patient à interrompre la PrEP. Si son utilisation est interrompue, enregistrer le résultat dans le registre de PrEP. Les effets secondaires et les effets indésirables potentiels de chaque méthode sont présentés dans les présentations pour chacune d’elles ci-</w:t>
      </w:r>
      <w:r w:rsidR="00877B6F" w:rsidRPr="007314B0">
        <w:rPr>
          <w:color w:val="000000" w:themeColor="text1"/>
        </w:rPr>
        <w:t>dessus</w:t>
      </w:r>
      <w:r w:rsidRPr="007314B0">
        <w:rPr>
          <w:color w:val="000000" w:themeColor="text1"/>
        </w:rPr>
        <w:t>.</w:t>
      </w:r>
    </w:p>
    <w:p w14:paraId="405466F3" w14:textId="5CED70B4" w:rsidR="00AF2682" w:rsidRPr="007314B0" w:rsidRDefault="00AF2682" w:rsidP="00DD508F">
      <w:pPr>
        <w:pStyle w:val="Heading2"/>
        <w:spacing w:before="0" w:after="120" w:line="240" w:lineRule="auto"/>
        <w:rPr>
          <w:rFonts w:asciiTheme="minorHAnsi" w:hAnsiTheme="minorHAnsi" w:cstheme="minorBidi"/>
        </w:rPr>
      </w:pPr>
      <w:bookmarkStart w:id="66" w:name="_Toc80690935"/>
      <w:bookmarkStart w:id="67" w:name="_Toc124428532"/>
      <w:r w:rsidRPr="007314B0">
        <w:rPr>
          <w:rFonts w:asciiTheme="minorHAnsi" w:hAnsiTheme="minorHAnsi"/>
        </w:rPr>
        <w:t>Grossesse et allaitement</w:t>
      </w:r>
      <w:bookmarkEnd w:id="66"/>
      <w:bookmarkEnd w:id="67"/>
    </w:p>
    <w:p w14:paraId="00FE60F5" w14:textId="38218C20" w:rsidR="00AF2682" w:rsidRPr="007314B0" w:rsidRDefault="00CE0A2F" w:rsidP="00DD508F">
      <w:pPr>
        <w:spacing w:after="120" w:line="240" w:lineRule="auto"/>
      </w:pPr>
      <w:r w:rsidRPr="007314B0">
        <w:t xml:space="preserve">Compte tenu de la plus grande probabilité de contracter le VIH pendant la grossesse et la période postnatale, ainsi que des données rassurantes obtenues concernant son innocuité, l’utilisation de la PrEP est une option raisonnable pour les femmes enceintes ou qui allaitent. Il n’existe aucune raison liée à l’innocuité </w:t>
      </w:r>
      <w:r w:rsidR="00877B6F" w:rsidRPr="007314B0">
        <w:t>qui interdirait</w:t>
      </w:r>
      <w:r w:rsidRPr="007314B0">
        <w:t xml:space="preserve"> ou </w:t>
      </w:r>
      <w:r w:rsidR="00877B6F" w:rsidRPr="007314B0">
        <w:t xml:space="preserve">amènerait à </w:t>
      </w:r>
      <w:r w:rsidRPr="007314B0">
        <w:t>interrompre l’utilisation de la PrEP orale pendant la grossesse et l’allaitement.</w:t>
      </w:r>
    </w:p>
    <w:p w14:paraId="04FB12C9" w14:textId="1CA87205" w:rsidR="00AF2682" w:rsidRPr="007314B0" w:rsidRDefault="00CC32C0" w:rsidP="00DD508F">
      <w:pPr>
        <w:spacing w:after="120" w:line="240" w:lineRule="auto"/>
      </w:pPr>
      <w:r w:rsidRPr="007314B0">
        <w:t xml:space="preserve">Les données sont limitées (moins de 300 issues de grossesse) sur l’utilisation de l’anneau par des femmes enceintes, mais les premiers résultats d’un essai de sécurité en cours sur l’utilisation de l’anneau pendant la grossesse indiquent que les issues de grossesse défavorables et les complications étaient peu fréquentes chez les utilisatrices de l’anneau et, d’une manière générale, similaires aux taux observés dans la communauté d’étude environnante. Les études sur les animaux n’indiquent pas d’effets nocifs directs ou indirects en matière de toxicité pour la reproduction qui soient pertinents pour l’utilisation de l’anneau. Les prestataires et les patientes doivent prendre en compte les préférences de la patiente et sa capacité à utiliser efficacement les méthodes de prévention du VIH lorsqu’ils envisagent d’utiliser l’anneau ou une autre méthode de prévention du VIH, telle que la PrEP orale, pendant la </w:t>
      </w:r>
      <w:proofErr w:type="spellStart"/>
      <w:proofErr w:type="gramStart"/>
      <w:r w:rsidRPr="007314B0">
        <w:t>grossesse.</w:t>
      </w:r>
      <w:r w:rsidR="00B27DB4" w:rsidRPr="007314B0">
        <w:t>De</w:t>
      </w:r>
      <w:proofErr w:type="spellEnd"/>
      <w:proofErr w:type="gramEnd"/>
      <w:r w:rsidR="00B27DB4" w:rsidRPr="007314B0">
        <w:t xml:space="preserve"> plus, l’utilisation de l’anneau PrEP n’est pas recommandée pendant 6 semaines après l’accouchement.</w:t>
      </w:r>
    </w:p>
    <w:p w14:paraId="07DDCA78" w14:textId="7967DAC9" w:rsidR="00AF2682" w:rsidRPr="007314B0" w:rsidRDefault="00AF2682" w:rsidP="00DD508F">
      <w:pPr>
        <w:spacing w:after="120" w:line="240" w:lineRule="auto"/>
      </w:pPr>
      <w:r w:rsidRPr="007314B0">
        <w:lastRenderedPageBreak/>
        <w:t xml:space="preserve">Dans une étude clinique menée chez 16 mères séronégatives pour le VIH-1, mais qui n’allaitaient pas, il a été démontré que la dapivirine est excrétée à de très faibles niveaux dans le lait maternel. Puisque les concentrations dans le lait sont restées faibles (&lt;1420 </w:t>
      </w:r>
      <w:proofErr w:type="spellStart"/>
      <w:r w:rsidRPr="007314B0">
        <w:t>pg</w:t>
      </w:r>
      <w:proofErr w:type="spellEnd"/>
      <w:r w:rsidRPr="007314B0">
        <w:t xml:space="preserve">/ml), l’exposition des nourrissons à la dapivirine devrait être faible (inférieure à 1µg/jour). Les résultats d’un essai récent sur l’utilisation de l’anneau pendant l’allaitement ont montré un faible transfert du médicament dans le lait maternel et des analyses supplémentaires sont en cours. Pour l’instant, on ne connait pas l’impact potentiel de l’utilisation de l’anneau pendant l’allaitement. Lorsqu’ils doivent prendre des décisions concernant les méthodes de prévention du VIH, les prestataires et les patientes doivent tenir compte des avantages connus de l’allaitement pour les mères et les nourrissons et des risques associés aux substituts du lait maternel. Un processus de décision partagé devrait être suivi pour la sélection des options de prévention du VIH. </w:t>
      </w:r>
    </w:p>
    <w:p w14:paraId="62AD0B86" w14:textId="296B4FD9" w:rsidR="00AF2682" w:rsidRPr="007314B0" w:rsidRDefault="00553E08" w:rsidP="00DD508F">
      <w:pPr>
        <w:spacing w:after="120" w:line="240" w:lineRule="auto"/>
        <w:rPr>
          <w:rFonts w:cstheme="minorHAnsi"/>
          <w:bCs/>
        </w:rPr>
      </w:pPr>
      <w:r w:rsidRPr="007314B0">
        <w:t>Un essai clinique visant à évaluer plus en détail la sécurité de l’utilisation de l’anneau pendant la grossesse est en cours.</w:t>
      </w:r>
    </w:p>
    <w:p w14:paraId="5747A975" w14:textId="3DE2B87D" w:rsidR="00827205" w:rsidRPr="007314B0" w:rsidRDefault="00083691" w:rsidP="00DD508F">
      <w:pPr>
        <w:spacing w:after="120" w:line="240" w:lineRule="auto"/>
        <w:rPr>
          <w:rFonts w:cstheme="minorHAnsi"/>
          <w:bCs/>
        </w:rPr>
      </w:pPr>
      <w:r w:rsidRPr="007314B0">
        <w:t xml:space="preserve">Pendant la grossesse, l’anneau doit être retiré si la patiente accouche, quelle que soit la période de gestation, a des saignements vaginaux, un avortement spontané ou thérapeutique, une rupture des membranes amniotiques (perte des eaux) suspectée ou confirmée, un cerclage du col de l’utérus ou une infection intra-utérine suspectée ou confirmée. </w:t>
      </w:r>
    </w:p>
    <w:p w14:paraId="2774FF98" w14:textId="28B8A790" w:rsidR="00CE0C18" w:rsidRPr="007314B0" w:rsidRDefault="03A87CBF" w:rsidP="00DD508F">
      <w:pPr>
        <w:spacing w:after="120" w:line="240" w:lineRule="auto"/>
      </w:pPr>
      <w:r w:rsidRPr="007314B0">
        <w:t xml:space="preserve">Les données sont limitées sur l’utilisation de la CAB PrEP pendant la grossesse et l’allaitement. Le </w:t>
      </w:r>
      <w:proofErr w:type="spellStart"/>
      <w:r w:rsidRPr="007314B0">
        <w:t>dolutégravir</w:t>
      </w:r>
      <w:proofErr w:type="spellEnd"/>
      <w:r w:rsidRPr="007314B0">
        <w:t xml:space="preserve">, un médicament de la même classe que le </w:t>
      </w:r>
      <w:proofErr w:type="spellStart"/>
      <w:r w:rsidRPr="007314B0">
        <w:t>cabotégravir</w:t>
      </w:r>
      <w:proofErr w:type="spellEnd"/>
      <w:r w:rsidRPr="007314B0">
        <w:t xml:space="preserve">, s’est avéré sûr pendant la grossesse, et les données très limitées disponibles sur un petit nombre de femmes qui sont tombées enceintes lors des essais cliniques suggèrent que la CAB PrEP peut être sûre pendant la grossesse et l’allaitement. Il n’existe aucune donnée permettant de savoir si le </w:t>
      </w:r>
      <w:proofErr w:type="spellStart"/>
      <w:r w:rsidRPr="007314B0">
        <w:t>cabotégravir</w:t>
      </w:r>
      <w:proofErr w:type="spellEnd"/>
      <w:r w:rsidRPr="007314B0">
        <w:t xml:space="preserve"> est présent dans le lait maternel, s’il a un impact sur la production de lait maternel ou s’il affecte les nourrissons allaités par les patientes qui utilisent la CAB PrEP. </w:t>
      </w:r>
    </w:p>
    <w:p w14:paraId="48AF5730" w14:textId="3AF17FDA" w:rsidR="00DE301F" w:rsidRPr="007314B0" w:rsidRDefault="00CE0C18" w:rsidP="00DD508F">
      <w:pPr>
        <w:spacing w:after="120" w:line="240" w:lineRule="auto"/>
      </w:pPr>
      <w:r w:rsidRPr="007314B0">
        <w:t xml:space="preserve">Étant donné le risque d’effets indésirables et de concentrations résiduelles de </w:t>
      </w:r>
      <w:proofErr w:type="spellStart"/>
      <w:r w:rsidRPr="007314B0">
        <w:t>cabotégravir</w:t>
      </w:r>
      <w:proofErr w:type="spellEnd"/>
      <w:r w:rsidRPr="007314B0">
        <w:t xml:space="preserve"> dans la circulation systémique pendant 12 mois ou plus après l’arrêt des injections de CAB PrEP, les patientes qui sont enceintes ou qui peuvent le devenir ou qui allaitent, surtout pendant la « période de queue », doivent recevoir un counseling sur les risques et les avantages de l’utilisation de la CAB PrEP. Des recherches sont en cours. </w:t>
      </w:r>
    </w:p>
    <w:p w14:paraId="41CFDD29" w14:textId="03C026FF" w:rsidR="00353137" w:rsidRPr="007314B0" w:rsidRDefault="00353137" w:rsidP="00DD508F">
      <w:pPr>
        <w:pStyle w:val="Heading1"/>
        <w:spacing w:before="0" w:after="120" w:line="240" w:lineRule="auto"/>
        <w:rPr>
          <w:rFonts w:asciiTheme="minorHAnsi" w:hAnsiTheme="minorHAnsi" w:cstheme="minorBidi"/>
        </w:rPr>
      </w:pPr>
      <w:bookmarkStart w:id="68" w:name="_Toc124428533"/>
      <w:r w:rsidRPr="007314B0">
        <w:rPr>
          <w:rFonts w:asciiTheme="minorHAnsi" w:hAnsiTheme="minorHAnsi"/>
        </w:rPr>
        <w:t>Qui peut fournir la PrEP et où ?</w:t>
      </w:r>
      <w:bookmarkEnd w:id="68"/>
    </w:p>
    <w:p w14:paraId="5E6451B3" w14:textId="4B989DA7" w:rsidR="00353137" w:rsidRPr="007314B0" w:rsidRDefault="4404BEDE" w:rsidP="00DD508F">
      <w:pPr>
        <w:spacing w:after="120" w:line="240" w:lineRule="auto"/>
        <w:rPr>
          <w:color w:val="000000"/>
        </w:rPr>
      </w:pPr>
      <w:r w:rsidRPr="007314B0">
        <w:rPr>
          <w:color w:val="000000" w:themeColor="text1"/>
        </w:rPr>
        <w:t>La mise en œuvre de la PrEP peut être intégrée dans n’importe quel cadre avec des personnes correctement formées qui ont été autorisées à proposer les composantes de l’initiation à la PrEP et/ou des visites de suivi, conformément aux directives nationales. Il est important que les établissements où la PrEP est fournie disposent également de systèmes et d’outils permettant de réaliser toutes les étapes nécessaires à l’initiation et au suivi de la PrEP ainsi qu’au contrôle, à la documentation et à la déclaration de l’utilisation de la PrEP.</w:t>
      </w:r>
    </w:p>
    <w:tbl>
      <w:tblPr>
        <w:tblW w:w="0" w:type="auto"/>
        <w:tblLook w:val="04A0" w:firstRow="1" w:lastRow="0" w:firstColumn="1" w:lastColumn="0" w:noHBand="0" w:noVBand="1"/>
      </w:tblPr>
      <w:tblGrid>
        <w:gridCol w:w="10456"/>
      </w:tblGrid>
      <w:tr w:rsidR="005F7CDC" w:rsidRPr="007314B0" w14:paraId="5890B4C7" w14:textId="77777777" w:rsidTr="00611E30">
        <w:tc>
          <w:tcPr>
            <w:tcW w:w="10456" w:type="dxa"/>
            <w:shd w:val="clear" w:color="auto" w:fill="C5E0B3" w:themeFill="accent6" w:themeFillTint="66"/>
          </w:tcPr>
          <w:p w14:paraId="621EF458" w14:textId="5D7DA603" w:rsidR="005F7CDC" w:rsidRPr="007314B0" w:rsidRDefault="005F7CDC" w:rsidP="002D49E1">
            <w:pPr>
              <w:spacing w:after="120"/>
              <w:rPr>
                <w:color w:val="000000"/>
              </w:rPr>
            </w:pPr>
            <w:r w:rsidRPr="007314B0">
              <w:rPr>
                <w:b/>
              </w:rPr>
              <w:t>Point à prendre en compte :</w:t>
            </w:r>
            <w:r w:rsidRPr="007314B0">
              <w:t xml:space="preserve"> </w:t>
            </w:r>
            <w:r w:rsidRPr="007314B0">
              <w:rPr>
                <w:color w:val="000000" w:themeColor="text1"/>
              </w:rPr>
              <w:t xml:space="preserve">Les rôles et responsabilités des différentes catégories de professionnels de la santé peuvent changer au fil du temps, aussi peut-il être bénéfique de ne pas préciser quelles catégories participeront aux aspects spécifiques de la prestation de services de PrEP. En effet, cela permet de partager les tâches entre les catégories non cliniques (ou moins spécialisées) et favorise la progression de la PrEP depuis les établissements de santé vers la communauté. Parallèlement, il peut être utile dans certains cas de définir certains groupes de prestataires, comme les prestataires pairs, lorsqu’un type donné est essentiel à l’acceptation de la PrEP par le patient. De même, il peut être bénéfique de ne pas inclure une liste exhaustive des lieux possibles de prestation de services de PrEP dans les directives afin de ne pas limiter l’expansion du programme et la prestation de services différenciés. </w:t>
            </w:r>
            <w:r w:rsidRPr="007314B0">
              <w:t>Parmi les lieux de prestation de services, on peut citer les guichets de services uniques, les centres d’accueil (y compris dans les communautés et les établissements), les cliniques VIH (pour les personnes séronégatives avec un ou plusieurs partenaires dont la charge virale n’est pas supprimée ou dont la suppression virale est inconnue), les cliniques de soins prénatals et de santé maternelle, néonatale et infantile, les cliniques de planification familiale, de santé reproductive et de lutte contre les IST, les cliniques mobiles, les établissements communautaires répondant aux critères pour l’évaluation initiale des patients (par exemple, les centres de prévention intégrés et les centres adaptés aux jeunes), ainsi que les établissements de soins primaires et les modèles virtuels ou mixtes en personne et virtuels.</w:t>
            </w:r>
          </w:p>
        </w:tc>
      </w:tr>
    </w:tbl>
    <w:p w14:paraId="3598B0E6" w14:textId="77777777" w:rsidR="005F7CDC" w:rsidRPr="007314B0" w:rsidRDefault="005F7CDC" w:rsidP="00DD508F">
      <w:pPr>
        <w:spacing w:after="120" w:line="240" w:lineRule="auto"/>
        <w:rPr>
          <w:rFonts w:cstheme="minorHAnsi"/>
          <w:color w:val="000000"/>
        </w:rPr>
      </w:pPr>
    </w:p>
    <w:p w14:paraId="37332663" w14:textId="27C69C47" w:rsidR="00AF2682" w:rsidRPr="007314B0" w:rsidRDefault="006362B5" w:rsidP="005B5CF1">
      <w:pPr>
        <w:pStyle w:val="Heading1"/>
      </w:pPr>
      <w:r w:rsidRPr="007314B0">
        <w:br w:type="page"/>
      </w:r>
      <w:bookmarkStart w:id="69" w:name="_Toc124428534"/>
      <w:r w:rsidRPr="007314B0">
        <w:lastRenderedPageBreak/>
        <w:t>Annexe</w:t>
      </w:r>
      <w:bookmarkEnd w:id="69"/>
    </w:p>
    <w:p w14:paraId="1D327489" w14:textId="2E9B89CB" w:rsidR="00246F78" w:rsidRPr="007314B0" w:rsidRDefault="41CA7611" w:rsidP="56D00486">
      <w:pPr>
        <w:spacing w:after="120" w:line="240" w:lineRule="auto"/>
        <w:rPr>
          <w:rFonts w:eastAsiaTheme="majorEastAsia"/>
          <w:b/>
          <w:bCs/>
          <w:color w:val="2F5496" w:themeColor="accent1" w:themeShade="BF"/>
          <w:sz w:val="32"/>
          <w:szCs w:val="32"/>
        </w:rPr>
      </w:pPr>
      <w:r w:rsidRPr="007314B0">
        <w:rPr>
          <w:b/>
          <w:bCs/>
        </w:rPr>
        <w:t>Tableau 4. Messages clés de counseling</w:t>
      </w:r>
    </w:p>
    <w:tbl>
      <w:tblPr>
        <w:tblW w:w="10525" w:type="dxa"/>
        <w:tblLook w:val="04A0" w:firstRow="1" w:lastRow="0" w:firstColumn="1" w:lastColumn="0" w:noHBand="0" w:noVBand="1"/>
      </w:tblPr>
      <w:tblGrid>
        <w:gridCol w:w="1843"/>
        <w:gridCol w:w="8682"/>
      </w:tblGrid>
      <w:tr w:rsidR="00A7313F" w:rsidRPr="007314B0" w14:paraId="5C6EB0BF" w14:textId="77777777" w:rsidTr="56D00486">
        <w:trPr>
          <w:cantSplit/>
          <w:tblHeader/>
        </w:trPr>
        <w:tc>
          <w:tcPr>
            <w:tcW w:w="1843" w:type="dxa"/>
            <w:shd w:val="clear" w:color="auto" w:fill="4472C4" w:themeFill="accent1"/>
          </w:tcPr>
          <w:p w14:paraId="33AD6730" w14:textId="3655E721" w:rsidR="00A7313F" w:rsidRPr="007314B0" w:rsidRDefault="00A7313F" w:rsidP="00DD508F">
            <w:pPr>
              <w:spacing w:after="120"/>
              <w:rPr>
                <w:rFonts w:cstheme="minorHAnsi"/>
              </w:rPr>
            </w:pPr>
            <w:r w:rsidRPr="007314B0">
              <w:rPr>
                <w:b/>
                <w:color w:val="FFFFFF"/>
              </w:rPr>
              <w:t>Sujet</w:t>
            </w:r>
          </w:p>
        </w:tc>
        <w:tc>
          <w:tcPr>
            <w:tcW w:w="8682" w:type="dxa"/>
            <w:shd w:val="clear" w:color="auto" w:fill="4472C4" w:themeFill="accent1"/>
          </w:tcPr>
          <w:p w14:paraId="1E5C77DA" w14:textId="7F645B7B" w:rsidR="00A7313F" w:rsidRPr="007314B0" w:rsidRDefault="00A7313F" w:rsidP="00DD508F">
            <w:pPr>
              <w:spacing w:after="120"/>
              <w:rPr>
                <w:rFonts w:cstheme="minorHAnsi"/>
              </w:rPr>
            </w:pPr>
            <w:r w:rsidRPr="007314B0">
              <w:rPr>
                <w:b/>
                <w:color w:val="FFFFFF"/>
              </w:rPr>
              <w:t>Messages clés</w:t>
            </w:r>
            <w:r w:rsidRPr="007314B0">
              <w:rPr>
                <w:b/>
                <w:color w:val="FFFFFF"/>
              </w:rPr>
              <w:tab/>
            </w:r>
          </w:p>
        </w:tc>
      </w:tr>
      <w:tr w:rsidR="00246F78" w:rsidRPr="007314B0" w14:paraId="3B7715C5" w14:textId="77777777" w:rsidTr="52CC4247">
        <w:trPr>
          <w:trHeight w:val="593"/>
        </w:trPr>
        <w:tc>
          <w:tcPr>
            <w:tcW w:w="1843" w:type="dxa"/>
            <w:hideMark/>
          </w:tcPr>
          <w:p w14:paraId="1D7F8554" w14:textId="43DE1457" w:rsidR="00246F78" w:rsidRPr="007314B0" w:rsidRDefault="0BCFCAF7" w:rsidP="00DD508F">
            <w:pPr>
              <w:spacing w:after="120"/>
            </w:pPr>
            <w:r w:rsidRPr="007314B0">
              <w:t>Qu’est-ce que la PrEP ?</w:t>
            </w:r>
          </w:p>
        </w:tc>
        <w:tc>
          <w:tcPr>
            <w:tcW w:w="8682" w:type="dxa"/>
            <w:hideMark/>
          </w:tcPr>
          <w:p w14:paraId="3CF91A69" w14:textId="75784AAD" w:rsidR="00246F78" w:rsidRPr="007314B0" w:rsidRDefault="00246F78" w:rsidP="00DD508F">
            <w:pPr>
              <w:spacing w:after="120"/>
            </w:pPr>
            <w:r w:rsidRPr="007314B0">
              <w:t xml:space="preserve">La prophylaxie </w:t>
            </w:r>
            <w:r w:rsidR="00DF3220" w:rsidRPr="007314B0">
              <w:t>préexposition</w:t>
            </w:r>
            <w:r w:rsidRPr="007314B0">
              <w:t xml:space="preserve">, ou PrEP, est l’utilisation, par des personnes séronégatives, de médicaments antirétroviraux avant une exposition potentielle afin de prévenir le VIH. C’est l’une des nombreuses stratégies de prévention du VIH et, dans la mesure du possible, elle doit être utilisée en association avec le préservatif et des lubrifiants compatibles avec les préservatifs et d’autres stratégies de prévention du VIH. Il existe actuellement trois méthodes de PrEP : des médicaments à prendre par voie orale (PrEP orale), un anneau vaginal (anneau de PrEP) et une injection administrée dans le muscle fessier (CAB PrEP). </w:t>
            </w:r>
          </w:p>
        </w:tc>
      </w:tr>
      <w:tr w:rsidR="00246F78" w:rsidRPr="007314B0" w14:paraId="414AE8D5" w14:textId="77777777" w:rsidTr="52CC4247">
        <w:trPr>
          <w:trHeight w:val="530"/>
        </w:trPr>
        <w:tc>
          <w:tcPr>
            <w:tcW w:w="1843" w:type="dxa"/>
            <w:hideMark/>
          </w:tcPr>
          <w:p w14:paraId="628B086C" w14:textId="58A16C69" w:rsidR="00246F78" w:rsidRPr="007314B0" w:rsidRDefault="00C71460" w:rsidP="00DD508F">
            <w:pPr>
              <w:spacing w:after="120"/>
            </w:pPr>
            <w:r w:rsidRPr="007314B0">
              <w:t>Efficacité de la PrEP</w:t>
            </w:r>
          </w:p>
        </w:tc>
        <w:tc>
          <w:tcPr>
            <w:tcW w:w="8682" w:type="dxa"/>
            <w:hideMark/>
          </w:tcPr>
          <w:p w14:paraId="73A4118D" w14:textId="0EFD4DB8" w:rsidR="00271F20" w:rsidRPr="007314B0" w:rsidRDefault="594C1840" w:rsidP="00DD508F">
            <w:pPr>
              <w:spacing w:after="120"/>
            </w:pPr>
            <w:r w:rsidRPr="007314B0">
              <w:t xml:space="preserve">Lorsque la PrEP est utilisée telle qu’elle a été prescrite, le taux d’efficacité de la PrEP orale pour prévenir le VIH est supérieur à 90 %, le taux d’efficacité de l’anneau de PrEP est d’environ 50 % (probablement plus avec une utilisation régulière) et la CAB PrEP est très efficace chez les femmes cisgenres et transgenres et les hommes cisgenres. Lors de récents essais contrôlés randomisés, la CAB PrEP s’est révélée être plus efficace que la PrEP orale, bien que cela soit probablement dû en grande partie à une meilleure adhésion à la CAB PrEP. </w:t>
            </w:r>
          </w:p>
          <w:p w14:paraId="562B2FB1" w14:textId="2156E9EA" w:rsidR="00271F20" w:rsidRPr="007314B0" w:rsidRDefault="00271F20" w:rsidP="00DD508F">
            <w:pPr>
              <w:spacing w:after="120"/>
            </w:pPr>
            <w:r w:rsidRPr="007314B0">
              <w:t>Pour bien choisir une méthode de PrEP, il est important--entre autres facteurs--de déterminer quelles méthodes fonctionneront le mieux pour vous pour la prévention du VIH pendant les types d’expositions que vous prévoyez.</w:t>
            </w:r>
          </w:p>
          <w:p w14:paraId="51E57A01" w14:textId="14CEC83B" w:rsidR="00271F20" w:rsidRPr="007314B0" w:rsidRDefault="000F144D" w:rsidP="00271F20">
            <w:pPr>
              <w:spacing w:after="120"/>
              <w:rPr>
                <w:b/>
              </w:rPr>
            </w:pPr>
            <w:r w:rsidRPr="007314B0">
              <w:rPr>
                <w:b/>
              </w:rPr>
              <w:t>Pour les personnes déclarées de sexe féminin à la naissance intéressées par la PrEP orale quotidienne, l’anneau de PrEP ou la CAB PrEP :</w:t>
            </w:r>
          </w:p>
          <w:p w14:paraId="7DF1E243" w14:textId="060754AF" w:rsidR="0E1C627C" w:rsidRPr="007314B0" w:rsidRDefault="0E1C627C" w:rsidP="5163B5CD">
            <w:pPr>
              <w:spacing w:after="120"/>
            </w:pPr>
            <w:r w:rsidRPr="007314B0">
              <w:t xml:space="preserve">La PrEP orale quotidienne réduit vos risques de contracter le VIH, quel que soit le type d’exposition au VIH. La CAB PrEP fonctionne pour les expositions sexuelles et, comme produit systémique, elle peut également couvrir les expositions liées aux injections. L’anneau de PrEP ne fonctionne que pour les expositions sexuelles lors de rapports vaginaux réceptifs. </w:t>
            </w:r>
          </w:p>
          <w:p w14:paraId="74134D47" w14:textId="1542966E" w:rsidR="00271F20" w:rsidRPr="007314B0" w:rsidRDefault="000F144D" w:rsidP="00DD508F">
            <w:pPr>
              <w:spacing w:after="120"/>
              <w:rPr>
                <w:b/>
              </w:rPr>
            </w:pPr>
            <w:r w:rsidRPr="007314B0">
              <w:rPr>
                <w:b/>
              </w:rPr>
              <w:t>Pour les personnes déclarées de sexe masculin à la naissance intéressées par la PrEP orale (quotidienne ou ED-PrEP) ou la CAB PrEP :</w:t>
            </w:r>
          </w:p>
          <w:p w14:paraId="02A7F385" w14:textId="5F31C910" w:rsidR="00185607" w:rsidRPr="007314B0" w:rsidRDefault="502BEFCF" w:rsidP="00DD508F">
            <w:pPr>
              <w:spacing w:after="120"/>
            </w:pPr>
            <w:r w:rsidRPr="007314B0">
              <w:t>La PrEP orale quotidienne réduit vos risques de contracter le VIH, quel que soit le type d’exposition au VIH. La PrEP ponctuelle, appelée ED-PrEP, ne fonctionne que pour les expositions sexuelles et vous ne pouvez l’utiliser que si vous ne prenez pas d’hormones à base d’œstradiol. La CAB PrEP fonctionne pour les expositions sexuelles et, comme produit systémique, elle peut également couvrir les expositions liées aux injections.</w:t>
            </w:r>
          </w:p>
          <w:p w14:paraId="0ACEF99E" w14:textId="2517D25B" w:rsidR="00246F78" w:rsidRPr="007314B0" w:rsidRDefault="00246F78" w:rsidP="00DD508F">
            <w:pPr>
              <w:spacing w:after="120"/>
            </w:pPr>
          </w:p>
        </w:tc>
      </w:tr>
      <w:tr w:rsidR="00246F78" w:rsidRPr="007314B0" w14:paraId="1DC5AC6D" w14:textId="77777777" w:rsidTr="52CC4247">
        <w:trPr>
          <w:trHeight w:val="575"/>
        </w:trPr>
        <w:tc>
          <w:tcPr>
            <w:tcW w:w="1843" w:type="dxa"/>
            <w:hideMark/>
          </w:tcPr>
          <w:p w14:paraId="71D30353" w14:textId="0C58F5C9" w:rsidR="00246F78" w:rsidRPr="007314B0" w:rsidRDefault="00B50BD2" w:rsidP="00DD508F">
            <w:pPr>
              <w:spacing w:after="120"/>
            </w:pPr>
            <w:r w:rsidRPr="007314B0">
              <w:t>On ne prend pas la PrEP à vie.</w:t>
            </w:r>
          </w:p>
        </w:tc>
        <w:tc>
          <w:tcPr>
            <w:tcW w:w="8682" w:type="dxa"/>
            <w:hideMark/>
          </w:tcPr>
          <w:p w14:paraId="47338016" w14:textId="30B8321B" w:rsidR="00246F78" w:rsidRPr="007314B0" w:rsidRDefault="4B69455A" w:rsidP="00DD508F">
            <w:pPr>
              <w:spacing w:after="120"/>
            </w:pPr>
            <w:r w:rsidRPr="007314B0">
              <w:t xml:space="preserve">Vous devez prendre la PrEP ou utiliser une autre stratégie de prévention du VIH aussi longtemps que vous pensez être exposé(e) au VIH. Certaines personnes ne doivent utiliser la PrEP qu’à certaines périodes de leur vie, alors que d’autres peuvent en avoir besoin en permanence. Si vous décidez de commencer à utiliser l’anneau de PrEP ou la PrEP orale, il est suggéré de revenir un mois après pour une visite de suivi, puis une fois tous les trois mois. Si vous choisissez la CAB PrEP et décidez </w:t>
            </w:r>
            <w:r w:rsidR="00DA116C" w:rsidRPr="007314B0">
              <w:t>d’utiliser</w:t>
            </w:r>
            <w:r w:rsidRPr="007314B0">
              <w:t xml:space="preserve"> cette méthode, vous devrez revenir pour votre deuxième injection d’initiation </w:t>
            </w:r>
            <w:r w:rsidR="00B27DB4" w:rsidRPr="007314B0">
              <w:t>un mois</w:t>
            </w:r>
            <w:r w:rsidRPr="007314B0">
              <w:t xml:space="preserve"> après avoir reçu la première injection, puis tous les </w:t>
            </w:r>
            <w:r w:rsidR="00B27DB4" w:rsidRPr="007314B0">
              <w:t>deux mois</w:t>
            </w:r>
            <w:r w:rsidRPr="007314B0">
              <w:t xml:space="preserve"> pour des injections de suivi.</w:t>
            </w:r>
          </w:p>
        </w:tc>
      </w:tr>
      <w:tr w:rsidR="00B9575E" w:rsidRPr="007314B0" w14:paraId="077F852C" w14:textId="77777777" w:rsidTr="52CC4247">
        <w:trPr>
          <w:trHeight w:val="575"/>
        </w:trPr>
        <w:tc>
          <w:tcPr>
            <w:tcW w:w="1843" w:type="dxa"/>
          </w:tcPr>
          <w:p w14:paraId="45EC1BB6" w14:textId="6BA1031F" w:rsidR="00B9575E" w:rsidRPr="007314B0" w:rsidRDefault="00B9575E">
            <w:pPr>
              <w:spacing w:after="120"/>
            </w:pPr>
            <w:r w:rsidRPr="007314B0">
              <w:t>Commencer et arrêter la PrEP</w:t>
            </w:r>
          </w:p>
        </w:tc>
        <w:tc>
          <w:tcPr>
            <w:tcW w:w="8682" w:type="dxa"/>
          </w:tcPr>
          <w:p w14:paraId="0DEFEDC3" w14:textId="11D0971B" w:rsidR="00B9575E" w:rsidRPr="007314B0" w:rsidRDefault="4502AEF6">
            <w:pPr>
              <w:spacing w:after="120"/>
              <w:rPr>
                <w:color w:val="000000" w:themeColor="text1"/>
              </w:rPr>
            </w:pPr>
            <w:r w:rsidRPr="007314B0">
              <w:t xml:space="preserve">Pour que la PrEP soit la plus efficace possible, vous devez l’utiliser telle qu’elle vous est prescrite. Lorsque vous choisissez une méthode de PrEP, il est important de déterminer quelle(s) méthode(s) vous êtes en mesure d’utiliser efficacement. Je vais maintenant vous parler de la durée d’utilisation de la PrEP avant et après les expositions potentielles au VIH. Cette durée diffère selon les méthodes. Si vous choisissez de commencer à prendre la PrEP, il est particulièrement important d’essayer d’éviter les expositions potentielles au VIH jusqu’à ce </w:t>
            </w:r>
            <w:r w:rsidRPr="007314B0">
              <w:lastRenderedPageBreak/>
              <w:t>que des niveaux adéquats de médicament soient atteints. Pour cela, utilisez des préservatifs avec un lubrifiant compatible avec le préservatif et utilisez du matériel d’injection stérile et que vous ne partagez pas.</w:t>
            </w:r>
          </w:p>
          <w:p w14:paraId="488100BF" w14:textId="548FA884" w:rsidR="00B9575E" w:rsidRPr="007314B0" w:rsidRDefault="00965688">
            <w:pPr>
              <w:spacing w:after="120"/>
              <w:rPr>
                <w:b/>
              </w:rPr>
            </w:pPr>
            <w:r w:rsidRPr="007314B0">
              <w:rPr>
                <w:b/>
              </w:rPr>
              <w:t>Pour les personnes déclarées de sexe féminin à la naissance intéressées par la PrEP orale quotidienne, l’anneau de PrEP ou la CAB PrEP :</w:t>
            </w:r>
          </w:p>
          <w:p w14:paraId="18066DFD" w14:textId="3A295F94" w:rsidR="00B9575E" w:rsidRPr="007314B0" w:rsidRDefault="00B9575E">
            <w:pPr>
              <w:spacing w:after="120"/>
              <w:rPr>
                <w:color w:val="000000" w:themeColor="text1"/>
              </w:rPr>
            </w:pPr>
            <w:r w:rsidRPr="007314B0">
              <w:t xml:space="preserve">Votre choix entre la PrEP orale quotidienne, la CAB PrEP ou l’anneau de PrEP dépend de vos expositions potentielles au VIH, y compris des types de rapports sexuels que vous avez, ainsi que de vos préférences. </w:t>
            </w:r>
          </w:p>
          <w:p w14:paraId="49B64B24" w14:textId="77777777" w:rsidR="00B9575E" w:rsidRPr="007314B0" w:rsidRDefault="00B9575E">
            <w:pPr>
              <w:spacing w:after="120"/>
              <w:rPr>
                <w:color w:val="000000" w:themeColor="text1"/>
              </w:rPr>
            </w:pPr>
            <w:r w:rsidRPr="007314B0">
              <w:t xml:space="preserve">La </w:t>
            </w:r>
            <w:r w:rsidRPr="007314B0">
              <w:rPr>
                <w:b/>
                <w:bCs/>
              </w:rPr>
              <w:t>PrEP orale</w:t>
            </w:r>
            <w:r w:rsidRPr="007314B0">
              <w:t xml:space="preserve"> doit être prise quotidiennement et doit être utilisée pendant au moins sept jours consécutifs avant d’être considérée efficace. Il faut continuer à la prendre pendant sept jours après la dernière exposition potentielle. Si elle est prise de cette manière, la PrEP orale est efficace pour prévenir le VIH, quel que soit le type d’exposition au virus. La PrEP orale peut être prise avec ou sans nourriture. </w:t>
            </w:r>
          </w:p>
          <w:p w14:paraId="716D81D0" w14:textId="7EE8E367" w:rsidR="00B9575E" w:rsidRPr="007314B0" w:rsidRDefault="00B9575E">
            <w:pPr>
              <w:spacing w:after="120"/>
              <w:rPr>
                <w:color w:val="000000" w:themeColor="text1"/>
              </w:rPr>
            </w:pPr>
            <w:r w:rsidRPr="007314B0">
              <w:rPr>
                <w:b/>
                <w:bCs/>
              </w:rPr>
              <w:t>L’anneau de PrEP</w:t>
            </w:r>
            <w:r w:rsidRPr="007314B0">
              <w:t xml:space="preserve"> est également une option que vous pouvez envisager. Vous pouvez insérer vous-même l’anneau de PrEP dans le vagin ou, si vous le souhaitez, avec l’aide d’un prestataire. L’anneau doit rester en place pendant un mois sans être retiré et doit être remplacé par un nouvel anneau à la fin du mois écoulé.</w:t>
            </w:r>
            <w:r w:rsidRPr="007314B0">
              <w:rPr>
                <w:color w:val="000000" w:themeColor="text1"/>
              </w:rPr>
              <w:t xml:space="preserve"> Il doit être en place pendant au moins 24 heures avant d’être considéré comme ayant une efficacité maximale. L’anneau empêche de contracter le VIH uniquement lors de rapports sexuels vaginaux réceptifs. Il peut être retiré à la main. Vous pouvez donc le retirer vous-même. Cependant, si vous préférez qu’on vous aide pour le retirer, c’est possible et il n’est pas nécessaire d’utiliser un spéculum ou d’autres outils. </w:t>
            </w:r>
          </w:p>
          <w:p w14:paraId="1119EB52" w14:textId="365BBC0A" w:rsidR="00B9575E" w:rsidRPr="007314B0" w:rsidRDefault="00B9575E">
            <w:r w:rsidRPr="007314B0">
              <w:rPr>
                <w:color w:val="000000" w:themeColor="text1"/>
              </w:rPr>
              <w:t xml:space="preserve">La </w:t>
            </w:r>
            <w:r w:rsidRPr="007314B0">
              <w:rPr>
                <w:b/>
                <w:bCs/>
                <w:color w:val="000000" w:themeColor="text1"/>
              </w:rPr>
              <w:t>CAB PrEP</w:t>
            </w:r>
            <w:r w:rsidRPr="007314B0">
              <w:rPr>
                <w:color w:val="000000" w:themeColor="text1"/>
              </w:rPr>
              <w:t xml:space="preserve"> est une autre option. La CAB PrEP est injectée dans le muscle fessier. </w:t>
            </w:r>
            <w:r w:rsidRPr="007314B0">
              <w:t xml:space="preserve">La deuxième injection a lieu </w:t>
            </w:r>
            <w:r w:rsidR="00B27DB4" w:rsidRPr="007314B0">
              <w:t>un mois</w:t>
            </w:r>
            <w:r w:rsidRPr="007314B0">
              <w:t xml:space="preserve"> après la première, les autres ayant lieu tous </w:t>
            </w:r>
            <w:proofErr w:type="spellStart"/>
            <w:r w:rsidRPr="007314B0">
              <w:t>les</w:t>
            </w:r>
            <w:r w:rsidR="00B27DB4" w:rsidRPr="007314B0">
              <w:t>deux</w:t>
            </w:r>
            <w:proofErr w:type="spellEnd"/>
            <w:r w:rsidR="00B27DB4" w:rsidRPr="007314B0">
              <w:t xml:space="preserve"> </w:t>
            </w:r>
            <w:proofErr w:type="spellStart"/>
            <w:r w:rsidR="00B27DB4" w:rsidRPr="007314B0">
              <w:t>mois</w:t>
            </w:r>
            <w:r w:rsidRPr="007314B0">
              <w:t>après</w:t>
            </w:r>
            <w:proofErr w:type="spellEnd"/>
            <w:r w:rsidRPr="007314B0">
              <w:t xml:space="preserve"> cela. Les données actuelles montrent qu’il faut environ une semaine après la première injection initiale pour que les concentrations de médicament atteignent les niveaux prévus pour que la CAB PrEP ait une efficacité maximale lors d’expositions sexuelles. Il faudra donc utiliser une autre stratégie de prévention du VIH pendant cette période. Le médicament restera à des niveaux efficaces pour prévenir le VIH pendant au moins huit semaines après votre dernière injection, mais les niveaux diminueront ensuite et risquent alors ne p</w:t>
            </w:r>
            <w:r w:rsidR="00DA116C" w:rsidRPr="007314B0">
              <w:t>lu</w:t>
            </w:r>
            <w:r w:rsidRPr="007314B0">
              <w:t>s vous protéger. En outre, à ces niveaux réduits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Pour prévenir la résistance aux médicaments pendant la période de queue, il est important que vous utilisiez une stratégie de prévention du VIH efficace si vous êtes susceptible d’être exposé</w:t>
            </w:r>
            <w:r w:rsidR="00DA116C" w:rsidRPr="007314B0">
              <w:t>(e)</w:t>
            </w:r>
            <w:r w:rsidRPr="007314B0">
              <w:t xml:space="preserve"> au virus. </w:t>
            </w:r>
          </w:p>
          <w:p w14:paraId="0FE7537A" w14:textId="1D392848" w:rsidR="00B9575E" w:rsidRPr="007314B0" w:rsidRDefault="00B9575E">
            <w:pPr>
              <w:spacing w:after="120"/>
              <w:rPr>
                <w:color w:val="000000" w:themeColor="text1"/>
              </w:rPr>
            </w:pPr>
            <w:r w:rsidRPr="007314B0">
              <w:rPr>
                <w:color w:val="000000" w:themeColor="text1"/>
              </w:rPr>
              <w:t xml:space="preserve">Lorsque vous arrêtez une méthode de PrEP, il est important de commencer à en utiliser une autre ou d’utiliser une stratégie de prévention du VIH si vous devez encore vous protéger. </w:t>
            </w:r>
          </w:p>
          <w:p w14:paraId="387A3B86" w14:textId="138CF238" w:rsidR="00B9575E" w:rsidRPr="007314B0" w:rsidRDefault="00965688">
            <w:pPr>
              <w:spacing w:after="120"/>
              <w:rPr>
                <w:b/>
              </w:rPr>
            </w:pPr>
            <w:r w:rsidRPr="007314B0">
              <w:rPr>
                <w:b/>
              </w:rPr>
              <w:t>Pour les personnes déclarées de sexe masculin à la naissance intéressées par la PrEP orale (quotidienne ou ED-PrEP) ou la CAB PrEP :</w:t>
            </w:r>
          </w:p>
          <w:p w14:paraId="444A531B" w14:textId="537D73CE" w:rsidR="00B9575E" w:rsidRPr="007314B0" w:rsidRDefault="00B9575E">
            <w:pPr>
              <w:spacing w:after="120"/>
            </w:pPr>
            <w:r w:rsidRPr="007314B0">
              <w:t xml:space="preserve">Votre choix entre la PrEP orale quotidienne, l’ED-PrEP ou la CAB PrEP dépend de vos expositions potentielles au VIH, y compris la fréquence et la prévisibilité de vos rapports sexuels, ainsi que de vos préférences. L’ED-PrEP peut mieux vous convenir si vous la trouvez plus pratique et plus efficace, si vous avez des rapports sexuels peu fréquents (par exemple, moins de deux fois par semaine en moyenne) et si vous êtes capable de planifier vos rapports sexuels au moins deux heures à l’avance ou de les reporter d’au moins deux heures. Vous </w:t>
            </w:r>
            <w:r w:rsidRPr="007314B0">
              <w:lastRenderedPageBreak/>
              <w:t>pouvez passer de la prise quotidienne à l’ED-PrEP en fonction de votre situation. La PrEP orale peut être prise avec ou sans nourriture.</w:t>
            </w:r>
          </w:p>
          <w:p w14:paraId="7262FAF6" w14:textId="60336B82" w:rsidR="00B9575E" w:rsidRPr="007314B0" w:rsidRDefault="00B9575E">
            <w:pPr>
              <w:spacing w:after="120"/>
            </w:pPr>
            <w:r w:rsidRPr="007314B0">
              <w:rPr>
                <w:b/>
                <w:bCs/>
              </w:rPr>
              <w:t>Pour commencer la PrEP orale quotidienne</w:t>
            </w:r>
            <w:r w:rsidRPr="007314B0">
              <w:t xml:space="preserve">, prenez une dose de charge de deux comprimés à l’initiation de la PrEP et reportez les rapports sexuels d’au moins deux heures (l’idéal serait de les reporter de près de 24 heures). Les niveaux de médicament seront alors à leur maximum pour prévenir le VIH lors d’expositions sexuelles. Continuez à prendre un comprimé de PrEP orale chaque jour à la même heure. Pour les expositions liées aux injections, vous devrez prendre un comprimé par jour pendant les sept jours précédant l’exposition pour que les niveaux de médicament aient une efficacité maximale. Pour arrêter le traitement, continuez à prendre un comprimé de PrEP orale par jour </w:t>
            </w:r>
            <w:r w:rsidR="00DA116C" w:rsidRPr="007314B0">
              <w:t xml:space="preserve">pendant </w:t>
            </w:r>
            <w:r w:rsidRPr="007314B0">
              <w:t xml:space="preserve">deux jours après la dernière exposition sexuelle potentielle ou </w:t>
            </w:r>
            <w:r w:rsidR="00DA116C" w:rsidRPr="007314B0">
              <w:t xml:space="preserve">pendant </w:t>
            </w:r>
            <w:r w:rsidRPr="007314B0">
              <w:t>sept jours après la dernière exposition potentielle par injection, la période la plus longue prévalant.</w:t>
            </w:r>
          </w:p>
          <w:p w14:paraId="5A42AC7F" w14:textId="53C48FDA" w:rsidR="00B9575E" w:rsidRPr="007314B0" w:rsidRDefault="00B9575E">
            <w:pPr>
              <w:spacing w:after="120"/>
            </w:pPr>
            <w:r w:rsidRPr="007314B0">
              <w:rPr>
                <w:b/>
                <w:bCs/>
              </w:rPr>
              <w:t>Pour commencer l’ED-PrEP</w:t>
            </w:r>
            <w:r w:rsidRPr="007314B0">
              <w:t xml:space="preserve">, prenez une dose de charge de deux comprimés jusqu’à 24 heures avant les rapports sexuels (l’idéal serait de les reporter de près de 24 heures). Les niveaux de médicament seront alors à leur maximum pour prévenir le VIH lors d’expositions sexuelles. Continuez à prendre un comprimé par jour à l’heure où vous avez pris la dose de charge, et ce </w:t>
            </w:r>
            <w:r w:rsidR="00927829" w:rsidRPr="007314B0">
              <w:t xml:space="preserve">pendant </w:t>
            </w:r>
            <w:r w:rsidRPr="007314B0">
              <w:t>deux jours après la dernière exposition sexuelle potentielle. Ce processus doit être répété pour chaque période d’exposition sexuelle potentielle au VIH.</w:t>
            </w:r>
          </w:p>
          <w:p w14:paraId="4AE06B2A" w14:textId="319BB12A" w:rsidR="00B9575E" w:rsidRPr="007314B0" w:rsidRDefault="00B9575E">
            <w:r w:rsidRPr="007314B0">
              <w:rPr>
                <w:color w:val="000000" w:themeColor="text1"/>
              </w:rPr>
              <w:t xml:space="preserve">La </w:t>
            </w:r>
            <w:r w:rsidRPr="007314B0">
              <w:rPr>
                <w:b/>
                <w:bCs/>
                <w:color w:val="000000" w:themeColor="text1"/>
              </w:rPr>
              <w:t>CAB PrEP</w:t>
            </w:r>
            <w:r w:rsidRPr="007314B0">
              <w:rPr>
                <w:color w:val="000000" w:themeColor="text1"/>
              </w:rPr>
              <w:t xml:space="preserve"> est une autre option. La CAB PrEP est injectée dans le muscle fessier. </w:t>
            </w:r>
            <w:r w:rsidRPr="007314B0">
              <w:t xml:space="preserve">La deuxième injection a </w:t>
            </w:r>
            <w:proofErr w:type="spellStart"/>
            <w:r w:rsidRPr="007314B0">
              <w:t>lieu</w:t>
            </w:r>
            <w:r w:rsidR="00475560" w:rsidRPr="007314B0">
              <w:t>un</w:t>
            </w:r>
            <w:proofErr w:type="spellEnd"/>
            <w:r w:rsidR="00475560" w:rsidRPr="007314B0">
              <w:t xml:space="preserve"> mois</w:t>
            </w:r>
            <w:r w:rsidRPr="007314B0">
              <w:t xml:space="preserve"> après la première, les autres ayant lieu tous les </w:t>
            </w:r>
            <w:r w:rsidR="00475560" w:rsidRPr="007314B0">
              <w:t>deux mois</w:t>
            </w:r>
            <w:r w:rsidRPr="007314B0">
              <w:t xml:space="preserve"> après cela. Les données actuelles montrent qu’il faut environ une semaine pour que la CAB PrEP ait une efficacité maximale après la première injection d’initiation. Il faudra donc utiliser une autre stratégie de prévention du VIH pendant cette période. Le médicament restera dans le corps pendant au moins huit semaines après l’arrêt d’utilisation de la CAB PrEP. Après quoi, les niveaux baissent et risquent de ne pas prévenir le VIH. En outre, à ces niveaux réduits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Pour prévenir la résistance aux médicaments pendant la période de queue, il est important que vous utilisiez une stratégie de prévention du VIH efficace si vous êtes susceptible d’être exposé</w:t>
            </w:r>
            <w:r w:rsidR="00927829" w:rsidRPr="007314B0">
              <w:t>(e)</w:t>
            </w:r>
            <w:r w:rsidRPr="007314B0">
              <w:t xml:space="preserve"> au virus.</w:t>
            </w:r>
          </w:p>
          <w:p w14:paraId="154EB4EC" w14:textId="77777777" w:rsidR="00B9575E" w:rsidRPr="007314B0" w:rsidRDefault="00B9575E">
            <w:pPr>
              <w:spacing w:after="120"/>
            </w:pPr>
            <w:r w:rsidRPr="007314B0">
              <w:rPr>
                <w:color w:val="000000" w:themeColor="text1"/>
              </w:rPr>
              <w:t xml:space="preserve">Lorsque vous arrêtez une méthode de PrEP, il est important de commencer à en utiliser une autre ou d’utiliser une stratégie de prévention du VIH si vous devez encore vous protéger. </w:t>
            </w:r>
          </w:p>
        </w:tc>
      </w:tr>
      <w:tr w:rsidR="004F0723" w:rsidRPr="007314B0" w14:paraId="5654F926" w14:textId="77777777" w:rsidTr="52CC4247">
        <w:trPr>
          <w:trHeight w:val="575"/>
        </w:trPr>
        <w:tc>
          <w:tcPr>
            <w:tcW w:w="1843" w:type="dxa"/>
          </w:tcPr>
          <w:p w14:paraId="069058FB" w14:textId="27747145" w:rsidR="004F0723" w:rsidRPr="007314B0" w:rsidRDefault="004F0723" w:rsidP="00DD508F">
            <w:pPr>
              <w:spacing w:after="120"/>
            </w:pPr>
            <w:r w:rsidRPr="007314B0">
              <w:lastRenderedPageBreak/>
              <w:t>PrEP et alcool ou autres drogues récréatives</w:t>
            </w:r>
          </w:p>
        </w:tc>
        <w:tc>
          <w:tcPr>
            <w:tcW w:w="8682" w:type="dxa"/>
          </w:tcPr>
          <w:p w14:paraId="6AB25432" w14:textId="59F51AEE" w:rsidR="004F0723" w:rsidRPr="007314B0" w:rsidRDefault="004F0723" w:rsidP="00DD508F">
            <w:pPr>
              <w:spacing w:after="120"/>
            </w:pPr>
            <w:r w:rsidRPr="007314B0">
              <w:t xml:space="preserve">Prendre la PrEP lorsque vous consommez de l’alcool ou d’autres drogues récréatives ne vous fera aucun mal. Cependant, l’alcool ou d’autres drogues récréatives peuvent vous empêcher d’utiliser correctement la PrEP, par exemple en vous faisant manquer un rendez-vous, oublier une dose de PrEP orale ou </w:t>
            </w:r>
            <w:r w:rsidR="00927829" w:rsidRPr="007314B0">
              <w:t xml:space="preserve">de </w:t>
            </w:r>
            <w:r w:rsidRPr="007314B0">
              <w:t>changer un anneau. Élaborez un plan pour continuer à utiliser efficacement la PrEP si vous consommez de l’alcool ou d’autres substances. Nous pouvons en parler ensemble si cela peut vous aider.</w:t>
            </w:r>
          </w:p>
        </w:tc>
      </w:tr>
      <w:tr w:rsidR="004F0723" w:rsidRPr="007314B0" w14:paraId="02EBBB58" w14:textId="77777777" w:rsidTr="52CC4247">
        <w:trPr>
          <w:trHeight w:val="575"/>
        </w:trPr>
        <w:tc>
          <w:tcPr>
            <w:tcW w:w="1843" w:type="dxa"/>
          </w:tcPr>
          <w:p w14:paraId="71443D3B" w14:textId="203D5101" w:rsidR="004F0723" w:rsidRPr="007314B0" w:rsidRDefault="004F0723" w:rsidP="00DD508F">
            <w:pPr>
              <w:spacing w:after="120"/>
            </w:pPr>
            <w:r w:rsidRPr="007314B0">
              <w:t>La PrEP et les autres médicaments </w:t>
            </w:r>
          </w:p>
        </w:tc>
        <w:tc>
          <w:tcPr>
            <w:tcW w:w="8682" w:type="dxa"/>
          </w:tcPr>
          <w:p w14:paraId="5AEFDAFA" w14:textId="77777777" w:rsidR="004F0723" w:rsidRPr="007314B0" w:rsidRDefault="7B288BA3" w:rsidP="56D00486">
            <w:pPr>
              <w:spacing w:after="120"/>
            </w:pPr>
            <w:r w:rsidRPr="007314B0">
              <w:t xml:space="preserve">Les médicaments que contiennent certaines méthodes de PrEP peuvent interagir avec d’autres médicaments que vous prenez. Prenez-vous des médicaments ? </w:t>
            </w:r>
          </w:p>
          <w:p w14:paraId="61EE02BB" w14:textId="09CCED70" w:rsidR="00446942" w:rsidRPr="007314B0" w:rsidRDefault="00446942" w:rsidP="56D00486">
            <w:pPr>
              <w:spacing w:after="120"/>
            </w:pPr>
            <w:r w:rsidRPr="007314B0">
              <w:rPr>
                <w:b/>
                <w:bCs/>
              </w:rPr>
              <w:t xml:space="preserve">NOTE AU PRESTATAIRE : </w:t>
            </w:r>
            <w:r w:rsidRPr="007314B0">
              <w:t>Selon la méthode de PrEP qui intéresse le patient ou qu’il utilise, reportez-vous à la section pertinente « Interactions entre [méthode de PrEP] et d’autres médicaments » ci-dessus.</w:t>
            </w:r>
            <w:r w:rsidRPr="007314B0">
              <w:rPr>
                <w:b/>
                <w:bCs/>
              </w:rPr>
              <w:t xml:space="preserve"> </w:t>
            </w:r>
          </w:p>
        </w:tc>
      </w:tr>
      <w:tr w:rsidR="004F0723" w:rsidRPr="007314B0" w14:paraId="5260CBD4" w14:textId="77777777" w:rsidTr="52CC4247">
        <w:trPr>
          <w:trHeight w:val="575"/>
        </w:trPr>
        <w:tc>
          <w:tcPr>
            <w:tcW w:w="1843" w:type="dxa"/>
          </w:tcPr>
          <w:p w14:paraId="40A85E4F" w14:textId="58095FDD" w:rsidR="004F0723" w:rsidRPr="007314B0" w:rsidRDefault="004F0723" w:rsidP="00DD508F">
            <w:pPr>
              <w:spacing w:after="120"/>
            </w:pPr>
            <w:r w:rsidRPr="007314B0">
              <w:t xml:space="preserve">PrEP, grossesse </w:t>
            </w:r>
            <w:r w:rsidRPr="007314B0">
              <w:br/>
              <w:t>et l’allaitement </w:t>
            </w:r>
          </w:p>
        </w:tc>
        <w:tc>
          <w:tcPr>
            <w:tcW w:w="8682" w:type="dxa"/>
          </w:tcPr>
          <w:p w14:paraId="7AAF8204" w14:textId="1C099D02" w:rsidR="004F0723" w:rsidRPr="007314B0" w:rsidRDefault="004F0723" w:rsidP="00DD508F">
            <w:pPr>
              <w:spacing w:after="120"/>
            </w:pPr>
            <w:r w:rsidRPr="007314B0">
              <w:t>La PrEP n’est pas un contraceptif. Pour éviter une grossesse non souhaitée, utilisez une méthode de contraception.</w:t>
            </w:r>
          </w:p>
          <w:p w14:paraId="3A1BC066" w14:textId="3AC0DE21" w:rsidR="004F0723" w:rsidRPr="007314B0" w:rsidRDefault="004E65B9" w:rsidP="00DD508F">
            <w:pPr>
              <w:spacing w:after="120"/>
            </w:pPr>
            <w:r w:rsidRPr="007314B0">
              <w:lastRenderedPageBreak/>
              <w:t>La probabilité de contracter le VIH est plus élevée pendant la grossesse et la période postnatale. Prendre la PrEP orale pendant la grossesse ou l’allaitement n’est pas dangereux pour vous ni pour votre bébé. Comme le VIH peut être transmis pendant la grossesse et l’allaitement, prendre la PrEP orale pendant cette période vous protège, vous et votre bébé, contre le VIH. Vous pouvez utiliser la PrEP orale pendant la grossesse et l’allaitement. </w:t>
            </w:r>
          </w:p>
          <w:p w14:paraId="6F05DD3E" w14:textId="50A83847" w:rsidR="00337F2A" w:rsidRPr="007314B0" w:rsidRDefault="62E2B162" w:rsidP="00F85FC6">
            <w:pPr>
              <w:spacing w:after="120"/>
            </w:pPr>
            <w:r w:rsidRPr="007314B0">
              <w:rPr>
                <w:color w:val="000000" w:themeColor="text1"/>
              </w:rPr>
              <w:t>Il existe peu d’informations sur l’utilisation de l’anneau ou de la CAB PrEP pendant la grossesse ou l’allaitement, mais les données disponibles suggèrent que les deux méthodes sont probablement sans danger. Si vous êtes enceinte ou si vous allaitez, ou en avez l’intention, nous devons en parler.</w:t>
            </w:r>
            <w:r w:rsidRPr="007314B0">
              <w:t xml:space="preserve"> Si vous êtes enceinte et utilisez l’anneau, vous devriez le retirer si vous commencez à avoir des contractions pour l’accouchement ou avez des saignements vaginaux ou si vous perdez les eaux.  </w:t>
            </w:r>
          </w:p>
          <w:p w14:paraId="33CDF5AF" w14:textId="391A8021" w:rsidR="00CE7F3F" w:rsidRPr="007314B0" w:rsidRDefault="17F84E99" w:rsidP="00CE7F3F">
            <w:pPr>
              <w:spacing w:after="120"/>
              <w:rPr>
                <w:color w:val="000000" w:themeColor="text1"/>
              </w:rPr>
            </w:pPr>
            <w:r w:rsidRPr="007314B0">
              <w:rPr>
                <w:color w:val="000000" w:themeColor="text1"/>
              </w:rPr>
              <w:t>La CAB PrEP peut rester dans votre système pendant 12 mois ou plus après l’arrêt des injections. Si vous pensez que vous pourriez tomber enceinte ou le souhaitez après avoir arrêté la CAB PrEP, nous devrions parler des risques et des avantages de l’utilisation de la CAB PrEP.</w:t>
            </w:r>
          </w:p>
          <w:p w14:paraId="1636E0F5" w14:textId="1439457F" w:rsidR="004F0723" w:rsidRPr="007314B0" w:rsidRDefault="00A07B45" w:rsidP="00DD508F">
            <w:pPr>
              <w:spacing w:after="120"/>
            </w:pPr>
            <w:r w:rsidRPr="007314B0">
              <w:rPr>
                <w:b/>
              </w:rPr>
              <w:t>NOTE AU PRESTATAIRE :</w:t>
            </w:r>
            <w:r w:rsidRPr="007314B0">
              <w:t xml:space="preserve"> Si une patiente est enceinte, orientez-la vers des soins prénatals ou un counseling sur les options de grossesse (voir la section </w:t>
            </w:r>
            <w:r w:rsidRPr="007314B0">
              <w:rPr>
                <w:i/>
                <w:iCs/>
              </w:rPr>
              <w:t>Prise en charge des patients dans des situations spécifiques</w:t>
            </w:r>
            <w:r w:rsidRPr="007314B0">
              <w:t xml:space="preserve"> ci-dessus pour obtenir un complément d’informations sur la PrEP pour les patientes enceintes ou qui allaitent, et se référer aux directives nationales).</w:t>
            </w:r>
            <w:r w:rsidRPr="007314B0">
              <w:rPr>
                <w:color w:val="000000" w:themeColor="text1"/>
              </w:rPr>
              <w:t xml:space="preserve"> </w:t>
            </w:r>
          </w:p>
        </w:tc>
      </w:tr>
      <w:tr w:rsidR="004F0723" w:rsidRPr="007314B0" w14:paraId="45A5EC7C" w14:textId="77777777" w:rsidTr="52CC4247">
        <w:trPr>
          <w:trHeight w:val="575"/>
        </w:trPr>
        <w:tc>
          <w:tcPr>
            <w:tcW w:w="1843" w:type="dxa"/>
          </w:tcPr>
          <w:p w14:paraId="4D7F9258" w14:textId="4277F107" w:rsidR="004F0723" w:rsidRPr="007314B0" w:rsidRDefault="1E2E8B57" w:rsidP="56D00486">
            <w:pPr>
              <w:spacing w:after="120"/>
            </w:pPr>
            <w:r w:rsidRPr="007314B0">
              <w:lastRenderedPageBreak/>
              <w:t>Aucune prévention des IST autres que le VIH</w:t>
            </w:r>
          </w:p>
        </w:tc>
        <w:tc>
          <w:tcPr>
            <w:tcW w:w="8682" w:type="dxa"/>
          </w:tcPr>
          <w:p w14:paraId="321E0B58" w14:textId="05FC090B" w:rsidR="004F0723" w:rsidRPr="007314B0" w:rsidRDefault="004F0723" w:rsidP="00DD508F">
            <w:pPr>
              <w:spacing w:after="120"/>
            </w:pPr>
            <w:r w:rsidRPr="007314B0">
              <w:t>La PrEP réduit la probabilité de contracter le VIH mais ne prévient pas les autres infections sexuellement transmissibles (IST). Pour les prévenir, utilisez un préservatif et, si nécessaire, un lubrifiant compatible avec le préservatif, chaque fois que vous avez des rapports sexuels. Il est important de faire régulièrement des tests de dépistage des IST, surtout si vous n’êtes pas en mesure d’utiliser des préservatifs de manière systématique.</w:t>
            </w:r>
            <w:r w:rsidR="0059486B" w:rsidRPr="007314B0">
              <w:rPr>
                <w:rStyle w:val="FootnoteReference"/>
              </w:rPr>
              <w:footnoteReference w:id="32"/>
            </w:r>
            <w:r w:rsidRPr="007314B0">
              <w:t xml:space="preserve"> Si vous avez un écoulement au niveau du pénis ou des pertes vaginales qui sentent mauvais, provoquent des irritations, ont une couleur différente de la normale ou sont abondantes, des saignements en dehors des règles ou des protubérances, des verrues, des gonflements, des rougeurs, des éruptions cutanées ou de fortes démangeaisons sur ou près des organes génitaux, de la bouche ou de l’anus, cela pourrait signifier que vous avez une IST et vous devriez consulter un prestataire de soins de santé aussitôt que possible et vous abstenir de tout contact sexuel si vous le pouvez.</w:t>
            </w:r>
          </w:p>
        </w:tc>
      </w:tr>
      <w:tr w:rsidR="00822109" w:rsidRPr="007314B0" w14:paraId="149022E0" w14:textId="77777777" w:rsidTr="52CC4247">
        <w:trPr>
          <w:trHeight w:val="80"/>
        </w:trPr>
        <w:tc>
          <w:tcPr>
            <w:tcW w:w="1843" w:type="dxa"/>
          </w:tcPr>
          <w:p w14:paraId="3BF2EA0B" w14:textId="5465BE68" w:rsidR="00822109" w:rsidRPr="007314B0" w:rsidRDefault="00822109" w:rsidP="00DD508F">
            <w:pPr>
              <w:spacing w:after="120"/>
              <w:rPr>
                <w:rFonts w:cstheme="minorHAnsi"/>
              </w:rPr>
            </w:pPr>
            <w:r w:rsidRPr="007314B0">
              <w:t>Effets secondaires</w:t>
            </w:r>
          </w:p>
        </w:tc>
        <w:tc>
          <w:tcPr>
            <w:tcW w:w="8682" w:type="dxa"/>
          </w:tcPr>
          <w:p w14:paraId="20B0B3C2" w14:textId="6137C8DC" w:rsidR="00822109" w:rsidRPr="007314B0" w:rsidRDefault="00CE12A7" w:rsidP="00DD508F">
            <w:pPr>
              <w:spacing w:after="120"/>
            </w:pPr>
            <w:r w:rsidRPr="007314B0">
              <w:rPr>
                <w:b/>
                <w:bCs/>
              </w:rPr>
              <w:t>PrEP orale :</w:t>
            </w:r>
            <w:r w:rsidRPr="007314B0">
              <w:t xml:space="preserve"> Peu de personnes utilisant la PrEP orale souffrent d’effets secondaires. Celles qui en souffrent n’ont généralement que des symptômes légers, notamment des symptômes gastrointestinaux (diarrhée et nausée, diminution de l’appétit, crampes abdominales et flatulences), des vertiges et des maux de tête. La plupart de ces effets secondaires disparaissent en moins d’un mois. Cependant, je peux vous aider à les gérer. </w:t>
            </w:r>
          </w:p>
          <w:p w14:paraId="14280AA6" w14:textId="0C2C7817" w:rsidR="0069086A" w:rsidRPr="007314B0" w:rsidRDefault="00CE12A7" w:rsidP="00DD508F">
            <w:pPr>
              <w:spacing w:after="120"/>
            </w:pPr>
            <w:r w:rsidRPr="007314B0">
              <w:rPr>
                <w:b/>
                <w:bCs/>
              </w:rPr>
              <w:t>CAB PrEP :</w:t>
            </w:r>
            <w:r w:rsidRPr="007314B0">
              <w:t xml:space="preserve"> Certaines personnes qui utilisent la CAB PrEP peuvent éprouver des effets secondaires. Ces effets sont généralement légers et peuvent inclure des maux de tête, des nausées, de la diarrhée et de la fatigue. Des réactions légères ou modérées au site d’injection sont également possibles et </w:t>
            </w:r>
            <w:r w:rsidR="00D361F6" w:rsidRPr="007314B0">
              <w:t>se résorbent</w:t>
            </w:r>
            <w:r w:rsidRPr="007314B0">
              <w:t xml:space="preserve"> avec le temps. Ces réactions peuvent inclure des rougeurs, une douleur et un gonflement au site d’injection. Si une réaction visible au site d’injection vous préoccupe, merci de me le faire savoir et nous pourrons discuter des différents moyens dont vous pouvez aborder cette question. Même si cela est peu fréquent, certaines personnes peuvent également souffrir de troubles dépressifs pendant l’utilisation de </w:t>
            </w:r>
            <w:r w:rsidRPr="007314B0">
              <w:lastRenderedPageBreak/>
              <w:t xml:space="preserve">la CAB PrEP. Si vous constatez des changements au niveau émotionnel, faites-le moi savoir afin que nous puissions discuter de la façon d’obtenir le soutien dont vous avez besoin. </w:t>
            </w:r>
          </w:p>
          <w:p w14:paraId="59DF589C" w14:textId="6201C21A" w:rsidR="00C84946" w:rsidRPr="007314B0" w:rsidRDefault="2974BCE7" w:rsidP="00A5745E">
            <w:pPr>
              <w:spacing w:after="120"/>
            </w:pPr>
            <w:r w:rsidRPr="007314B0">
              <w:rPr>
                <w:b/>
                <w:bCs/>
              </w:rPr>
              <w:t>Anneau de PrEP :</w:t>
            </w:r>
            <w:r w:rsidRPr="007314B0">
              <w:t xml:space="preserve"> Certaines personnes qui utilisent l’anneau de PrEP peuvent éprouver des effets secondaires. Ils sont généralement légers et comprennent une infection des voies urinaires (IVU), des pertes vaginales, des démangeaisons vulvaires et/ou des douleurs pelviennes et abdominales basses. </w:t>
            </w:r>
          </w:p>
          <w:p w14:paraId="3C36C4EB" w14:textId="77777777" w:rsidR="00C84946" w:rsidRPr="007314B0" w:rsidRDefault="00A5745E" w:rsidP="00DD508F">
            <w:pPr>
              <w:spacing w:after="120"/>
            </w:pPr>
            <w:r w:rsidRPr="007314B0">
              <w:t xml:space="preserve">Contactez-moi si vous constatez des changements au niveau des voies urinaires ou de l’appareil reproducteur, car cela pourrait être le signe d’une IST ou d’une infection urinaire devant être traitée. </w:t>
            </w:r>
          </w:p>
          <w:p w14:paraId="7C31068F" w14:textId="5485AFFC" w:rsidR="007F439D" w:rsidRPr="007314B0" w:rsidRDefault="00A26400" w:rsidP="00DD508F">
            <w:pPr>
              <w:spacing w:after="120"/>
            </w:pPr>
            <w:r w:rsidRPr="007314B0">
              <w:t>Certaines personnes prenant la PrEP signalent des effets positifs sur le bien-être physique, émotionnel ou mental. Ceux-ci incluent un sentiment accru de contrôle sur sa santé et son appartenance à la communauté, ainsi qu’une réduction de l’anxiété car la peur de contracter le VIH a diminué grâce à l’utilisation de la PrEP.</w:t>
            </w:r>
          </w:p>
          <w:p w14:paraId="71098069" w14:textId="150FB706" w:rsidR="007F439D" w:rsidRPr="007314B0" w:rsidRDefault="007F439D" w:rsidP="00DD508F">
            <w:pPr>
              <w:spacing w:after="120"/>
            </w:pPr>
          </w:p>
        </w:tc>
      </w:tr>
      <w:tr w:rsidR="00F93DC8" w:rsidRPr="007314B0" w14:paraId="1649F470" w14:textId="77777777" w:rsidTr="52CC4247">
        <w:trPr>
          <w:trHeight w:val="80"/>
        </w:trPr>
        <w:tc>
          <w:tcPr>
            <w:tcW w:w="1843" w:type="dxa"/>
          </w:tcPr>
          <w:p w14:paraId="1DDF2AFE" w14:textId="00008BFB" w:rsidR="00F93DC8" w:rsidRPr="007314B0" w:rsidRDefault="00F93DC8" w:rsidP="00F93DC8">
            <w:pPr>
              <w:spacing w:after="120"/>
              <w:rPr>
                <w:rFonts w:cstheme="minorHAnsi"/>
              </w:rPr>
            </w:pPr>
            <w:r w:rsidRPr="007314B0">
              <w:lastRenderedPageBreak/>
              <w:t>Passer d’une option de prévention du VIH à une autre</w:t>
            </w:r>
          </w:p>
        </w:tc>
        <w:tc>
          <w:tcPr>
            <w:tcW w:w="8682" w:type="dxa"/>
          </w:tcPr>
          <w:p w14:paraId="3006CBD7" w14:textId="77777777" w:rsidR="00F93DC8" w:rsidRPr="007314B0" w:rsidRDefault="00F93DC8" w:rsidP="00F93DC8">
            <w:pPr>
              <w:spacing w:after="120"/>
            </w:pPr>
            <w:r w:rsidRPr="007314B0">
              <w:t>Il est possible de commencer à utiliser une méthode de PrEP, puis de décider que vous souhaitez en utiliser une autre ou essayer une autre stratégie de prévention du VIH. De nombreuses personnes passent d’une méthode à l’autre en fonction de l’évolution de leurs besoins. Je suis là pour vous aider à prendre la meilleure décision qui vous convienne.</w:t>
            </w:r>
          </w:p>
          <w:p w14:paraId="0FC6BEAB" w14:textId="77777777" w:rsidR="00F93DC8" w:rsidRPr="007314B0" w:rsidRDefault="00F93DC8" w:rsidP="00F93DC8">
            <w:pPr>
              <w:spacing w:after="120"/>
              <w:rPr>
                <w:rFonts w:cstheme="minorHAnsi"/>
              </w:rPr>
            </w:pPr>
            <w:r w:rsidRPr="007314B0">
              <w:t xml:space="preserve">D’autres stratégies de prévention du VIH comprennent : </w:t>
            </w:r>
          </w:p>
          <w:p w14:paraId="568D52ED" w14:textId="54B930ED" w:rsidR="00F93DC8" w:rsidRPr="007314B0" w:rsidRDefault="00F93DC8" w:rsidP="00765AF8">
            <w:pPr>
              <w:pStyle w:val="ListParagraph"/>
              <w:numPr>
                <w:ilvl w:val="0"/>
                <w:numId w:val="11"/>
              </w:numPr>
              <w:spacing w:after="120"/>
            </w:pPr>
            <w:r w:rsidRPr="007314B0">
              <w:t>Utiliser systématiquement le préservatif et un lubrifiant compatible avec les préservatifs</w:t>
            </w:r>
          </w:p>
          <w:p w14:paraId="06B33FC5" w14:textId="7D30DF51" w:rsidR="00F93DC8" w:rsidRPr="007314B0" w:rsidRDefault="00F93DC8" w:rsidP="00765AF8">
            <w:pPr>
              <w:pStyle w:val="ListParagraph"/>
              <w:numPr>
                <w:ilvl w:val="0"/>
                <w:numId w:val="11"/>
              </w:numPr>
              <w:spacing w:after="120"/>
            </w:pPr>
            <w:r w:rsidRPr="007314B0">
              <w:t xml:space="preserve">Avoir </w:t>
            </w:r>
            <w:proofErr w:type="gramStart"/>
            <w:r w:rsidRPr="007314B0">
              <w:t>recours</w:t>
            </w:r>
            <w:proofErr w:type="gramEnd"/>
            <w:r w:rsidRPr="007314B0">
              <w:t xml:space="preserve"> à la prophylaxie post-exposition (</w:t>
            </w:r>
            <w:r w:rsidR="008C7727" w:rsidRPr="007314B0">
              <w:t>PPE</w:t>
            </w:r>
            <w:r w:rsidR="00230BED" w:rsidRPr="007314B0">
              <w:t xml:space="preserve">) </w:t>
            </w:r>
            <w:r w:rsidRPr="007314B0">
              <w:t>le plus tôt possible, idéalement dans les 72 heures suivant une exposition potentielle au VIH</w:t>
            </w:r>
            <w:r w:rsidR="008C7727" w:rsidRPr="007314B0">
              <w:t> ;</w:t>
            </w:r>
          </w:p>
          <w:p w14:paraId="25A20ABC" w14:textId="1AB2A409" w:rsidR="00F93DC8" w:rsidRPr="007314B0" w:rsidRDefault="00F93DC8" w:rsidP="00765AF8">
            <w:pPr>
              <w:pStyle w:val="ListParagraph"/>
              <w:numPr>
                <w:ilvl w:val="0"/>
                <w:numId w:val="11"/>
              </w:numPr>
              <w:spacing w:after="120"/>
              <w:contextualSpacing w:val="0"/>
              <w:rPr>
                <w:rFonts w:cstheme="minorHAnsi"/>
              </w:rPr>
            </w:pPr>
            <w:r w:rsidRPr="007314B0">
              <w:t>Avoir d’autres types de rapports sexuels qui ne présentent aucun risque ou quasiment aucun risque de contracter le VIH (comme la masturbation mutuelle ou les relations buccogénitales)</w:t>
            </w:r>
            <w:r w:rsidR="008C7727" w:rsidRPr="007314B0">
              <w:t> ;</w:t>
            </w:r>
          </w:p>
          <w:p w14:paraId="5482A18B" w14:textId="0220323C" w:rsidR="00F93DC8" w:rsidRPr="007314B0" w:rsidRDefault="00F93DC8" w:rsidP="00765AF8">
            <w:pPr>
              <w:numPr>
                <w:ilvl w:val="0"/>
                <w:numId w:val="11"/>
              </w:numPr>
              <w:spacing w:after="120"/>
            </w:pPr>
            <w:r w:rsidRPr="007314B0">
              <w:t>Effectuer un dépistage, un diagnostic et un traitement pour d’autres IST (si elles ne sont pas traitées, elles peuvent augmenter le risque de contracter le VIH en cas d’exposition au virus)</w:t>
            </w:r>
            <w:r w:rsidR="008C7727" w:rsidRPr="007314B0">
              <w:t> ;</w:t>
            </w:r>
          </w:p>
          <w:p w14:paraId="327C23C5" w14:textId="6D9D97C2" w:rsidR="00F93DC8" w:rsidRPr="007314B0" w:rsidRDefault="00F93DC8" w:rsidP="00765AF8">
            <w:pPr>
              <w:numPr>
                <w:ilvl w:val="0"/>
                <w:numId w:val="11"/>
              </w:numPr>
              <w:spacing w:after="120"/>
              <w:rPr>
                <w:rFonts w:cstheme="minorHAnsi"/>
              </w:rPr>
            </w:pPr>
            <w:r w:rsidRPr="007314B0">
              <w:t>Se soumettre à une circoncision masculine médicale volontaire</w:t>
            </w:r>
            <w:r w:rsidR="008C7727" w:rsidRPr="007314B0">
              <w:t> ;</w:t>
            </w:r>
          </w:p>
          <w:p w14:paraId="5F7500F9" w14:textId="078F40C4" w:rsidR="00F93DC8" w:rsidRPr="007314B0" w:rsidRDefault="00C34F25" w:rsidP="00765AF8">
            <w:pPr>
              <w:numPr>
                <w:ilvl w:val="0"/>
                <w:numId w:val="11"/>
              </w:numPr>
              <w:spacing w:after="120"/>
              <w:rPr>
                <w:rFonts w:cstheme="minorHAnsi"/>
              </w:rPr>
            </w:pPr>
            <w:r w:rsidRPr="007314B0">
              <w:t>Avoir moins de partenaires sexuels</w:t>
            </w:r>
            <w:r w:rsidR="008C7727" w:rsidRPr="007314B0">
              <w:t> ;</w:t>
            </w:r>
          </w:p>
          <w:p w14:paraId="6802340B" w14:textId="3E8DC893" w:rsidR="00AC7CC7" w:rsidRPr="007314B0" w:rsidRDefault="00F93DC8" w:rsidP="00765AF8">
            <w:pPr>
              <w:numPr>
                <w:ilvl w:val="0"/>
                <w:numId w:val="11"/>
              </w:numPr>
              <w:spacing w:after="120"/>
              <w:rPr>
                <w:rFonts w:cstheme="minorHAnsi"/>
              </w:rPr>
            </w:pPr>
            <w:r w:rsidRPr="007314B0">
              <w:t>Accéder à des services de réduction des risques et de traitement de la toxicomanie</w:t>
            </w:r>
            <w:r w:rsidR="008C7727" w:rsidRPr="007314B0">
              <w:t> ;</w:t>
            </w:r>
            <w:r w:rsidRPr="007314B0">
              <w:t xml:space="preserve"> </w:t>
            </w:r>
          </w:p>
          <w:p w14:paraId="158123E0" w14:textId="0C53B688" w:rsidR="00F93DC8" w:rsidRPr="007314B0" w:rsidRDefault="00C34F25" w:rsidP="00765AF8">
            <w:pPr>
              <w:numPr>
                <w:ilvl w:val="0"/>
                <w:numId w:val="11"/>
              </w:numPr>
              <w:spacing w:after="120"/>
            </w:pPr>
            <w:r w:rsidRPr="007314B0">
              <w:t>S’assurer qu’un partenaire séropositif suit un traitement antirétroviral efficace depuis au moins six mois, que sa charge virale est indétectable et qu’il adhère au traitement ART</w:t>
            </w:r>
            <w:r w:rsidR="008C7727" w:rsidRPr="007314B0">
              <w:t>.</w:t>
            </w:r>
            <w:r w:rsidRPr="007314B0">
              <w:t xml:space="preserve"> </w:t>
            </w:r>
          </w:p>
        </w:tc>
      </w:tr>
      <w:tr w:rsidR="001130DE" w:rsidRPr="007314B0" w14:paraId="653C088A" w14:textId="77777777" w:rsidTr="56D00486">
        <w:trPr>
          <w:cantSplit/>
          <w:trHeight w:val="5984"/>
        </w:trPr>
        <w:tc>
          <w:tcPr>
            <w:tcW w:w="1843" w:type="dxa"/>
          </w:tcPr>
          <w:p w14:paraId="02F4CB1A" w14:textId="43109943" w:rsidR="001130DE" w:rsidRPr="007314B0" w:rsidRDefault="001130DE" w:rsidP="001130DE">
            <w:pPr>
              <w:spacing w:after="120"/>
              <w:rPr>
                <w:rFonts w:cstheme="minorHAnsi"/>
              </w:rPr>
            </w:pPr>
            <w:r w:rsidRPr="007314B0">
              <w:lastRenderedPageBreak/>
              <w:t>Visites de suivi </w:t>
            </w:r>
          </w:p>
        </w:tc>
        <w:tc>
          <w:tcPr>
            <w:tcW w:w="8682" w:type="dxa"/>
          </w:tcPr>
          <w:p w14:paraId="6ED4883D" w14:textId="47FCCAAD" w:rsidR="001130DE" w:rsidRPr="007314B0" w:rsidRDefault="2DF7A42F" w:rsidP="001130DE">
            <w:pPr>
              <w:spacing w:after="120"/>
            </w:pPr>
            <w:r w:rsidRPr="007314B0">
              <w:t xml:space="preserve">Les exigences en matière de visites de suivi varient selon la méthode choisie. Si vous décidez d’utiliser la PrEP orale ou l’anneau de PrEP, vous aurez généralement une autre visite après un mois, puis tous les trois mois. Si vous choisissez la CAB PrEP, vous aurez une autre visite </w:t>
            </w:r>
            <w:proofErr w:type="spellStart"/>
            <w:r w:rsidRPr="007314B0">
              <w:t>après</w:t>
            </w:r>
            <w:r w:rsidR="00A26400" w:rsidRPr="007314B0">
              <w:t>un</w:t>
            </w:r>
            <w:proofErr w:type="spellEnd"/>
            <w:r w:rsidR="00A26400" w:rsidRPr="007314B0">
              <w:t xml:space="preserve"> mois</w:t>
            </w:r>
            <w:r w:rsidRPr="007314B0">
              <w:t xml:space="preserve"> puis tous les</w:t>
            </w:r>
            <w:r w:rsidR="00A26400" w:rsidRPr="007314B0">
              <w:t xml:space="preserve"> deux </w:t>
            </w:r>
            <w:proofErr w:type="gramStart"/>
            <w:r w:rsidR="00A26400" w:rsidRPr="007314B0">
              <w:t>mois</w:t>
            </w:r>
            <w:r w:rsidRPr="007314B0">
              <w:t xml:space="preserve">  Il</w:t>
            </w:r>
            <w:proofErr w:type="gramEnd"/>
            <w:r w:rsidRPr="007314B0">
              <w:t xml:space="preserve"> est important que vous vous rendiez aux visites de suivi pour les raisons suivantes : </w:t>
            </w:r>
          </w:p>
          <w:p w14:paraId="6A7B7163" w14:textId="30071D4D" w:rsidR="001130DE" w:rsidRPr="007314B0" w:rsidRDefault="001130DE" w:rsidP="001130DE">
            <w:pPr>
              <w:numPr>
                <w:ilvl w:val="0"/>
                <w:numId w:val="12"/>
              </w:numPr>
              <w:spacing w:after="120"/>
              <w:rPr>
                <w:rFonts w:cstheme="minorHAnsi"/>
              </w:rPr>
            </w:pPr>
            <w:r w:rsidRPr="007314B0">
              <w:t>Obtenir un soutien pour une utilisation efficace et la gestion des effets secondaires et pour répondre aux préoccupations que vous pourriez avoir</w:t>
            </w:r>
            <w:r w:rsidR="008C7727" w:rsidRPr="007314B0">
              <w:t> ;</w:t>
            </w:r>
          </w:p>
          <w:p w14:paraId="1CB9CC17" w14:textId="3E20A2B9" w:rsidR="001130DE" w:rsidRPr="007314B0" w:rsidRDefault="001130DE" w:rsidP="001130DE">
            <w:pPr>
              <w:numPr>
                <w:ilvl w:val="0"/>
                <w:numId w:val="12"/>
              </w:numPr>
              <w:spacing w:after="120"/>
            </w:pPr>
            <w:r w:rsidRPr="007314B0">
              <w:t>Vérifier votre statut VIH et, s’il est positif, être orienté vers un traitement efficace. Si vous avez mal à la gorge, de la fièvre, des sueurs, des ganglions gonflés, des lésions buccales, des éruptions cutanées ou des douleurs musculaires entre cette visite et la prochaine, contactez-moi ou revenez ici pour une visite de suivi</w:t>
            </w:r>
            <w:r w:rsidR="008C7727" w:rsidRPr="007314B0">
              <w:t> ;</w:t>
            </w:r>
          </w:p>
          <w:p w14:paraId="1ED76221" w14:textId="5AA6789C" w:rsidR="001130DE" w:rsidRPr="007314B0" w:rsidRDefault="001130DE" w:rsidP="001130DE">
            <w:pPr>
              <w:numPr>
                <w:ilvl w:val="0"/>
                <w:numId w:val="12"/>
              </w:numPr>
              <w:spacing w:after="120"/>
              <w:rPr>
                <w:rFonts w:cstheme="minorHAnsi"/>
              </w:rPr>
            </w:pPr>
            <w:r w:rsidRPr="007314B0">
              <w:t>Réduire tout risque de résistance aux médicaments si vous contractez le VIH</w:t>
            </w:r>
            <w:r w:rsidR="00977776" w:rsidRPr="007314B0">
              <w:t>.</w:t>
            </w:r>
          </w:p>
          <w:p w14:paraId="48A69075" w14:textId="28D7D8FC" w:rsidR="00F93DC8" w:rsidRPr="007314B0" w:rsidRDefault="001130DE" w:rsidP="00F93DC8">
            <w:pPr>
              <w:spacing w:after="120"/>
            </w:pPr>
            <w:r w:rsidRPr="007314B0">
              <w:t>Avez-vous un déplacement prochainement ou prévoyez-vous d’autres difficultés qui vous empêcheraient de revenir régulièrement pour vos visites et dont nous pourrions discuter ou pour lesquelles je pourrais peut-être vous aider à vous organiser ?</w:t>
            </w:r>
          </w:p>
          <w:tbl>
            <w:tblPr>
              <w:tblW w:w="0" w:type="auto"/>
              <w:tblLook w:val="06A0" w:firstRow="1" w:lastRow="0" w:firstColumn="1" w:lastColumn="0" w:noHBand="1" w:noVBand="1"/>
            </w:tblPr>
            <w:tblGrid>
              <w:gridCol w:w="8460"/>
            </w:tblGrid>
            <w:tr w:rsidR="00F93DC8" w:rsidRPr="007314B0" w14:paraId="4B0551E7" w14:textId="77777777" w:rsidTr="00361799">
              <w:tc>
                <w:tcPr>
                  <w:tcW w:w="8460" w:type="dxa"/>
                  <w:shd w:val="clear" w:color="auto" w:fill="C5E0B3" w:themeFill="accent6" w:themeFillTint="66"/>
                </w:tcPr>
                <w:p w14:paraId="1DCE1725" w14:textId="157052A1" w:rsidR="00F93DC8" w:rsidRPr="007314B0" w:rsidRDefault="00F93DC8" w:rsidP="00F93DC8">
                  <w:r w:rsidRPr="007314B0">
                    <w:rPr>
                      <w:b/>
                      <w:bCs/>
                    </w:rPr>
                    <w:t>Point à prendre en compte :</w:t>
                  </w:r>
                  <w:r w:rsidRPr="007314B0">
                    <w:t xml:space="preserve"> De nombreux établissements appliquent des stratégies qui visent à réduire le nombre de visites de suivi pour les patients utilisant la PrEP tout en assurant un accès continu aux soins, y compris au dépistage du VIH. Ces stratégies peuvent inclure le déploiement d’agents de santé communautaires, de cliniques mobiles, de modèles de pharmacie, ainsi que le recours à l’autodiagnostic du VIH et bien d’autres stratégies. Cette section devra peut-être être modifiée en fonction de la manière dont la prestation de services différenciés pour les patients qui utilisent la PrEP est structurée dans votre pays. </w:t>
                  </w:r>
                </w:p>
              </w:tc>
            </w:tr>
          </w:tbl>
          <w:p w14:paraId="04204677" w14:textId="179BD659" w:rsidR="001130DE" w:rsidRPr="007314B0" w:rsidRDefault="001130DE" w:rsidP="001130DE">
            <w:pPr>
              <w:spacing w:after="120"/>
            </w:pPr>
          </w:p>
        </w:tc>
      </w:tr>
      <w:tr w:rsidR="001130DE" w:rsidRPr="007314B0" w14:paraId="7C03D019" w14:textId="77777777" w:rsidTr="56D00486">
        <w:trPr>
          <w:trHeight w:val="80"/>
        </w:trPr>
        <w:tc>
          <w:tcPr>
            <w:tcW w:w="10525" w:type="dxa"/>
            <w:gridSpan w:val="2"/>
            <w:shd w:val="clear" w:color="auto" w:fill="D9E2F3" w:themeFill="accent1" w:themeFillTint="33"/>
          </w:tcPr>
          <w:p w14:paraId="357C48DB" w14:textId="125A9346" w:rsidR="001130DE" w:rsidRPr="007314B0" w:rsidRDefault="001130DE" w:rsidP="001130DE">
            <w:pPr>
              <w:spacing w:after="120"/>
            </w:pPr>
            <w:r w:rsidRPr="007314B0">
              <w:rPr>
                <w:b/>
                <w:bCs/>
              </w:rPr>
              <w:t>NOTE AU PRESTATAIRE :</w:t>
            </w:r>
            <w:r w:rsidRPr="007314B0">
              <w:t xml:space="preserve"> Le patient dispose probablement </w:t>
            </w:r>
            <w:r w:rsidR="00977776" w:rsidRPr="007314B0">
              <w:t xml:space="preserve">maintenant </w:t>
            </w:r>
            <w:r w:rsidRPr="007314B0">
              <w:t>d’informations suffisantes pour décider, en connaissance de cause, s’il souhaite utiliser une méthode de PrEP ou non et, si oui, laquelle. Vous pouvez lui demander quelle méthode il préfère, le cas échéant, et quelles questions sont encore sans réponse, puis continuer avec les messages clés.</w:t>
            </w:r>
          </w:p>
        </w:tc>
      </w:tr>
      <w:tr w:rsidR="001130DE" w:rsidRPr="007314B0" w14:paraId="10DDD4D3" w14:textId="77777777" w:rsidTr="52CC4247">
        <w:trPr>
          <w:trHeight w:val="80"/>
        </w:trPr>
        <w:tc>
          <w:tcPr>
            <w:tcW w:w="1843" w:type="dxa"/>
          </w:tcPr>
          <w:p w14:paraId="1CE75FFA" w14:textId="77777777" w:rsidR="007E79C0" w:rsidRPr="007314B0" w:rsidRDefault="007E79C0" w:rsidP="001130DE">
            <w:pPr>
              <w:spacing w:after="120"/>
            </w:pPr>
          </w:p>
          <w:p w14:paraId="6BD98763" w14:textId="10BF7B3C" w:rsidR="001130DE" w:rsidRPr="007314B0" w:rsidRDefault="001130DE" w:rsidP="001130DE">
            <w:pPr>
              <w:spacing w:after="120"/>
            </w:pPr>
            <w:r w:rsidRPr="007314B0">
              <w:t>Arrêter d’utiliser la PrEP</w:t>
            </w:r>
          </w:p>
        </w:tc>
        <w:tc>
          <w:tcPr>
            <w:tcW w:w="8682" w:type="dxa"/>
          </w:tcPr>
          <w:p w14:paraId="21995D44" w14:textId="77777777" w:rsidR="007E79C0" w:rsidRPr="007314B0" w:rsidRDefault="007E79C0" w:rsidP="001130DE">
            <w:pPr>
              <w:spacing w:after="120"/>
            </w:pPr>
          </w:p>
          <w:p w14:paraId="1C410F68" w14:textId="0733865B" w:rsidR="001130DE" w:rsidRPr="007314B0" w:rsidRDefault="001130DE" w:rsidP="001130DE">
            <w:pPr>
              <w:spacing w:after="120"/>
            </w:pPr>
            <w:r w:rsidRPr="007314B0">
              <w:t>Comme nous l’avons déjà indiqué, la PrEP est rarement utilisée à vie. La durée de l’utilisation de la PrEP peut varier, et vous pouvez commencer à utiliser la PrEP puis l’arrêter en fonction des expositions potentielles au VIH pendant différentes périodes de votre vie, y compris des changements dans vos relations ou vos comportements. Si vous souhaitez arrêter la PrEP pour une durée indéterminée, il pertinent de me le faire savoir afin que nous puissions discuter des étapes à suivre en fonction de la méthode que vous avez choisie. Si vous décidez de reprendre la PrEP ultérieurement, vous pouvez revenir et nous pourrons alors discuter des étapes à suivre à ce moment-là.</w:t>
            </w:r>
          </w:p>
          <w:p w14:paraId="132BC2D3" w14:textId="0960CED8" w:rsidR="001130DE" w:rsidRPr="007314B0" w:rsidRDefault="001130DE" w:rsidP="001130DE">
            <w:pPr>
              <w:spacing w:after="120"/>
            </w:pPr>
            <w:r w:rsidRPr="007314B0">
              <w:rPr>
                <w:b/>
              </w:rPr>
              <w:t xml:space="preserve">NOTE AU PRESTATAIRE : </w:t>
            </w:r>
            <w:r w:rsidRPr="007314B0">
              <w:t>Assurez-vous d’informer les patients sur toute utilisation post-exposition de la PrEP qui s’applique à la méthode choisie afin qu’ils puissent arrêter efficacement l’utilisation de la PrEP. Encouragez les contacts continus avec les services et pour les stratégies approprié</w:t>
            </w:r>
            <w:r w:rsidR="00293752" w:rsidRPr="007314B0">
              <w:t>e</w:t>
            </w:r>
            <w:r w:rsidRPr="007314B0">
              <w:t xml:space="preserve">s de prévention du VIH et de contraception, selon les besoins. Ceux qui souffrent d’hépatite B et qui utilisent la PrEP orale doivent être orientés vers des services de prise en charge et de traitement, car l’arrêt de la PrEP orale a des implications sur la prise en charge de la maladie. </w:t>
            </w:r>
          </w:p>
        </w:tc>
      </w:tr>
      <w:tr w:rsidR="001130DE" w:rsidRPr="007314B0" w14:paraId="42FC43E8" w14:textId="77777777" w:rsidTr="56D00486">
        <w:trPr>
          <w:cantSplit/>
          <w:trHeight w:val="80"/>
        </w:trPr>
        <w:tc>
          <w:tcPr>
            <w:tcW w:w="1843" w:type="dxa"/>
          </w:tcPr>
          <w:p w14:paraId="535ECD5A" w14:textId="2C4526D2" w:rsidR="001130DE" w:rsidRPr="007314B0" w:rsidRDefault="001130DE" w:rsidP="001130DE">
            <w:pPr>
              <w:spacing w:after="120"/>
              <w:rPr>
                <w:rFonts w:cstheme="minorHAnsi"/>
              </w:rPr>
            </w:pPr>
            <w:r w:rsidRPr="007314B0">
              <w:lastRenderedPageBreak/>
              <w:t>Divulgation au partenaire</w:t>
            </w:r>
          </w:p>
        </w:tc>
        <w:tc>
          <w:tcPr>
            <w:tcW w:w="8682" w:type="dxa"/>
          </w:tcPr>
          <w:p w14:paraId="3535203E" w14:textId="649A167A" w:rsidR="001130DE" w:rsidRPr="007314B0" w:rsidRDefault="001130DE" w:rsidP="001130DE">
            <w:pPr>
              <w:spacing w:after="120"/>
            </w:pPr>
            <w:r w:rsidRPr="007314B0">
              <w:t>Les personnes ont différentes raisons de faire</w:t>
            </w:r>
            <w:r w:rsidR="00293752" w:rsidRPr="007314B0">
              <w:t>-</w:t>
            </w:r>
            <w:r w:rsidRPr="007314B0">
              <w:t>part ou non de leur utilisation de la PrEP à leur(s) partenaire(s)</w:t>
            </w:r>
            <w:r w:rsidR="00A70ED1" w:rsidRPr="007314B0">
              <w:t>.</w:t>
            </w:r>
            <w:r w:rsidRPr="007314B0">
              <w:t xml:space="preserve"> En général, celles qui peuvent divulguer à leurs partenaires qu’elles utilisent la PrEP peuvent aussi l’utiliser plus efficacement. Si vous le souhaitez, nous pouvons discuter ensemble de ce que vous pensez sur le fait de divulguer ou non que vous </w:t>
            </w:r>
            <w:proofErr w:type="gramStart"/>
            <w:r w:rsidRPr="007314B0">
              <w:t>utilisez</w:t>
            </w:r>
            <w:proofErr w:type="gramEnd"/>
            <w:r w:rsidRPr="007314B0">
              <w:t xml:space="preserve"> la PrEP. Si vous choisissez de ne pas le dire à votre partenaire, nous pouvons également discuter d’un plan au cas où votre partenaire </w:t>
            </w:r>
            <w:r w:rsidR="00A70ED1" w:rsidRPr="007314B0">
              <w:t>viendrait</w:t>
            </w:r>
            <w:r w:rsidRPr="007314B0">
              <w:t xml:space="preserve"> à </w:t>
            </w:r>
            <w:r w:rsidR="00A70ED1" w:rsidRPr="007314B0">
              <w:t>découvrir</w:t>
            </w:r>
            <w:r w:rsidRPr="007314B0">
              <w:t xml:space="preserve"> que vous </w:t>
            </w:r>
            <w:r w:rsidR="00A70ED1" w:rsidRPr="007314B0">
              <w:t>l’</w:t>
            </w:r>
            <w:r w:rsidRPr="007314B0">
              <w:t>utilisez.</w:t>
            </w:r>
          </w:p>
          <w:p w14:paraId="28BA2851" w14:textId="4D143F17" w:rsidR="001130DE" w:rsidRPr="007314B0" w:rsidRDefault="001130DE" w:rsidP="002E6EFB">
            <w:pPr>
              <w:pBdr>
                <w:top w:val="nil"/>
                <w:left w:val="nil"/>
                <w:bottom w:val="nil"/>
                <w:right w:val="nil"/>
                <w:between w:val="nil"/>
              </w:pBdr>
              <w:spacing w:after="120"/>
            </w:pPr>
            <w:r w:rsidRPr="007314B0">
              <w:rPr>
                <w:b/>
              </w:rPr>
              <w:t xml:space="preserve">NOTE AU PRESTATAIRE : </w:t>
            </w:r>
            <w:r w:rsidRPr="007314B0">
              <w:t xml:space="preserve">Évaluez l’expérience du patient en matière de violence basée sur le genre (VBG), y compris la violence du partenaire intime (VPI). </w:t>
            </w:r>
            <w:r w:rsidRPr="007314B0">
              <w:rPr>
                <w:color w:val="000000" w:themeColor="text1"/>
              </w:rPr>
              <w:t xml:space="preserve">Si le patient révèle avoir été victime de VBG ou risque de l’être, y compris de VPI, apportez-lui un soutien de première ligne et orientez-le vers les services appropriés. Discutez de l’impact que la violence et la peur de la violence ont sur l’exposition potentielle au VIH et les comportements de prévention, et discutez de la façon de rester en sécurité et de se protéger dans le contexte de la ou des relations. </w:t>
            </w:r>
            <w:r w:rsidRPr="007314B0">
              <w:t xml:space="preserve">La nature discrète de l’anneau ou de la CAB PrEP en font des options pour les patientes concernées par la VPI, mais celles qui ne souhaitent pas parler de leur anneau à leur(s) partenaire(s) sexuel(s) doivent être informées sur le fait qu’un partenaire peut sentir l’anneau pendant les rapports sexuels et elles doivent recevoir une aide pour un plan à appliquer si cela devait se produire. De même, les patients qui ne souhaitent pas dévoiler qu’ils utilisent la CAB PrEP doivent être informés qu’il peut y avoir des réactions visibles au site d’injection et ils doivent recevoir une aide pour un plan à appliquer si cela devait se produire. </w:t>
            </w:r>
          </w:p>
          <w:p w14:paraId="76F8D47A" w14:textId="3B3B72D1" w:rsidR="001130DE" w:rsidRPr="007314B0" w:rsidRDefault="00FF18E5" w:rsidP="002E6EFB">
            <w:pPr>
              <w:pBdr>
                <w:top w:val="nil"/>
                <w:left w:val="nil"/>
                <w:bottom w:val="nil"/>
                <w:right w:val="nil"/>
                <w:between w:val="nil"/>
              </w:pBdr>
              <w:spacing w:after="120"/>
            </w:pPr>
            <w:r w:rsidRPr="007314B0">
              <w:t>Les outils de soutien LIVES (</w:t>
            </w:r>
            <w:proofErr w:type="spellStart"/>
            <w:r w:rsidRPr="007314B0">
              <w:t>Listen</w:t>
            </w:r>
            <w:proofErr w:type="spellEnd"/>
            <w:r w:rsidRPr="007314B0">
              <w:t xml:space="preserve"> [écouter], </w:t>
            </w:r>
            <w:proofErr w:type="spellStart"/>
            <w:r w:rsidRPr="007314B0">
              <w:t>Inquire</w:t>
            </w:r>
            <w:proofErr w:type="spellEnd"/>
            <w:r w:rsidRPr="007314B0">
              <w:t xml:space="preserve"> [</w:t>
            </w:r>
            <w:r w:rsidR="006F0C4E" w:rsidRPr="007314B0">
              <w:t>se renseigner</w:t>
            </w:r>
            <w:r w:rsidRPr="007314B0">
              <w:t xml:space="preserve">], </w:t>
            </w:r>
            <w:proofErr w:type="spellStart"/>
            <w:r w:rsidRPr="007314B0">
              <w:t>Validate</w:t>
            </w:r>
            <w:proofErr w:type="spellEnd"/>
            <w:r w:rsidRPr="007314B0">
              <w:t xml:space="preserve"> [valider], </w:t>
            </w:r>
            <w:proofErr w:type="spellStart"/>
            <w:r w:rsidRPr="007314B0">
              <w:t>Enhance</w:t>
            </w:r>
            <w:proofErr w:type="spellEnd"/>
            <w:r w:rsidRPr="007314B0">
              <w:t xml:space="preserve"> </w:t>
            </w:r>
            <w:proofErr w:type="spellStart"/>
            <w:r w:rsidRPr="007314B0">
              <w:t>safety</w:t>
            </w:r>
            <w:proofErr w:type="spellEnd"/>
            <w:r w:rsidRPr="007314B0">
              <w:t xml:space="preserve"> [améliorer la sécurité] </w:t>
            </w:r>
            <w:r w:rsidR="006F0C4E" w:rsidRPr="007314B0">
              <w:t xml:space="preserve">and Support </w:t>
            </w:r>
            <w:r w:rsidRPr="007314B0">
              <w:t xml:space="preserve">[soutenir]) pour les demandes de renseignements de routine sont disponibles </w:t>
            </w:r>
            <w:hyperlink r:id="rId41" w:history="1">
              <w:r w:rsidRPr="007314B0">
                <w:rPr>
                  <w:rStyle w:val="Hyperlink"/>
                </w:rPr>
                <w:t>ici</w:t>
              </w:r>
            </w:hyperlink>
            <w:r w:rsidRPr="007314B0">
              <w:t xml:space="preserve">. Même si l’aide-mémoire parle de la PrEP orale, il est applicable aux patients qui utilisent toute méthode de PrEP. </w:t>
            </w:r>
          </w:p>
        </w:tc>
      </w:tr>
      <w:tr w:rsidR="001130DE" w:rsidRPr="007314B0" w14:paraId="3B5EE8F9" w14:textId="77777777" w:rsidTr="56D00486">
        <w:trPr>
          <w:cantSplit/>
          <w:trHeight w:val="80"/>
        </w:trPr>
        <w:tc>
          <w:tcPr>
            <w:tcW w:w="10525" w:type="dxa"/>
            <w:gridSpan w:val="2"/>
            <w:shd w:val="clear" w:color="auto" w:fill="D9E2F3" w:themeFill="accent1" w:themeFillTint="33"/>
          </w:tcPr>
          <w:p w14:paraId="6E2C7A5B" w14:textId="1C1DBFAF" w:rsidR="001130DE" w:rsidRPr="007314B0" w:rsidRDefault="001130DE" w:rsidP="001130DE">
            <w:pPr>
              <w:spacing w:after="120"/>
              <w:jc w:val="center"/>
            </w:pPr>
            <w:r w:rsidRPr="007314B0">
              <w:rPr>
                <w:b/>
              </w:rPr>
              <w:t>POUR LES PATIENTS QUI CHOISISSENT LA PrEP ORALE</w:t>
            </w:r>
          </w:p>
        </w:tc>
      </w:tr>
      <w:tr w:rsidR="001130DE" w:rsidRPr="007314B0" w14:paraId="68CBC191" w14:textId="77777777" w:rsidTr="56D00486">
        <w:trPr>
          <w:cantSplit/>
          <w:trHeight w:val="80"/>
        </w:trPr>
        <w:tc>
          <w:tcPr>
            <w:tcW w:w="1843" w:type="dxa"/>
          </w:tcPr>
          <w:p w14:paraId="209C19B6" w14:textId="517D8C08" w:rsidR="001130DE" w:rsidRPr="007314B0" w:rsidRDefault="001130DE" w:rsidP="001130DE">
            <w:pPr>
              <w:spacing w:after="120"/>
              <w:rPr>
                <w:rFonts w:cstheme="minorHAnsi"/>
              </w:rPr>
            </w:pPr>
            <w:r w:rsidRPr="007314B0">
              <w:t>Soutenir une utilisation efficace</w:t>
            </w:r>
          </w:p>
        </w:tc>
        <w:tc>
          <w:tcPr>
            <w:tcW w:w="8682" w:type="dxa"/>
          </w:tcPr>
          <w:p w14:paraId="0B05B662" w14:textId="09F5BA76" w:rsidR="001130DE" w:rsidRPr="007314B0" w:rsidRDefault="001130DE" w:rsidP="001130DE">
            <w:pPr>
              <w:spacing w:after="120"/>
            </w:pPr>
            <w:r w:rsidRPr="007314B0">
              <w:t>Pendant les périodes d’exposition potentielle au VIH ou lorsqu’il existe des risques, certaines personnes trouvent qu’il est plus facile de se souvenir de prendre la PrEP orale si elles l’intègrent dans une routine quotidienne et la prennent à la même heure chaque jour. Par exemple, vous pouvez prendre la PrEP orale (ou envisager de prendre la PrEP orale si vous utilisez une ED-PrEP) lorsque vous vous brossez les dents (le matin ou le soir), regardez votre émission de télévision préférée ou écoutez votre programme radio préféré. Associer la prise de la PrEP orale à une activité régulière que vous appréciez est particulièrement utile. D’autres stratégies potentielles comprennent :</w:t>
            </w:r>
          </w:p>
          <w:p w14:paraId="32AAA7F7" w14:textId="0A4A03E2" w:rsidR="0112D427" w:rsidRPr="007314B0" w:rsidRDefault="00386AE7" w:rsidP="0081392A">
            <w:pPr>
              <w:pStyle w:val="ListParagraph"/>
              <w:numPr>
                <w:ilvl w:val="0"/>
                <w:numId w:val="41"/>
              </w:numPr>
              <w:spacing w:after="120"/>
            </w:pPr>
            <w:r w:rsidRPr="007314B0">
              <w:t>Prendre la PrEP orale avec de la nourriture ou le soir pour éviter la nausée</w:t>
            </w:r>
            <w:r w:rsidR="00E37655" w:rsidRPr="007314B0">
              <w:t> </w:t>
            </w:r>
            <w:r w:rsidRPr="007314B0">
              <w:t xml:space="preserve">  </w:t>
            </w:r>
          </w:p>
          <w:p w14:paraId="667D91EB" w14:textId="5483B9E3" w:rsidR="00147D7A" w:rsidRPr="007314B0" w:rsidRDefault="0112D427" w:rsidP="001130DE">
            <w:pPr>
              <w:pStyle w:val="ListParagraph"/>
              <w:numPr>
                <w:ilvl w:val="0"/>
                <w:numId w:val="41"/>
              </w:numPr>
              <w:spacing w:after="120"/>
            </w:pPr>
            <w:r w:rsidRPr="007314B0">
              <w:t>Utiliser des boîtes à pilules pour se déplacer avec des comprimés supplémentaires à utiliser dans les 7 jours de préférence</w:t>
            </w:r>
            <w:r w:rsidR="00E37655" w:rsidRPr="007314B0">
              <w:t> </w:t>
            </w:r>
          </w:p>
          <w:p w14:paraId="64A9DE5F" w14:textId="109EB9D3" w:rsidR="0081392A" w:rsidRPr="007314B0" w:rsidRDefault="0112D427" w:rsidP="001130DE">
            <w:pPr>
              <w:pStyle w:val="ListParagraph"/>
              <w:numPr>
                <w:ilvl w:val="0"/>
                <w:numId w:val="41"/>
              </w:numPr>
              <w:spacing w:after="120"/>
            </w:pPr>
            <w:r w:rsidRPr="007314B0">
              <w:t xml:space="preserve">Rejoindre ou créer un groupe de soutien en personne ou virtuel avec des amis ou pour entrer en contact avec d’autres personnes qui peuvent aider </w:t>
            </w:r>
            <w:r w:rsidR="006B2417" w:rsidRPr="007314B0">
              <w:t>à</w:t>
            </w:r>
            <w:r w:rsidRPr="007314B0">
              <w:t xml:space="preserve"> utiliser efficacement la PrEP orale</w:t>
            </w:r>
          </w:p>
          <w:p w14:paraId="1F931650" w14:textId="691F54AF" w:rsidR="001130DE" w:rsidRPr="007314B0" w:rsidRDefault="001130DE" w:rsidP="001130DE">
            <w:pPr>
              <w:spacing w:after="120"/>
            </w:pPr>
            <w:r w:rsidRPr="007314B0">
              <w:rPr>
                <w:i/>
              </w:rPr>
              <w:t xml:space="preserve">Quels défis prévoyez-vous rencontrer pour la prise de la PrEP orale telle qu’elle vous est prescrite et pour lesquels je pourrais peut-être vous aider à trouver des solutions ? (Les prestataires devraient évaluer et mettre l’accent sur une utilisation efficace et des rappels de prise de médicaments spécifiques à chacun. Cela peut aussi être un moment approprié pour évaluer la possibilité de violence basée sur le genre </w:t>
            </w:r>
            <w:r w:rsidR="006B2417" w:rsidRPr="007314B0">
              <w:rPr>
                <w:i/>
              </w:rPr>
              <w:t>ou du</w:t>
            </w:r>
            <w:r w:rsidRPr="007314B0">
              <w:rPr>
                <w:i/>
              </w:rPr>
              <w:t xml:space="preserve"> partenaire intime).</w:t>
            </w:r>
          </w:p>
        </w:tc>
      </w:tr>
      <w:tr w:rsidR="006C3A92" w:rsidRPr="007314B0" w14:paraId="59E6B88B" w14:textId="77777777" w:rsidTr="56D00486">
        <w:trPr>
          <w:cantSplit/>
          <w:trHeight w:val="80"/>
        </w:trPr>
        <w:tc>
          <w:tcPr>
            <w:tcW w:w="1843" w:type="dxa"/>
          </w:tcPr>
          <w:p w14:paraId="2888C4B2" w14:textId="1C022B36" w:rsidR="006C3A92" w:rsidRPr="007314B0" w:rsidRDefault="006C3A92" w:rsidP="006C3A92">
            <w:pPr>
              <w:spacing w:after="120"/>
              <w:rPr>
                <w:rFonts w:cstheme="minorHAnsi"/>
              </w:rPr>
            </w:pPr>
            <w:r w:rsidRPr="007314B0">
              <w:lastRenderedPageBreak/>
              <w:t>Conservation de la PrEP orale</w:t>
            </w:r>
          </w:p>
        </w:tc>
        <w:tc>
          <w:tcPr>
            <w:tcW w:w="8682" w:type="dxa"/>
          </w:tcPr>
          <w:p w14:paraId="21EE9C16" w14:textId="6A16021E" w:rsidR="006C3A92" w:rsidRPr="007314B0" w:rsidRDefault="006C3A92" w:rsidP="006C3A92">
            <w:pPr>
              <w:spacing w:after="120"/>
            </w:pPr>
            <w:r w:rsidRPr="007314B0">
              <w:rPr>
                <w:color w:val="000000"/>
              </w:rPr>
              <w:t>La PrEP orale est à conserver dans son emballage d’origine (si possible), dans un endroit frais et sec, hors de portée des enfants et de tout animal domestique ou autre, et à l’abri de la lumière directe du soleil. Il n’est pas nécessaire de la réfrigérer. Vérifiez la date de péremption qui figure sur l’emballage.</w:t>
            </w:r>
          </w:p>
        </w:tc>
      </w:tr>
      <w:tr w:rsidR="006C3A92" w:rsidRPr="007314B0" w14:paraId="2E463F0A" w14:textId="77777777" w:rsidTr="56D00486">
        <w:trPr>
          <w:trHeight w:val="80"/>
        </w:trPr>
        <w:tc>
          <w:tcPr>
            <w:tcW w:w="10525" w:type="dxa"/>
            <w:gridSpan w:val="2"/>
            <w:shd w:val="clear" w:color="auto" w:fill="8EAADB" w:themeFill="accent1" w:themeFillTint="99"/>
          </w:tcPr>
          <w:p w14:paraId="1E794B30" w14:textId="245D0037" w:rsidR="006C3A92" w:rsidRPr="007314B0" w:rsidRDefault="006C3A92" w:rsidP="006C3A92">
            <w:pPr>
              <w:spacing w:after="120"/>
              <w:jc w:val="center"/>
              <w:rPr>
                <w:b/>
              </w:rPr>
            </w:pPr>
            <w:r w:rsidRPr="007314B0">
              <w:rPr>
                <w:b/>
              </w:rPr>
              <w:t>POUR LES PATIENTS QUI CHOISISSENT LA PrEP ORALE QUOTIDIENNE</w:t>
            </w:r>
          </w:p>
        </w:tc>
      </w:tr>
      <w:tr w:rsidR="006C3A92" w:rsidRPr="007314B0" w14:paraId="39ABF26A" w14:textId="77777777" w:rsidTr="52CC4247">
        <w:trPr>
          <w:trHeight w:val="80"/>
        </w:trPr>
        <w:tc>
          <w:tcPr>
            <w:tcW w:w="1843" w:type="dxa"/>
          </w:tcPr>
          <w:p w14:paraId="5E7C72EA" w14:textId="67D61A10" w:rsidR="006C3A92" w:rsidRPr="007314B0" w:rsidRDefault="006C3A92" w:rsidP="006C3A92">
            <w:pPr>
              <w:spacing w:after="120"/>
            </w:pPr>
            <w:r w:rsidRPr="007314B0">
              <w:t>Dose quotidienne de</w:t>
            </w:r>
            <w:r w:rsidR="00A70ED1" w:rsidRPr="007314B0">
              <w:t xml:space="preserve"> </w:t>
            </w:r>
            <w:r w:rsidRPr="007314B0">
              <w:t>PrEP orale oubliée</w:t>
            </w:r>
          </w:p>
        </w:tc>
        <w:tc>
          <w:tcPr>
            <w:tcW w:w="8682" w:type="dxa"/>
          </w:tcPr>
          <w:p w14:paraId="67516C13" w14:textId="4E01BFEB" w:rsidR="006C3A92" w:rsidRPr="007314B0" w:rsidRDefault="006C3A92" w:rsidP="006C3A92">
            <w:pPr>
              <w:spacing w:after="120"/>
            </w:pPr>
            <w:r w:rsidRPr="007314B0">
              <w:t>Si vous oubliez de prendre un comprimé ou si vous manquez une dose, prenez-la dès que vous vous en rendez compte. Par exemple, si vous prenez habituellement la PrEP orale le matin mais que vous vous rendez compte à 22 heures ou le lendemain que vous avez oublié de la prendre, vous pouvez prendre votre comprimé à ce moment-là et prendre le suivant à l’heure habituelle le lendemain matin. Si vous l’oubliez plus d’une fois par semaine, revenez ici ou contactez rapidement quelqu’un ici et nous pourrons discuter de ce qu’il faut faire.</w:t>
            </w:r>
          </w:p>
        </w:tc>
      </w:tr>
      <w:tr w:rsidR="006C3A92" w:rsidRPr="007314B0" w14:paraId="3673CBE9" w14:textId="77777777" w:rsidTr="56D00486">
        <w:trPr>
          <w:trHeight w:val="80"/>
        </w:trPr>
        <w:tc>
          <w:tcPr>
            <w:tcW w:w="10525" w:type="dxa"/>
            <w:gridSpan w:val="2"/>
            <w:shd w:val="clear" w:color="auto" w:fill="8EAADB" w:themeFill="accent1" w:themeFillTint="99"/>
          </w:tcPr>
          <w:p w14:paraId="76D3CD31" w14:textId="3D577446" w:rsidR="006C3A92" w:rsidRPr="007314B0" w:rsidRDefault="006C3A92" w:rsidP="006C3A92">
            <w:pPr>
              <w:spacing w:after="120"/>
              <w:jc w:val="center"/>
              <w:rPr>
                <w:b/>
              </w:rPr>
            </w:pPr>
            <w:r w:rsidRPr="007314B0">
              <w:rPr>
                <w:b/>
              </w:rPr>
              <w:t>POUR LES PATIENTS QUI SOUHAITENT UTILISER L’ED-PrEP</w:t>
            </w:r>
          </w:p>
        </w:tc>
      </w:tr>
      <w:tr w:rsidR="006C3A92" w:rsidRPr="007314B0" w14:paraId="555B25C2" w14:textId="77777777" w:rsidTr="52CC4247">
        <w:trPr>
          <w:trHeight w:val="215"/>
        </w:trPr>
        <w:tc>
          <w:tcPr>
            <w:tcW w:w="1843" w:type="dxa"/>
          </w:tcPr>
          <w:p w14:paraId="460CE38B" w14:textId="11354F2D" w:rsidR="006C3A92" w:rsidRPr="007314B0" w:rsidRDefault="006C3A92" w:rsidP="006C3A92">
            <w:pPr>
              <w:spacing w:after="120"/>
            </w:pPr>
            <w:r w:rsidRPr="007314B0">
              <w:t>Dose de charge d’ED-PrEP </w:t>
            </w:r>
          </w:p>
        </w:tc>
        <w:tc>
          <w:tcPr>
            <w:tcW w:w="8682" w:type="dxa"/>
          </w:tcPr>
          <w:p w14:paraId="2C86BE38" w14:textId="029C51D7" w:rsidR="006C3A92" w:rsidRPr="007314B0" w:rsidRDefault="006C3A92" w:rsidP="006C3A92">
            <w:pPr>
              <w:spacing w:after="120"/>
              <w:rPr>
                <w:rFonts w:cstheme="minorHAnsi"/>
              </w:rPr>
            </w:pPr>
            <w:r w:rsidRPr="007314B0">
              <w:t>Si vous prévoyez d’avoir des rapports sexuels moins de deux heures après la prise de l’ED-PrEP, prenez la dose de charge et essayez de reporter les rapports de deux heures. Cependant, si vous ne prenez PAS la dose de charge au moins deux heures avant d’avoir des rapports sexuels et que vous ne pouvez pas les reporter à plus tard, vous pourriez : </w:t>
            </w:r>
          </w:p>
          <w:p w14:paraId="483C2D08" w14:textId="523BDEA9" w:rsidR="006C3A92" w:rsidRPr="007314B0" w:rsidRDefault="006C3A92" w:rsidP="006C3A92">
            <w:pPr>
              <w:numPr>
                <w:ilvl w:val="0"/>
                <w:numId w:val="13"/>
              </w:numPr>
              <w:spacing w:after="120"/>
              <w:rPr>
                <w:rFonts w:cstheme="minorHAnsi"/>
              </w:rPr>
            </w:pPr>
            <w:r w:rsidRPr="007314B0">
              <w:t xml:space="preserve">Utiliser un préservatif et un lubrifiant compatible avec le préservatif </w:t>
            </w:r>
          </w:p>
          <w:p w14:paraId="479858B5" w14:textId="5DD9D3FB" w:rsidR="006C3A92" w:rsidRPr="007314B0" w:rsidRDefault="006C3A92" w:rsidP="006C3A92">
            <w:pPr>
              <w:numPr>
                <w:ilvl w:val="0"/>
                <w:numId w:val="13"/>
              </w:numPr>
              <w:spacing w:after="120"/>
              <w:rPr>
                <w:rFonts w:cstheme="minorHAnsi"/>
              </w:rPr>
            </w:pPr>
            <w:r w:rsidRPr="007314B0">
              <w:t>Avoir d’autres types de rapports sexuels qui ne présentent aucun risque ou quasiment aucun risque de contracter le VIH (comme la masturbation mutuelle ou les relations buccogénitales)</w:t>
            </w:r>
          </w:p>
          <w:p w14:paraId="77821B38" w14:textId="743366F6" w:rsidR="006C3A92" w:rsidRPr="007314B0" w:rsidRDefault="006C3A92" w:rsidP="006C3A92">
            <w:pPr>
              <w:spacing w:after="120"/>
            </w:pPr>
            <w:r w:rsidRPr="007314B0">
              <w:t xml:space="preserve">Si vous avez des rapports sexuels avant la fin de la période d’attente de deux heures et que vous n’utilisez pas de préservatif, il est alors possible que vous soyez un candidat pour un traitement de </w:t>
            </w:r>
            <w:r w:rsidR="00E37655" w:rsidRPr="007314B0">
              <w:t>PPE</w:t>
            </w:r>
            <w:r w:rsidRPr="007314B0">
              <w:t xml:space="preserve"> de 28 jours, selon les facteurs donnés (conformément aux directives nationales).</w:t>
            </w:r>
          </w:p>
        </w:tc>
      </w:tr>
      <w:tr w:rsidR="006C3A92" w:rsidRPr="007314B0" w14:paraId="17AEC353" w14:textId="77777777" w:rsidTr="52CC4247">
        <w:trPr>
          <w:trHeight w:val="980"/>
        </w:trPr>
        <w:tc>
          <w:tcPr>
            <w:tcW w:w="1843" w:type="dxa"/>
          </w:tcPr>
          <w:p w14:paraId="2852610F" w14:textId="4D5B3132" w:rsidR="006C3A92" w:rsidRPr="007314B0" w:rsidRDefault="006C3A92" w:rsidP="006C3A92">
            <w:pPr>
              <w:spacing w:after="120"/>
              <w:rPr>
                <w:sz w:val="24"/>
                <w:szCs w:val="24"/>
                <w:lang w:val="en-US"/>
              </w:rPr>
            </w:pPr>
            <w:r w:rsidRPr="007314B0">
              <w:rPr>
                <w:lang w:val="en-US"/>
              </w:rPr>
              <w:t xml:space="preserve">Dose(s) </w:t>
            </w:r>
            <w:proofErr w:type="spellStart"/>
            <w:r w:rsidRPr="007314B0">
              <w:rPr>
                <w:lang w:val="en-US"/>
              </w:rPr>
              <w:t>manquée</w:t>
            </w:r>
            <w:proofErr w:type="spellEnd"/>
            <w:r w:rsidRPr="007314B0">
              <w:rPr>
                <w:lang w:val="en-US"/>
              </w:rPr>
              <w:t xml:space="preserve">(s) </w:t>
            </w:r>
            <w:proofErr w:type="spellStart"/>
            <w:r w:rsidRPr="007314B0">
              <w:rPr>
                <w:lang w:val="en-US"/>
              </w:rPr>
              <w:t>d’ED</w:t>
            </w:r>
            <w:proofErr w:type="spellEnd"/>
            <w:r w:rsidRPr="007314B0">
              <w:rPr>
                <w:lang w:val="en-US"/>
              </w:rPr>
              <w:t>-PrEP </w:t>
            </w:r>
          </w:p>
        </w:tc>
        <w:tc>
          <w:tcPr>
            <w:tcW w:w="8682" w:type="dxa"/>
          </w:tcPr>
          <w:p w14:paraId="5E32ED0C" w14:textId="52AE8BD2" w:rsidR="006C3A92" w:rsidRPr="007314B0" w:rsidRDefault="006C3A92" w:rsidP="006C3A92">
            <w:pPr>
              <w:spacing w:after="120"/>
            </w:pPr>
            <w:r w:rsidRPr="007314B0">
              <w:t xml:space="preserve">Si vous oubliez de prendre une dose d’ED-PrEP (de charge ou après un rapport sexuel), il est alors possible que vous soyez un candidat pour un traitement de </w:t>
            </w:r>
            <w:r w:rsidR="00E37655" w:rsidRPr="007314B0">
              <w:t>PPE</w:t>
            </w:r>
            <w:r w:rsidRPr="007314B0">
              <w:t xml:space="preserve"> de 28 jours, conformément aux directives nationales. </w:t>
            </w:r>
          </w:p>
          <w:p w14:paraId="3B1E6252" w14:textId="64623919" w:rsidR="006C3A92" w:rsidRPr="007314B0" w:rsidRDefault="006C3A92" w:rsidP="006C3A92">
            <w:pPr>
              <w:spacing w:after="120"/>
              <w:rPr>
                <w:rFonts w:cstheme="minorHAnsi"/>
                <w:sz w:val="24"/>
                <w:szCs w:val="24"/>
              </w:rPr>
            </w:pPr>
            <w:r w:rsidRPr="007314B0">
              <w:rPr>
                <w:b/>
                <w:bCs/>
              </w:rPr>
              <w:t>NOTE AU PRESTATAIRE :</w:t>
            </w:r>
            <w:r w:rsidRPr="007314B0">
              <w:t xml:space="preserve"> Comme le moment et le type d’événement sexuel varient pour chaque patient par rapport au moment de l’oubli de la ou des doses, les cas nécessiteront une décision individuelle et le meilleur jugement clinique. </w:t>
            </w:r>
          </w:p>
        </w:tc>
      </w:tr>
      <w:tr w:rsidR="006C3A92" w:rsidRPr="007314B0" w14:paraId="0BCE2E65" w14:textId="77777777" w:rsidTr="52CC4247">
        <w:trPr>
          <w:trHeight w:val="440"/>
        </w:trPr>
        <w:tc>
          <w:tcPr>
            <w:tcW w:w="1843" w:type="dxa"/>
          </w:tcPr>
          <w:p w14:paraId="09AE42BC" w14:textId="1857BCFC" w:rsidR="006C3A92" w:rsidRPr="007314B0" w:rsidRDefault="006C3A92" w:rsidP="006C3A92">
            <w:pPr>
              <w:spacing w:after="120"/>
              <w:rPr>
                <w:sz w:val="24"/>
                <w:szCs w:val="24"/>
              </w:rPr>
            </w:pPr>
            <w:r w:rsidRPr="007314B0">
              <w:t>Passer de l’ED-PrEP à la PrEP quotidienne </w:t>
            </w:r>
          </w:p>
        </w:tc>
        <w:tc>
          <w:tcPr>
            <w:tcW w:w="8682" w:type="dxa"/>
          </w:tcPr>
          <w:p w14:paraId="3A5F1DB4" w14:textId="1163A3AA" w:rsidR="006C3A92" w:rsidRPr="007314B0" w:rsidRDefault="006C3A92" w:rsidP="006C3A92">
            <w:pPr>
              <w:spacing w:after="120"/>
            </w:pPr>
            <w:r w:rsidRPr="007314B0">
              <w:t xml:space="preserve">Comme la fréquence et la prévisibilité des rapports sexuels peuvent varier dans le temps, la meilleure option de PrEP pour vous peut également </w:t>
            </w:r>
            <w:r w:rsidR="00A70ED1" w:rsidRPr="007314B0">
              <w:t>changer</w:t>
            </w:r>
            <w:r w:rsidRPr="007314B0">
              <w:t>.</w:t>
            </w:r>
          </w:p>
          <w:p w14:paraId="6A7F0ABC" w14:textId="3422E95B" w:rsidR="006C3A92" w:rsidRPr="007314B0" w:rsidRDefault="006C3A92" w:rsidP="006C3A92">
            <w:pPr>
              <w:spacing w:after="120"/>
            </w:pPr>
            <w:r w:rsidRPr="007314B0">
              <w:t>Pour passer de l’ED-PrEP à la PrEP orale quotidienne : Vous devez continuer à prendre la PrEP tous les jours après votre dernière exposition. Vous devez continuer cette prise quotidienne jusqu’à ce que les rapports sexuels redeviennent moins fréquents et plus prévisibles ou aussi longtemps que vous préférez cette option. </w:t>
            </w:r>
          </w:p>
          <w:p w14:paraId="7D42EEC0" w14:textId="061FD962" w:rsidR="006C3A92" w:rsidRPr="007314B0" w:rsidRDefault="006C3A92" w:rsidP="006C3A92">
            <w:pPr>
              <w:spacing w:after="120"/>
            </w:pPr>
            <w:r w:rsidRPr="007314B0">
              <w:t>Pour passer de la PrEP orale quotidienne à l’ED-PrEP : Vous devez arrêter la dose quotidienne deux jours après la dernière exposition potentielle, puis suivre le traitement d’ED-PrEP jusqu’à ce que les rapports sexuels deviennent plus fréquents et/ou moins prévisibles. </w:t>
            </w:r>
          </w:p>
        </w:tc>
      </w:tr>
      <w:tr w:rsidR="006C3A92" w:rsidRPr="007314B0" w14:paraId="53D543C4" w14:textId="77777777" w:rsidTr="52CC4247">
        <w:trPr>
          <w:trHeight w:val="54"/>
        </w:trPr>
        <w:tc>
          <w:tcPr>
            <w:tcW w:w="1843" w:type="dxa"/>
            <w:hideMark/>
          </w:tcPr>
          <w:p w14:paraId="3FE9C3E8" w14:textId="48B7528A" w:rsidR="006C3A92" w:rsidRPr="007314B0" w:rsidRDefault="006C3A92" w:rsidP="006C3A92">
            <w:pPr>
              <w:spacing w:after="120"/>
              <w:rPr>
                <w:rFonts w:cstheme="minorHAnsi"/>
              </w:rPr>
            </w:pPr>
            <w:r w:rsidRPr="007314B0">
              <w:t>Scénarios de dosage </w:t>
            </w:r>
          </w:p>
        </w:tc>
        <w:tc>
          <w:tcPr>
            <w:tcW w:w="8682" w:type="dxa"/>
            <w:hideMark/>
          </w:tcPr>
          <w:p w14:paraId="2FF405C1" w14:textId="443F8D75" w:rsidR="006C3A92" w:rsidRPr="007314B0" w:rsidRDefault="006C3A92" w:rsidP="006C3A92">
            <w:pPr>
              <w:spacing w:after="120"/>
            </w:pPr>
            <w:r w:rsidRPr="007314B0">
              <w:t>Il est très important d’essayer de prendre les doses de suivi à la même heure de la journée que la dose de charge. Pour que l’ED-PrEP soit efficace, prenez le traitement en respectant la dose prescrite. Voyons quelques scénarios courants ensemble.</w:t>
            </w:r>
          </w:p>
          <w:p w14:paraId="2B00AC0D" w14:textId="4E290980" w:rsidR="006C3A92" w:rsidRPr="007314B0" w:rsidRDefault="006C3A92" w:rsidP="006C3A92">
            <w:pPr>
              <w:spacing w:after="120"/>
            </w:pPr>
            <w:r w:rsidRPr="007314B0">
              <w:rPr>
                <w:b/>
              </w:rPr>
              <w:lastRenderedPageBreak/>
              <w:t xml:space="preserve">NOTE AU PRESTATAIRE : </w:t>
            </w:r>
            <w:r w:rsidRPr="007314B0">
              <w:t xml:space="preserve">Présentez un traitement de base au patient (2+1+1). Remettez-lui du matériel d’information, pédagogique et de counseling décrivant les différents scénarios d’utilisation de l’ED-PrEP (voir la section </w:t>
            </w:r>
            <w:r w:rsidRPr="007314B0">
              <w:rPr>
                <w:i/>
                <w:iCs/>
              </w:rPr>
              <w:t>Utilisation de la PrEP orale</w:t>
            </w:r>
            <w:r w:rsidRPr="007314B0">
              <w:t xml:space="preserve"> ci-</w:t>
            </w:r>
            <w:r w:rsidR="0079549C" w:rsidRPr="007314B0">
              <w:t>dessus</w:t>
            </w:r>
            <w:r w:rsidRPr="007314B0">
              <w:t>)</w:t>
            </w:r>
            <w:r w:rsidR="0079549C" w:rsidRPr="007314B0">
              <w:t>.</w:t>
            </w:r>
          </w:p>
        </w:tc>
      </w:tr>
      <w:tr w:rsidR="006C3A92" w:rsidRPr="007314B0" w14:paraId="64A05451" w14:textId="77777777" w:rsidTr="56D00486">
        <w:tc>
          <w:tcPr>
            <w:tcW w:w="10525" w:type="dxa"/>
            <w:gridSpan w:val="2"/>
            <w:shd w:val="clear" w:color="auto" w:fill="D9E2F3" w:themeFill="accent1" w:themeFillTint="33"/>
          </w:tcPr>
          <w:p w14:paraId="570B3941" w14:textId="3E370189" w:rsidR="006C3A92" w:rsidRPr="007314B0" w:rsidRDefault="006C3A92" w:rsidP="006C3A92">
            <w:pPr>
              <w:spacing w:after="120"/>
              <w:jc w:val="center"/>
              <w:rPr>
                <w:rFonts w:cstheme="minorHAnsi"/>
                <w:b/>
                <w:bCs/>
                <w:color w:val="000000"/>
              </w:rPr>
            </w:pPr>
            <w:r w:rsidRPr="007314B0">
              <w:rPr>
                <w:b/>
                <w:bCs/>
                <w:color w:val="000000"/>
              </w:rPr>
              <w:lastRenderedPageBreak/>
              <w:t>POUR LES PATIENTES QUI CHOISISSENT L’ANNEAU</w:t>
            </w:r>
          </w:p>
        </w:tc>
      </w:tr>
      <w:tr w:rsidR="006C3A92" w:rsidRPr="007314B0" w14:paraId="5E9AD83A" w14:textId="77777777" w:rsidTr="52CC4247">
        <w:tc>
          <w:tcPr>
            <w:tcW w:w="1843" w:type="dxa"/>
          </w:tcPr>
          <w:p w14:paraId="780C6791" w14:textId="305FEAAB" w:rsidR="006C3A92" w:rsidRPr="007314B0" w:rsidRDefault="006C3A92" w:rsidP="006C3A92">
            <w:pPr>
              <w:spacing w:after="120"/>
              <w:rPr>
                <w:b/>
              </w:rPr>
            </w:pPr>
            <w:r w:rsidRPr="007314B0">
              <w:t>Soutenir une utilisation efficace</w:t>
            </w:r>
          </w:p>
        </w:tc>
        <w:tc>
          <w:tcPr>
            <w:tcW w:w="8682" w:type="dxa"/>
          </w:tcPr>
          <w:p w14:paraId="795941E8" w14:textId="309A2997" w:rsidR="006C3A92" w:rsidRPr="007314B0" w:rsidRDefault="006C3A92" w:rsidP="006C3A92">
            <w:pPr>
              <w:spacing w:after="120"/>
            </w:pPr>
            <w:r w:rsidRPr="007314B0">
              <w:t>L’anneau est conçu pour rester en place pendant un mois complet sans être retiré. Cependant, si vous décidez de retirer l’anneau, il est important de le nettoyer et de le réinsérer dès que possible. Il est possible de réinsérer l’anneau après l’avoir retiré et le laisser jusqu’à l’expiration de la période de 28 jours. Cependant, les niveaux de dapivirine dans le vagin chutent rapidement après le retrait de l’anneau, c’est pourquoi il n’est pas recommandé de le retirer pendant la période de 28 jours indiquée. De plus, comme le taux de dapivirine chute rapidement après le retrait de l’anneau, il faut souligner l’importance d’utiliser d’autres mesures de prévention du VIH jusqu’à ce qu’il soit réinséré. Si l’anneau est retiré pour une période plus longue qu’un simple retrait et une réinsertion rapide, il doit être nettoyé avant d’être remis en place. Une fois réinséré, l’anneau doit rester en place pendant au moins 24 heures pour apporter une protection maximale. Puisqu’il doit être changé chaque mois, il pourrait être utile de programmer un rappel sur votre téléphone si vous en avez un ou de le noter dans un endroit que vous consultez fréquemment pour vous aider à vous rappeler quand votre anneau doit être changé.</w:t>
            </w:r>
          </w:p>
          <w:p w14:paraId="1E0B0F2B" w14:textId="158E5650" w:rsidR="006C3A92" w:rsidRPr="007314B0" w:rsidRDefault="006C3A92" w:rsidP="006C3A92">
            <w:pPr>
              <w:spacing w:after="120"/>
              <w:rPr>
                <w:i/>
              </w:rPr>
            </w:pPr>
            <w:r w:rsidRPr="007314B0">
              <w:rPr>
                <w:b/>
              </w:rPr>
              <w:t xml:space="preserve">NOTE AU PRESTATAIRE : </w:t>
            </w:r>
            <w:r w:rsidRPr="007314B0">
              <w:t xml:space="preserve">Expliquez </w:t>
            </w:r>
            <w:r w:rsidR="0079549C" w:rsidRPr="007314B0">
              <w:t xml:space="preserve">à la patiente </w:t>
            </w:r>
            <w:r w:rsidRPr="007314B0">
              <w:t xml:space="preserve">comment insérer et retirer l’anneau (voir la section </w:t>
            </w:r>
            <w:r w:rsidRPr="007314B0">
              <w:rPr>
                <w:i/>
                <w:iCs/>
              </w:rPr>
              <w:t>Utilisation de l’anneau de PrEP</w:t>
            </w:r>
            <w:r w:rsidRPr="007314B0">
              <w:t xml:space="preserve"> ci-</w:t>
            </w:r>
            <w:r w:rsidR="0079549C" w:rsidRPr="007314B0">
              <w:t xml:space="preserve"> dessus</w:t>
            </w:r>
            <w:r w:rsidRPr="007314B0">
              <w:t>).</w:t>
            </w:r>
            <w:r w:rsidRPr="007314B0">
              <w:rPr>
                <w:i/>
              </w:rPr>
              <w:t xml:space="preserve"> </w:t>
            </w:r>
          </w:p>
          <w:p w14:paraId="0EEE14A6" w14:textId="09A8B341" w:rsidR="006C3A92" w:rsidRPr="007314B0" w:rsidRDefault="006C3A92" w:rsidP="006C3A92">
            <w:pPr>
              <w:spacing w:after="120"/>
              <w:rPr>
                <w:i/>
              </w:rPr>
            </w:pPr>
            <w:r w:rsidRPr="007314B0">
              <w:rPr>
                <w:i/>
              </w:rPr>
              <w:t xml:space="preserve">Quels défis </w:t>
            </w:r>
            <w:r w:rsidR="0079549C" w:rsidRPr="007314B0">
              <w:rPr>
                <w:i/>
              </w:rPr>
              <w:t>pensez</w:t>
            </w:r>
            <w:r w:rsidRPr="007314B0">
              <w:rPr>
                <w:i/>
              </w:rPr>
              <w:t xml:space="preserve">-vous rencontrer pour l’utilisation de l’anneau tel qu’il vous est prescrit et pour lesquels je pourrais peut-être vous aider à trouver des solutions ? </w:t>
            </w:r>
            <w:r w:rsidRPr="007314B0">
              <w:rPr>
                <w:i/>
                <w:iCs/>
              </w:rPr>
              <w:t xml:space="preserve">Pensez-vous pouvoir insérer et retirer l’anneau vous-même ou aurez-vous besoin de mon aide ou de celle d’un autre prestataire ? </w:t>
            </w:r>
            <w:r w:rsidRPr="007314B0">
              <w:rPr>
                <w:i/>
              </w:rPr>
              <w:t>(Les prestataires devraient évaluer et mettre l’accent sur une utilisation efficace et des rappels de changement de l’anneau spécifiques à chacun</w:t>
            </w:r>
            <w:r w:rsidR="0079549C" w:rsidRPr="007314B0">
              <w:rPr>
                <w:i/>
              </w:rPr>
              <w:t>e</w:t>
            </w:r>
            <w:r w:rsidRPr="007314B0">
              <w:rPr>
                <w:i/>
              </w:rPr>
              <w:t xml:space="preserve">. Cela peut aussi être un moment approprié pour évaluer la possibilité de violence basée sur le genre </w:t>
            </w:r>
            <w:r w:rsidR="006B2417" w:rsidRPr="007314B0">
              <w:rPr>
                <w:i/>
              </w:rPr>
              <w:t>ou du</w:t>
            </w:r>
            <w:r w:rsidRPr="007314B0">
              <w:rPr>
                <w:i/>
              </w:rPr>
              <w:t xml:space="preserve"> partenaire intime).</w:t>
            </w:r>
          </w:p>
        </w:tc>
      </w:tr>
      <w:tr w:rsidR="006C3A92" w:rsidRPr="007314B0" w14:paraId="05DD8A44" w14:textId="77777777" w:rsidTr="52CC4247">
        <w:tc>
          <w:tcPr>
            <w:tcW w:w="1843" w:type="dxa"/>
          </w:tcPr>
          <w:p w14:paraId="2E6537B2" w14:textId="3451046C" w:rsidR="006C3A92" w:rsidRPr="007314B0" w:rsidRDefault="006C3A92" w:rsidP="006C3A92">
            <w:pPr>
              <w:spacing w:after="120"/>
              <w:rPr>
                <w:rFonts w:cstheme="minorHAnsi"/>
                <w:bCs/>
              </w:rPr>
            </w:pPr>
            <w:r w:rsidRPr="007314B0">
              <w:t>Nettoyage de l’anneau</w:t>
            </w:r>
          </w:p>
        </w:tc>
        <w:tc>
          <w:tcPr>
            <w:tcW w:w="8682" w:type="dxa"/>
          </w:tcPr>
          <w:p w14:paraId="7C167D9A" w14:textId="23236BB1" w:rsidR="006C3A92" w:rsidRPr="007314B0" w:rsidRDefault="006C3A92" w:rsidP="006C3A92">
            <w:pPr>
              <w:spacing w:after="120"/>
              <w:rPr>
                <w:rFonts w:cstheme="minorHAnsi"/>
                <w:color w:val="000000"/>
              </w:rPr>
            </w:pPr>
            <w:r w:rsidRPr="007314B0">
              <w:rPr>
                <w:color w:val="000000"/>
              </w:rPr>
              <w:t xml:space="preserve">Il n’est absolument pas nécessaire de retirer l’anneau pour le nettoyer. </w:t>
            </w:r>
            <w:r w:rsidRPr="007314B0">
              <w:t xml:space="preserve">Cependant, si vous le souhaitez, vous pouvez retirer l’anneau, le rincer uniquement à l’eau claire, puis le remettre en place immédiatement. </w:t>
            </w:r>
          </w:p>
        </w:tc>
      </w:tr>
      <w:tr w:rsidR="006C3A92" w:rsidRPr="007314B0" w14:paraId="0C82969D" w14:textId="77777777" w:rsidTr="52CC4247">
        <w:tc>
          <w:tcPr>
            <w:tcW w:w="1843" w:type="dxa"/>
          </w:tcPr>
          <w:p w14:paraId="5EB74093" w14:textId="20E73194" w:rsidR="006C3A92" w:rsidRPr="007314B0" w:rsidRDefault="006C3A92" w:rsidP="006C3A92">
            <w:pPr>
              <w:spacing w:after="120"/>
              <w:rPr>
                <w:rFonts w:cstheme="minorHAnsi"/>
                <w:bCs/>
              </w:rPr>
            </w:pPr>
            <w:r w:rsidRPr="007314B0">
              <w:t xml:space="preserve">Réinsérer l’anneau </w:t>
            </w:r>
          </w:p>
        </w:tc>
        <w:tc>
          <w:tcPr>
            <w:tcW w:w="8682" w:type="dxa"/>
          </w:tcPr>
          <w:p w14:paraId="373522BE" w14:textId="1BE18884" w:rsidR="006C3A92" w:rsidRPr="007314B0" w:rsidRDefault="006C3A92" w:rsidP="006C3A92">
            <w:pPr>
              <w:spacing w:after="120"/>
              <w:rPr>
                <w:rFonts w:cstheme="minorHAnsi"/>
                <w:color w:val="000000"/>
              </w:rPr>
            </w:pPr>
            <w:r w:rsidRPr="007314B0">
              <w:rPr>
                <w:color w:val="000000"/>
              </w:rPr>
              <w:t>Bien que cela soit peu probable, il est possible que l’anneau tombe. Si cela se produit dans un endroit propre, l’anneau doit être rincé à l’eau claire et remis en place. Si l’anneau tombe dans un endroit sale, il faut le remplacer par un nouvel anneau.</w:t>
            </w:r>
          </w:p>
        </w:tc>
      </w:tr>
      <w:tr w:rsidR="006C3A92" w:rsidRPr="007314B0" w14:paraId="777B73A8" w14:textId="77777777" w:rsidTr="52CC4247">
        <w:tc>
          <w:tcPr>
            <w:tcW w:w="1843" w:type="dxa"/>
          </w:tcPr>
          <w:p w14:paraId="54C7915B" w14:textId="5E64C96C" w:rsidR="006C3A92" w:rsidRPr="007314B0" w:rsidRDefault="006C3A92" w:rsidP="006C3A92">
            <w:pPr>
              <w:spacing w:after="120"/>
              <w:rPr>
                <w:rFonts w:cstheme="minorHAnsi"/>
                <w:bCs/>
              </w:rPr>
            </w:pPr>
            <w:r w:rsidRPr="007314B0">
              <w:t>Utiliser l’anneau pendant les rapports sexuels</w:t>
            </w:r>
          </w:p>
        </w:tc>
        <w:tc>
          <w:tcPr>
            <w:tcW w:w="8682" w:type="dxa"/>
          </w:tcPr>
          <w:p w14:paraId="072026C1" w14:textId="7525ECB3" w:rsidR="006C3A92" w:rsidRPr="007314B0" w:rsidRDefault="006C3A92" w:rsidP="006C3A92">
            <w:pPr>
              <w:spacing w:after="120"/>
              <w:rPr>
                <w:rFonts w:cstheme="minorHAnsi"/>
                <w:color w:val="000000"/>
              </w:rPr>
            </w:pPr>
            <w:r w:rsidRPr="007314B0">
              <w:rPr>
                <w:color w:val="000000"/>
              </w:rPr>
              <w:t>L’anneau n’interfère pas avec les rapports sexuels et doit être conservé pendant les rapports. Il peut être utilisé avec des préservatifs (internes et externes) et des lubrifiants compatibles avec les préservatifs. Même si cela est peu probable, il est possible que votre partenaire sente l’anneau pendant le rapport sexuel. Si cela se produit, vous devrez peut-être confirmer la position de l’anneau, car il sera peut-être nécessaire de le repousser plus profondément dans le vagin. L’anneau n’est pas dangereux pour votre partenaire, mais il ne l’empêche</w:t>
            </w:r>
            <w:r w:rsidR="0079549C" w:rsidRPr="007314B0">
              <w:rPr>
                <w:color w:val="000000"/>
              </w:rPr>
              <w:t>ra</w:t>
            </w:r>
            <w:r w:rsidRPr="007314B0">
              <w:rPr>
                <w:color w:val="000000"/>
              </w:rPr>
              <w:t xml:space="preserve"> pas de contracter le VIH.</w:t>
            </w:r>
          </w:p>
        </w:tc>
      </w:tr>
      <w:tr w:rsidR="006C3A92" w:rsidRPr="007314B0" w14:paraId="7F0E30AA" w14:textId="77777777" w:rsidTr="52CC4247">
        <w:tc>
          <w:tcPr>
            <w:tcW w:w="1843" w:type="dxa"/>
          </w:tcPr>
          <w:p w14:paraId="3BBE4845" w14:textId="40BDD479" w:rsidR="006C3A92" w:rsidRPr="007314B0" w:rsidRDefault="006C3A92" w:rsidP="006C3A92">
            <w:pPr>
              <w:spacing w:after="120"/>
            </w:pPr>
            <w:r w:rsidRPr="007314B0">
              <w:t>L’anneau et la menstruation</w:t>
            </w:r>
          </w:p>
        </w:tc>
        <w:tc>
          <w:tcPr>
            <w:tcW w:w="8682" w:type="dxa"/>
          </w:tcPr>
          <w:p w14:paraId="4D8D0677" w14:textId="4BD3043D" w:rsidR="006C3A92" w:rsidRPr="007314B0" w:rsidRDefault="006C3A92" w:rsidP="006C3A92">
            <w:pPr>
              <w:spacing w:after="120"/>
              <w:rPr>
                <w:rFonts w:cstheme="minorHAnsi"/>
              </w:rPr>
            </w:pPr>
            <w:r w:rsidRPr="007314B0">
              <w:rPr>
                <w:color w:val="000000"/>
              </w:rPr>
              <w:t xml:space="preserve">Pour être le plus efficace possible, l’anneau doit être porté pendant un mois, y compris pendant la menstruation. L’anneau ne couvre pas le col de l’utérus et n’interrompt pas l’écoulement des règles. </w:t>
            </w:r>
            <w:r w:rsidRPr="007314B0">
              <w:t>Il n’y a aucun problème de sécurité lié à l’utilisation de tampons, de serviettes hygiéniques</w:t>
            </w:r>
            <w:r w:rsidR="003A3600" w:rsidRPr="007314B0">
              <w:t xml:space="preserve"> </w:t>
            </w:r>
            <w:r w:rsidRPr="007314B0">
              <w:t xml:space="preserve">ou d’autres produits </w:t>
            </w:r>
            <w:r w:rsidR="003A3600" w:rsidRPr="007314B0">
              <w:t>hygiéniques</w:t>
            </w:r>
            <w:r w:rsidRPr="007314B0">
              <w:t xml:space="preserve"> pendant l’utilisation de l’anneau. </w:t>
            </w:r>
          </w:p>
          <w:p w14:paraId="67E82695" w14:textId="405EAF16" w:rsidR="006C3A92" w:rsidRPr="007314B0" w:rsidRDefault="006C3A92" w:rsidP="006C3A92">
            <w:pPr>
              <w:spacing w:after="120"/>
              <w:rPr>
                <w:rFonts w:cstheme="minorHAnsi"/>
                <w:color w:val="000000"/>
              </w:rPr>
            </w:pPr>
            <w:r w:rsidRPr="007314B0">
              <w:t xml:space="preserve">Si vous utilisez un tampon, veillez à ne pas retirer accidentellement l’anneau lors du retrait du tampon. </w:t>
            </w:r>
            <w:r w:rsidRPr="007314B0">
              <w:rPr>
                <w:color w:val="000000"/>
              </w:rPr>
              <w:t xml:space="preserve">Bien que cela soit peu probable, il est possible que l’anneau tombe. Si cela se produit </w:t>
            </w:r>
            <w:r w:rsidRPr="007314B0">
              <w:rPr>
                <w:color w:val="000000"/>
              </w:rPr>
              <w:lastRenderedPageBreak/>
              <w:t>dans un endroit propre, l’anneau doit être rincé à l’eau claire et remis en place. Si l’anneau tombe dans un endroit sale, il faut le remplacer par un nouvel anneau.</w:t>
            </w:r>
          </w:p>
          <w:p w14:paraId="0DE75756" w14:textId="06C2B524" w:rsidR="006C3A92" w:rsidRPr="007314B0" w:rsidRDefault="006C3A92" w:rsidP="006C3A92">
            <w:pPr>
              <w:spacing w:after="120"/>
              <w:rPr>
                <w:rFonts w:cstheme="minorHAnsi"/>
                <w:color w:val="000000"/>
              </w:rPr>
            </w:pPr>
            <w:r w:rsidRPr="007314B0">
              <w:rPr>
                <w:b/>
                <w:bCs/>
                <w:color w:val="000000"/>
              </w:rPr>
              <w:t>NOTE AU PRESTATAIRE :</w:t>
            </w:r>
            <w:r w:rsidRPr="007314B0">
              <w:rPr>
                <w:color w:val="000000"/>
              </w:rPr>
              <w:t xml:space="preserve"> Certaines patientes peuvent choisir de faire coïncider l’insertion et le retrait de l’anneau avec leur cycle menstruel. </w:t>
            </w:r>
            <w:r w:rsidRPr="007314B0">
              <w:t xml:space="preserve">Si c’est ce qu’elles choisissent, il faut leur rappeler que les niveaux de dapivirine chutent rapidement après le retrait de l’anneau et que s’il n’est pas réinséré ou remplacé immédiatement, un anneau de PrEP doit rester en place pendant au moins 24 heures pour apporter une protection maximale. Si elles choisissent de retirer l’anneau pendant la menstruation et prévoient des expositions sexuelles pendant cette période, elles doivent recevoir un counseling sur d’autres stratégies efficaces de prévention du VIH à utiliser jusqu’à la réinsertion de l’anneau. </w:t>
            </w:r>
          </w:p>
        </w:tc>
      </w:tr>
      <w:tr w:rsidR="006C3A92" w:rsidRPr="007314B0" w14:paraId="45166708" w14:textId="77777777" w:rsidTr="52CC4247">
        <w:tc>
          <w:tcPr>
            <w:tcW w:w="1843" w:type="dxa"/>
          </w:tcPr>
          <w:p w14:paraId="6EDCF3C6" w14:textId="2BE76DB1" w:rsidR="006C3A92" w:rsidRPr="007314B0" w:rsidRDefault="006C3A92" w:rsidP="006C3A92">
            <w:pPr>
              <w:spacing w:after="120"/>
              <w:rPr>
                <w:rFonts w:cstheme="minorHAnsi"/>
                <w:bCs/>
              </w:rPr>
            </w:pPr>
            <w:r w:rsidRPr="007314B0">
              <w:lastRenderedPageBreak/>
              <w:t>Partage de l’anneau</w:t>
            </w:r>
          </w:p>
        </w:tc>
        <w:tc>
          <w:tcPr>
            <w:tcW w:w="8682" w:type="dxa"/>
          </w:tcPr>
          <w:p w14:paraId="2D80E678" w14:textId="6867E5F5" w:rsidR="006C3A92" w:rsidRPr="007314B0" w:rsidRDefault="006C3A92" w:rsidP="006C3A92">
            <w:pPr>
              <w:spacing w:after="120"/>
              <w:rPr>
                <w:rFonts w:cstheme="minorHAnsi"/>
              </w:rPr>
            </w:pPr>
            <w:r w:rsidRPr="007314B0">
              <w:rPr>
                <w:color w:val="000000"/>
              </w:rPr>
              <w:t>L’anneau ne peut pas être partagé avec d’autres personnes. Si d’autres personnes que vous connaissez sont intéressées par l’utilisation de l’anneau, elles peuvent venir ici.</w:t>
            </w:r>
          </w:p>
        </w:tc>
      </w:tr>
      <w:tr w:rsidR="006C3A92" w:rsidRPr="007314B0" w14:paraId="07DAB5C4" w14:textId="77777777" w:rsidTr="52CC4247">
        <w:tc>
          <w:tcPr>
            <w:tcW w:w="1843" w:type="dxa"/>
          </w:tcPr>
          <w:p w14:paraId="510BD2A2" w14:textId="49432B66" w:rsidR="006C3A92" w:rsidRPr="007314B0" w:rsidRDefault="006C3A92" w:rsidP="006C3A92">
            <w:pPr>
              <w:spacing w:after="120"/>
              <w:rPr>
                <w:rFonts w:cstheme="minorHAnsi"/>
                <w:bCs/>
              </w:rPr>
            </w:pPr>
            <w:r w:rsidRPr="007314B0">
              <w:t>L’anneau et la douche vaginale</w:t>
            </w:r>
          </w:p>
        </w:tc>
        <w:tc>
          <w:tcPr>
            <w:tcW w:w="8682" w:type="dxa"/>
          </w:tcPr>
          <w:p w14:paraId="4D9C7FAC" w14:textId="30E4D334" w:rsidR="006C3A92" w:rsidRPr="007314B0" w:rsidRDefault="006C3A92" w:rsidP="006C3A92">
            <w:pPr>
              <w:spacing w:after="120"/>
            </w:pPr>
            <w:r w:rsidRPr="007314B0">
              <w:rPr>
                <w:color w:val="201F1E"/>
                <w:shd w:val="clear" w:color="auto" w:fill="FFFFFF"/>
              </w:rPr>
              <w:t>Rincer le vagin à l’eau pour le nettoyer (ou toute forme de douche vaginale) peut diluer la concentration de dapivirine dans le vagin.</w:t>
            </w:r>
            <w:r w:rsidRPr="007314B0">
              <w:t xml:space="preserve"> Les douches vaginales sont toujours déconseillées, y compris pendant l’utilisation de l’anneau, car elles peuvent avoir un impact négatif sur la santé du vagin. </w:t>
            </w:r>
          </w:p>
        </w:tc>
      </w:tr>
      <w:tr w:rsidR="006C3A92" w:rsidRPr="007314B0" w14:paraId="52514747" w14:textId="77777777" w:rsidTr="52CC4247">
        <w:tc>
          <w:tcPr>
            <w:tcW w:w="1843" w:type="dxa"/>
          </w:tcPr>
          <w:p w14:paraId="7FD0B36E" w14:textId="62740165" w:rsidR="006C3A92" w:rsidRPr="007314B0" w:rsidRDefault="006C3A92" w:rsidP="006C3A92">
            <w:pPr>
              <w:spacing w:after="120"/>
              <w:rPr>
                <w:rFonts w:cstheme="minorHAnsi"/>
              </w:rPr>
            </w:pPr>
            <w:r w:rsidRPr="007314B0">
              <w:t>Conservation des anneaux</w:t>
            </w:r>
          </w:p>
        </w:tc>
        <w:tc>
          <w:tcPr>
            <w:tcW w:w="8682" w:type="dxa"/>
          </w:tcPr>
          <w:p w14:paraId="04808A96" w14:textId="6C91F207" w:rsidR="006C3A92" w:rsidRPr="007314B0" w:rsidRDefault="006C3A92" w:rsidP="006C3A92">
            <w:pPr>
              <w:spacing w:after="120"/>
              <w:rPr>
                <w:rFonts w:cstheme="minorHAnsi"/>
              </w:rPr>
            </w:pPr>
            <w:r w:rsidRPr="007314B0">
              <w:rPr>
                <w:color w:val="000000"/>
              </w:rPr>
              <w:t>Les anneaux sont à conserver dans leur emballage d’origine, dans un endroit frais et sec, hors de portée des enfants et de tout animal domestique ou autre, et à l’abri de la lumière directe du soleil. Il n’est pas nécessaire de réfrigérer l’anneau et il peut être conservé en toute sécurité à une température d’environ 25 °C (ou 77 °F) pendant 5 ans à compter de sa date de fabrication. Vérifier la date de péremption qui figure sur l’emballage.</w:t>
            </w:r>
          </w:p>
        </w:tc>
      </w:tr>
      <w:tr w:rsidR="006C3A92" w:rsidRPr="007314B0" w14:paraId="4D96CC74" w14:textId="77777777" w:rsidTr="52CC4247">
        <w:tc>
          <w:tcPr>
            <w:tcW w:w="1843" w:type="dxa"/>
          </w:tcPr>
          <w:p w14:paraId="031133ED" w14:textId="4F2EC96D" w:rsidR="006C3A92" w:rsidRPr="007314B0" w:rsidRDefault="006C3A92" w:rsidP="006C3A92">
            <w:pPr>
              <w:spacing w:after="120"/>
              <w:rPr>
                <w:rFonts w:cstheme="minorHAnsi"/>
              </w:rPr>
            </w:pPr>
            <w:r w:rsidRPr="007314B0">
              <w:t>Mise au rebut de l’anneau</w:t>
            </w:r>
          </w:p>
        </w:tc>
        <w:tc>
          <w:tcPr>
            <w:tcW w:w="8682" w:type="dxa"/>
          </w:tcPr>
          <w:p w14:paraId="4601C95D" w14:textId="1173A374" w:rsidR="006C3A92" w:rsidRPr="007314B0" w:rsidRDefault="006C3A92" w:rsidP="006C3A92">
            <w:pPr>
              <w:spacing w:after="120"/>
              <w:rPr>
                <w:rFonts w:cstheme="minorHAnsi"/>
              </w:rPr>
            </w:pPr>
            <w:r w:rsidRPr="007314B0">
              <w:rPr>
                <w:color w:val="000000"/>
              </w:rPr>
              <w:t>Les anneaux usagés peuvent être placés dans l’emballage d’origine ou enveloppés dans un mouchoir en papier ou du papier toilette et jetés dans une poubelle, hors de portée des enfants. Si vous préférez, vous pouvez rapporter votre anneau usagé au prestataire de soins de santé ou au point de prestation de services.</w:t>
            </w:r>
          </w:p>
        </w:tc>
      </w:tr>
      <w:tr w:rsidR="006C3A92" w:rsidRPr="007314B0" w14:paraId="70C9A527" w14:textId="77777777" w:rsidTr="56D00486">
        <w:tc>
          <w:tcPr>
            <w:tcW w:w="10525" w:type="dxa"/>
            <w:gridSpan w:val="2"/>
            <w:shd w:val="clear" w:color="auto" w:fill="D9E2F3" w:themeFill="accent1" w:themeFillTint="33"/>
          </w:tcPr>
          <w:p w14:paraId="4FEDCC76" w14:textId="79D2CA21" w:rsidR="006C3A92" w:rsidRPr="007314B0" w:rsidRDefault="006C3A92" w:rsidP="006C3A92">
            <w:pPr>
              <w:spacing w:after="120"/>
              <w:jc w:val="center"/>
              <w:rPr>
                <w:b/>
                <w:color w:val="000000"/>
              </w:rPr>
            </w:pPr>
            <w:r w:rsidRPr="007314B0">
              <w:rPr>
                <w:b/>
                <w:color w:val="000000" w:themeColor="text1"/>
              </w:rPr>
              <w:t>POUR LES PATIENTS QUI CHOISISSENT LA CAB PREP</w:t>
            </w:r>
          </w:p>
        </w:tc>
      </w:tr>
      <w:tr w:rsidR="006C3A92" w:rsidRPr="007314B0" w14:paraId="10623666" w14:textId="77777777" w:rsidTr="52CC4247">
        <w:tc>
          <w:tcPr>
            <w:tcW w:w="1843" w:type="dxa"/>
          </w:tcPr>
          <w:p w14:paraId="3D10BAC0" w14:textId="05153365" w:rsidR="006C3A92" w:rsidRPr="007314B0" w:rsidRDefault="006C3A92" w:rsidP="006C3A92">
            <w:pPr>
              <w:spacing w:after="120"/>
              <w:rPr>
                <w:color w:val="000000"/>
              </w:rPr>
            </w:pPr>
            <w:r w:rsidRPr="007314B0">
              <w:rPr>
                <w:color w:val="000000" w:themeColor="text1"/>
              </w:rPr>
              <w:t>Injection(s) manquée(s) de CAB PrEP</w:t>
            </w:r>
          </w:p>
        </w:tc>
        <w:tc>
          <w:tcPr>
            <w:tcW w:w="8682" w:type="dxa"/>
          </w:tcPr>
          <w:p w14:paraId="235F0C29" w14:textId="1C4B2D33" w:rsidR="006C3A92" w:rsidRPr="007314B0" w:rsidRDefault="006C3A92" w:rsidP="006C3A92">
            <w:pPr>
              <w:spacing w:after="120"/>
              <w:rPr>
                <w:color w:val="000000"/>
              </w:rPr>
            </w:pPr>
            <w:r w:rsidRPr="007314B0">
              <w:rPr>
                <w:color w:val="000000" w:themeColor="text1"/>
              </w:rPr>
              <w:t xml:space="preserve">Si vous manquez une visite pour une injection, il est important de contacter immédiatement votre prestataire de soins de santé et de prendre un rendez-vous pour recevoir l’injection manquée dès que possible. Si vous ne parvenez pas à respecter le calendrier des injections, nous pouvons voir s’il est possible de passer à une autre méthode de PrEP ou à une autre stratégie de prévention du VIH. </w:t>
            </w:r>
          </w:p>
        </w:tc>
      </w:tr>
      <w:tr w:rsidR="006C3A92" w:rsidRPr="007314B0" w14:paraId="3A2FEC1D" w14:textId="77777777" w:rsidTr="00765AF8">
        <w:trPr>
          <w:trHeight w:val="1296"/>
        </w:trPr>
        <w:tc>
          <w:tcPr>
            <w:tcW w:w="1843" w:type="dxa"/>
          </w:tcPr>
          <w:p w14:paraId="164B26B5" w14:textId="1FA61008" w:rsidR="006C3A92" w:rsidRPr="007314B0" w:rsidRDefault="006C3A92" w:rsidP="006C3A92">
            <w:pPr>
              <w:spacing w:after="120"/>
              <w:rPr>
                <w:color w:val="000000"/>
              </w:rPr>
            </w:pPr>
            <w:r w:rsidRPr="007314B0">
              <w:rPr>
                <w:color w:val="000000" w:themeColor="text1"/>
              </w:rPr>
              <w:t>Passer de la CAB PrEP à d’autres méthodes de PrEP</w:t>
            </w:r>
          </w:p>
        </w:tc>
        <w:tc>
          <w:tcPr>
            <w:tcW w:w="8682" w:type="dxa"/>
          </w:tcPr>
          <w:p w14:paraId="596E37ED" w14:textId="3D2F29BF" w:rsidR="006C3A92" w:rsidRPr="007314B0" w:rsidRDefault="006C3A92" w:rsidP="006C3A92">
            <w:pPr>
              <w:spacing w:after="120"/>
              <w:rPr>
                <w:color w:val="000000"/>
              </w:rPr>
            </w:pPr>
            <w:r w:rsidRPr="007314B0">
              <w:rPr>
                <w:color w:val="000000" w:themeColor="text1"/>
              </w:rPr>
              <w:t xml:space="preserve">Il est possible d’arrêter la CAB PrEP et de passer à une autre méthode de PrEP. Selon la nouvelle méthode que vous souhaitez adopter, nous pouvons voir quelle est la meilleure façon de passer à une autre méthode de manière sûre et efficace. </w:t>
            </w:r>
          </w:p>
          <w:p w14:paraId="5C18B04A" w14:textId="697265C4" w:rsidR="006C3A92" w:rsidRPr="007314B0" w:rsidRDefault="006C3A92" w:rsidP="006C3A92">
            <w:pPr>
              <w:spacing w:after="120"/>
              <w:rPr>
                <w:color w:val="000000"/>
              </w:rPr>
            </w:pPr>
            <w:r w:rsidRPr="007314B0">
              <w:rPr>
                <w:color w:val="000000" w:themeColor="text1"/>
              </w:rPr>
              <w:t xml:space="preserve">Si vous souhaitez tomber enceinte mais êtes toujours potentiellement exposée au VIH, nous pouvons voir comment passer de la CAB PrEP à une méthode qui s’est avérée sûre pendant la grossesse. </w:t>
            </w:r>
          </w:p>
        </w:tc>
      </w:tr>
      <w:tr w:rsidR="006C3A92" w:rsidRPr="00385E41" w14:paraId="20DBC4E2" w14:textId="77777777" w:rsidTr="52CC4247">
        <w:tc>
          <w:tcPr>
            <w:tcW w:w="1843" w:type="dxa"/>
          </w:tcPr>
          <w:p w14:paraId="5C69EBA4" w14:textId="13925DBD" w:rsidR="006C3A92" w:rsidRPr="007314B0" w:rsidRDefault="006C3A92" w:rsidP="006C3A92">
            <w:pPr>
              <w:spacing w:after="120"/>
              <w:rPr>
                <w:color w:val="000000"/>
              </w:rPr>
            </w:pPr>
            <w:r w:rsidRPr="007314B0">
              <w:rPr>
                <w:color w:val="000000" w:themeColor="text1"/>
              </w:rPr>
              <w:t>Arrêt de la CAB PrEP et la « période de queue »</w:t>
            </w:r>
          </w:p>
        </w:tc>
        <w:tc>
          <w:tcPr>
            <w:tcW w:w="8682" w:type="dxa"/>
          </w:tcPr>
          <w:p w14:paraId="0D346C21" w14:textId="4AF68274" w:rsidR="006C3A92" w:rsidRPr="007314B0" w:rsidRDefault="006C3A92" w:rsidP="006C3A92">
            <w:pPr>
              <w:spacing w:after="120"/>
              <w:rPr>
                <w:color w:val="000000"/>
              </w:rPr>
            </w:pPr>
            <w:r w:rsidRPr="007314B0">
              <w:rPr>
                <w:color w:val="000000" w:themeColor="text1"/>
              </w:rPr>
              <w:t xml:space="preserve">Lorsque vous arrêtez de recevoir des injections de CAB PrEP, le </w:t>
            </w:r>
            <w:proofErr w:type="spellStart"/>
            <w:r w:rsidRPr="007314B0">
              <w:rPr>
                <w:color w:val="000000" w:themeColor="text1"/>
              </w:rPr>
              <w:t>cabotégravir</w:t>
            </w:r>
            <w:proofErr w:type="spellEnd"/>
            <w:r w:rsidRPr="007314B0">
              <w:rPr>
                <w:color w:val="000000" w:themeColor="text1"/>
              </w:rPr>
              <w:t xml:space="preserve"> peut rester dans le corps pendant environ un an, mais les niveaux ne seront pas suffisamment élevés pour prévenir le VIH. En outre, à ces niveaux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Si vous décidez d’arrêter vos injections de CAB PrEP, nous devrions discuter de la possibilité de </w:t>
            </w:r>
            <w:r w:rsidRPr="007314B0">
              <w:rPr>
                <w:color w:val="000000" w:themeColor="text1"/>
              </w:rPr>
              <w:lastRenderedPageBreak/>
              <w:t xml:space="preserve">vous faire passer à une autre méthode de PrEP ou à une autre stratégie de prévention du VIH pendant la période de transition, aussi longtemps que le risque d’exposition au VIH existe. </w:t>
            </w:r>
          </w:p>
          <w:p w14:paraId="6681E930" w14:textId="03A85579" w:rsidR="006C3A92" w:rsidRPr="00385E41" w:rsidRDefault="006C3A92" w:rsidP="006C3A92">
            <w:pPr>
              <w:spacing w:after="120"/>
              <w:rPr>
                <w:rFonts w:cstheme="minorHAnsi"/>
                <w:color w:val="000000"/>
              </w:rPr>
            </w:pPr>
            <w:r w:rsidRPr="007314B0">
              <w:rPr>
                <w:color w:val="000000"/>
              </w:rPr>
              <w:t>Nous ne disposons pas encore de suffisamment d’informations sur la grossesse et l’allaitement pendant la période de queue. Par conséquent, si vous envisagez de tomber enceinte ou si vous ne souhaitez pas utiliser de méthode contraceptive pendant cette période, nous devrions discuter des options qui vous conviendront le mieux.</w:t>
            </w:r>
            <w:r w:rsidRPr="00385E41">
              <w:rPr>
                <w:color w:val="000000"/>
              </w:rPr>
              <w:t xml:space="preserve"> </w:t>
            </w:r>
          </w:p>
        </w:tc>
      </w:tr>
    </w:tbl>
    <w:p w14:paraId="4C6C63D7" w14:textId="79C2C543" w:rsidR="00E6610E" w:rsidRPr="00385E41" w:rsidRDefault="00E6610E" w:rsidP="00DD508F">
      <w:pPr>
        <w:spacing w:after="120" w:line="240" w:lineRule="auto"/>
        <w:rPr>
          <w:rFonts w:cstheme="minorHAnsi"/>
        </w:rPr>
      </w:pPr>
    </w:p>
    <w:sectPr w:rsidR="00E6610E" w:rsidRPr="00385E41" w:rsidSect="00CE4D89">
      <w:type w:val="continuous"/>
      <w:pgSz w:w="11906" w:h="16838"/>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A706B" w14:textId="77777777" w:rsidR="00FE0812" w:rsidRDefault="00FE0812" w:rsidP="0082095D">
      <w:pPr>
        <w:spacing w:after="0" w:line="240" w:lineRule="auto"/>
      </w:pPr>
      <w:r>
        <w:separator/>
      </w:r>
    </w:p>
  </w:endnote>
  <w:endnote w:type="continuationSeparator" w:id="0">
    <w:p w14:paraId="2C8C1BB6" w14:textId="77777777" w:rsidR="00FE0812" w:rsidRDefault="00FE0812" w:rsidP="0082095D">
      <w:pPr>
        <w:spacing w:after="0" w:line="240" w:lineRule="auto"/>
      </w:pPr>
      <w:r>
        <w:continuationSeparator/>
      </w:r>
    </w:p>
  </w:endnote>
  <w:endnote w:type="continuationNotice" w:id="1">
    <w:p w14:paraId="7AE7AED7" w14:textId="77777777" w:rsidR="00FE0812" w:rsidRDefault="00FE0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8497" w14:textId="77777777" w:rsidR="00C630B6" w:rsidRDefault="00E24D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p w14:paraId="61368DCA" w14:textId="77777777" w:rsidR="00C630B6" w:rsidRDefault="00C630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8942" w14:textId="7AF77B99" w:rsidR="00C630B6" w:rsidRDefault="002113BD">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2" behindDoc="0" locked="0" layoutInCell="1" allowOverlap="1" wp14:anchorId="62EBE35E" wp14:editId="4B99588F">
          <wp:simplePos x="0" y="0"/>
          <wp:positionH relativeFrom="margin">
            <wp:align>right</wp:align>
          </wp:positionH>
          <wp:positionV relativeFrom="paragraph">
            <wp:posOffset>120015</wp:posOffset>
          </wp:positionV>
          <wp:extent cx="1143000" cy="260985"/>
          <wp:effectExtent l="0" t="0" r="0" b="5715"/>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1" behindDoc="0" locked="0" layoutInCell="1" allowOverlap="1" wp14:anchorId="10808464" wp14:editId="54E75332">
          <wp:simplePos x="0" y="0"/>
          <wp:positionH relativeFrom="margin">
            <wp:align>left</wp:align>
          </wp:positionH>
          <wp:positionV relativeFrom="paragraph">
            <wp:posOffset>0</wp:posOffset>
          </wp:positionV>
          <wp:extent cx="822960" cy="485140"/>
          <wp:effectExtent l="0" t="0" r="0" b="0"/>
          <wp:wrapNone/>
          <wp:docPr id="23"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0" behindDoc="0" locked="0" layoutInCell="1" allowOverlap="1" wp14:anchorId="0C7B164A" wp14:editId="53DC75A0">
          <wp:simplePos x="0" y="0"/>
          <wp:positionH relativeFrom="margin">
            <wp:align>center</wp:align>
          </wp:positionH>
          <wp:positionV relativeFrom="paragraph">
            <wp:posOffset>71755</wp:posOffset>
          </wp:positionV>
          <wp:extent cx="1143000" cy="358140"/>
          <wp:effectExtent l="0" t="0" r="0" b="3810"/>
          <wp:wrapNone/>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99CA" w14:textId="77777777" w:rsidR="00FE0812" w:rsidRDefault="00FE0812" w:rsidP="0082095D">
      <w:pPr>
        <w:spacing w:after="0" w:line="240" w:lineRule="auto"/>
      </w:pPr>
    </w:p>
  </w:footnote>
  <w:footnote w:type="continuationSeparator" w:id="0">
    <w:p w14:paraId="30BD8451" w14:textId="77777777" w:rsidR="00FE0812" w:rsidRDefault="00FE0812" w:rsidP="0082095D">
      <w:pPr>
        <w:spacing w:after="0" w:line="240" w:lineRule="auto"/>
      </w:pPr>
      <w:r>
        <w:continuationSeparator/>
      </w:r>
    </w:p>
  </w:footnote>
  <w:footnote w:type="continuationNotice" w:id="1">
    <w:p w14:paraId="52222495" w14:textId="77777777" w:rsidR="00FE0812" w:rsidRDefault="00FE0812">
      <w:pPr>
        <w:spacing w:after="0" w:line="240" w:lineRule="auto"/>
      </w:pPr>
    </w:p>
  </w:footnote>
  <w:footnote w:id="2">
    <w:p w14:paraId="3BA6AF2F" w14:textId="11DBC015" w:rsidR="00531DB2" w:rsidRDefault="00531DB2">
      <w:pPr>
        <w:pStyle w:val="FootnoteText"/>
      </w:pPr>
      <w:r>
        <w:rPr>
          <w:rStyle w:val="FootnoteReference"/>
        </w:rPr>
        <w:footnoteRef/>
      </w:r>
      <w:r>
        <w:t xml:space="preserve"> Ce guide mentionne la consommation de drogues injectables. Cependant, les stratégies de prévention de première ligne pour les personnes qui s’injectent des drogues (PWID) sont l’échange de seringues et/ou la réduction des risques et le traitement de la toxicomanie. La PrEP orale quotidienne </w:t>
      </w:r>
      <w:r w:rsidR="0070291C">
        <w:t>à</w:t>
      </w:r>
      <w:r>
        <w:t xml:space="preserve"> certains effets préventifs pour cette population et devrait être proposée dans le cadre d’un ensemble plus large de mesures de prévention. Il est important de noter que les personnes qui s’injectent des drogues peuvent également avoir des expositions sexuelles pour lesquelles l’échange de seringues et/ou la réduction des risques et le traitement de la toxicomanie ne constituent pas des stratégies de prévention nécessaires. </w:t>
      </w:r>
    </w:p>
  </w:footnote>
  <w:footnote w:id="3">
    <w:p w14:paraId="11392695" w14:textId="113BE28E" w:rsidR="00D512A2" w:rsidRPr="00D75DC1" w:rsidRDefault="00D512A2">
      <w:pPr>
        <w:pStyle w:val="FootnoteText"/>
      </w:pPr>
      <w:r>
        <w:rPr>
          <w:rStyle w:val="FootnoteReference"/>
        </w:rPr>
        <w:footnoteRef/>
      </w:r>
      <w:r>
        <w:t xml:space="preserve"> OMS. Consolidated Guidelines on HIV Viral Hepatitis and STI Prevention, Diagnosis, Treatment, and Care for Key Populations (Directives consolidées sur la prévention, le diagnostic, le traitement et les soins relatifs au VIH, aux hépatites virales et aux IST pour les populations clés) [Internet]. Genève : OMS ; 2022 [cité le 15 novembre 2022]. Disponible sur : </w:t>
      </w:r>
      <w:hyperlink r:id="rId1" w:history="1">
        <w:r>
          <w:rPr>
            <w:rStyle w:val="Hyperlink"/>
          </w:rPr>
          <w:t>https://www.who.int/publications/i/item/9789240052390</w:t>
        </w:r>
      </w:hyperlink>
      <w:r>
        <w:t>.</w:t>
      </w:r>
    </w:p>
  </w:footnote>
  <w:footnote w:id="4">
    <w:p w14:paraId="31F2F873" w14:textId="7E7F7FAC" w:rsidR="004137BC" w:rsidRPr="007931C9" w:rsidRDefault="004137BC">
      <w:pPr>
        <w:pStyle w:val="FootnoteText"/>
      </w:pPr>
      <w:r>
        <w:rPr>
          <w:rStyle w:val="FootnoteReference"/>
        </w:rPr>
        <w:footnoteRef/>
      </w:r>
      <w:r>
        <w:t xml:space="preserve"> Fonner VA, Dalglish SL, Kennedy CE, Baggaley R, O’Reilly KR, Koechlin FM, et al. Effectiveness and safety of oral HIV preexposure prophylaxis for all populations (Efficacité et sécurité de la prophylaxie orale préexposition au VIH pour toutes les populations). SIDA. 31 juillet 2016 ; 30:1973–83.</w:t>
      </w:r>
    </w:p>
  </w:footnote>
  <w:footnote w:id="5">
    <w:p w14:paraId="47F0150B" w14:textId="6108FD3B" w:rsidR="00B81FE8" w:rsidRPr="00203C5F" w:rsidRDefault="00B81FE8">
      <w:pPr>
        <w:pStyle w:val="FootnoteText"/>
        <w:rPr>
          <w:color w:val="FF0000"/>
        </w:rPr>
      </w:pPr>
      <w:r>
        <w:rPr>
          <w:rStyle w:val="FootnoteReference"/>
        </w:rPr>
        <w:footnoteRef/>
      </w:r>
      <w:r>
        <w:t xml:space="preserve"> L’exposition parentérale au VIH désigne l’exposition par contact sous-cutané, intramusculaire ou intraveineux avec le sang ou un autre liquide organique d’une personne vivant avec le VIH. Cela peut inclure les expositions liées aux injections. </w:t>
      </w:r>
    </w:p>
  </w:footnote>
  <w:footnote w:id="6">
    <w:p w14:paraId="2F246360" w14:textId="57C248C9" w:rsidR="009D5380" w:rsidRDefault="009D5380">
      <w:pPr>
        <w:pStyle w:val="FootnoteText"/>
      </w:pPr>
      <w:r>
        <w:rPr>
          <w:rStyle w:val="FootnoteReference"/>
        </w:rPr>
        <w:footnoteRef/>
      </w:r>
      <w:r>
        <w:t xml:space="preserve"> Les personnes déclarées de sexe masculin à la naissance peuvent inclure les hommes cisgenres, les femmes transgenres et certaines personnes non binaires. Cisgenre désigne une personne dont le sentiment d’identité personnelle et le genre correspondent au sexe qui lui a été assigné à la naissance.</w:t>
      </w:r>
    </w:p>
  </w:footnote>
  <w:footnote w:id="7">
    <w:p w14:paraId="3AAB2F27" w14:textId="6B047B1A" w:rsidR="004655C6" w:rsidRDefault="004655C6">
      <w:pPr>
        <w:pStyle w:val="FootnoteText"/>
      </w:pPr>
      <w:r>
        <w:rPr>
          <w:rStyle w:val="FootnoteReference"/>
        </w:rPr>
        <w:footnoteRef/>
      </w:r>
      <w:r>
        <w:t xml:space="preserve"> L’œstradiol est une hormone œstrogène, parfois utilisée dans le cadre d’une hormonothérapie d’affirmation du genre par certaines personnes transgenres ou non binaires. </w:t>
      </w:r>
    </w:p>
  </w:footnote>
  <w:footnote w:id="8">
    <w:p w14:paraId="231D7B4F" w14:textId="66A595BC" w:rsidR="00F56C2C" w:rsidRDefault="00F56C2C">
      <w:pPr>
        <w:pStyle w:val="FootnoteText"/>
      </w:pPr>
      <w:r>
        <w:rPr>
          <w:rStyle w:val="FootnoteReference"/>
        </w:rPr>
        <w:footnoteRef/>
      </w:r>
      <w:r>
        <w:t xml:space="preserve"> Les hormones exogènes ne proviennent pas du corps, ce qui signifie que la personne ingère ou s’injecte l’hormone. </w:t>
      </w:r>
    </w:p>
  </w:footnote>
  <w:footnote w:id="9">
    <w:p w14:paraId="097E4CCB" w14:textId="7C10DE86" w:rsidR="001D5712" w:rsidRDefault="001D5712">
      <w:pPr>
        <w:pStyle w:val="FootnoteText"/>
      </w:pPr>
      <w:r>
        <w:rPr>
          <w:rStyle w:val="FootnoteReference"/>
        </w:rPr>
        <w:footnoteRef/>
      </w:r>
      <w:r>
        <w:t xml:space="preserve"> OMS. Appropriate medicines: options for pre-exposure prophylaxis (Médicaments appropriés : options pour la prophylaxie </w:t>
      </w:r>
      <w:r w:rsidR="00DF3220">
        <w:t>préexposition</w:t>
      </w:r>
      <w:r>
        <w:t xml:space="preserve">) [Internet]. Genève : OMS ; 2018 [cité le 15 novembre 2022]. Disponible sur : </w:t>
      </w:r>
      <w:hyperlink r:id="rId2" w:history="1">
        <w:r>
          <w:rPr>
            <w:rStyle w:val="Hyperlink"/>
          </w:rPr>
          <w:t>https://www.who.int/publications/i/item/WHO-CDS-HIV-18.22</w:t>
        </w:r>
      </w:hyperlink>
      <w:r>
        <w:rPr>
          <w:rStyle w:val="Hyperlink"/>
        </w:rPr>
        <w:t>.</w:t>
      </w:r>
      <w:r>
        <w:t xml:space="preserve">   </w:t>
      </w:r>
    </w:p>
  </w:footnote>
  <w:footnote w:id="10">
    <w:p w14:paraId="57F7A09F" w14:textId="1FF9F99D" w:rsidR="00FC5986" w:rsidRPr="00253078" w:rsidRDefault="00FC5986">
      <w:pPr>
        <w:pStyle w:val="FootnoteText"/>
        <w:rPr>
          <w:lang w:val="en-US"/>
        </w:rPr>
      </w:pPr>
      <w:r>
        <w:rPr>
          <w:rStyle w:val="FootnoteReference"/>
        </w:rPr>
        <w:footnoteRef/>
      </w:r>
      <w:r>
        <w:t xml:space="preserve"> Baeten JM, Donnell D, Ndase P, Mugo NR, Campbell JD, Wangisi J, et al. Antiretroviral prophylaxis for HIV prevention in heterosexual men and women (Prophylaxie antirétrovirale pour la prévention du VIH chez les hommes et les femmes hétérosexuels). </w:t>
      </w:r>
      <w:r w:rsidRPr="00253078">
        <w:rPr>
          <w:lang w:val="en-US"/>
        </w:rPr>
        <w:t>N Engl J Med. 12 août 2012 ; 367:399–410.</w:t>
      </w:r>
    </w:p>
  </w:footnote>
  <w:footnote w:id="11">
    <w:p w14:paraId="1320F81F" w14:textId="4980096C" w:rsidR="00E9179B" w:rsidRDefault="00E9179B">
      <w:pPr>
        <w:pStyle w:val="FootnoteText"/>
      </w:pPr>
      <w:r>
        <w:rPr>
          <w:rStyle w:val="FootnoteReference"/>
        </w:rPr>
        <w:footnoteRef/>
      </w:r>
      <w:r w:rsidRPr="00253078">
        <w:rPr>
          <w:lang w:val="en-US"/>
        </w:rPr>
        <w:t xml:space="preserve"> Hanscom B, Janes HE, Guarino PD, Huang Y, Brown E, Chen YQ, et al. </w:t>
      </w:r>
      <w:r>
        <w:t>Brief report: preventing HIV-1 infection in women using oral preexposure prophylaxis: a meta-analysis of current evidence (Rapport succinct : prévention de l’infection par le VIH-1 chez les femmes utilisant une prophylaxie pré-exposition orale : une méta-analyse des preuves actuelles). J Acquir Immune Defic Syndr. 15 déc. 2016 ; 73:606–08.</w:t>
      </w:r>
    </w:p>
  </w:footnote>
  <w:footnote w:id="12">
    <w:p w14:paraId="3D5368AE" w14:textId="5C133B82" w:rsidR="009F3FE2" w:rsidRDefault="009F3FE2">
      <w:pPr>
        <w:pStyle w:val="FootnoteText"/>
      </w:pPr>
      <w:r>
        <w:rPr>
          <w:rStyle w:val="FootnoteReference"/>
        </w:rPr>
        <w:footnoteRef/>
      </w:r>
      <w:r>
        <w:t xml:space="preserve"> Grant RM, Lama JR, Anderson PL, McMahan V, Liu AY, Vargas L. et al. Preexposure chemoprophylaxis for HIV prevention in men who have sex with men (Chimioprophylaxie </w:t>
      </w:r>
      <w:r w:rsidR="00DF3220">
        <w:t>préexposition</w:t>
      </w:r>
      <w:r>
        <w:t xml:space="preserve"> pour la prévention du VIH chez les hommes ayant des rapports sexuels avec des hommes). N Engl J Med. 30 déc. 2010 ; 363:2587-99.</w:t>
      </w:r>
    </w:p>
  </w:footnote>
  <w:footnote w:id="13">
    <w:p w14:paraId="722ACFFA" w14:textId="4E9B64C6" w:rsidR="00FE76CA" w:rsidRDefault="00FE76CA">
      <w:pPr>
        <w:pStyle w:val="FootnoteText"/>
      </w:pPr>
      <w:r>
        <w:rPr>
          <w:rStyle w:val="FootnoteReference"/>
        </w:rPr>
        <w:footnoteRef/>
      </w:r>
      <w:r>
        <w:t xml:space="preserve"> Molina JM, Charreau I, Spire B, Cotte L, Chas J, Capitant C, et al. Efficacy, safety and effect on sexual behaviour of on-demand pre-exposure prophylaxis for HIV in men who have sex with men: an observational cohort study (Efficacité, sécurité et effet sur le comportement sexuel de la prophylaxie </w:t>
      </w:r>
      <w:r w:rsidR="00DF3220">
        <w:t>préexposition</w:t>
      </w:r>
      <w:r>
        <w:t xml:space="preserve"> au VIH à la demande chez les hommes ayant des rapports sexuels avec des hommes : une étude par observation de cohortes). Lancet HIV. Sept. 2017 ; 4(9):e402–e410. </w:t>
      </w:r>
    </w:p>
  </w:footnote>
  <w:footnote w:id="14">
    <w:p w14:paraId="13A6E72D" w14:textId="59328994" w:rsidR="00CD5706" w:rsidRDefault="00CD5706">
      <w:pPr>
        <w:pStyle w:val="FootnoteText"/>
      </w:pPr>
      <w:r>
        <w:rPr>
          <w:rStyle w:val="FootnoteReference"/>
        </w:rPr>
        <w:footnoteRef/>
      </w:r>
      <w:r>
        <w:t xml:space="preserve"> Molina JM, Capitant C, Spire B, Pialoux G, Cotte L, Charreau I, et al. On-demand pre-exposure prophylaxis in men at high risk for HIV-1 infection (Prophylaxie </w:t>
      </w:r>
      <w:r w:rsidR="00DF3220">
        <w:t>préexposition</w:t>
      </w:r>
      <w:r>
        <w:t xml:space="preserve"> à la demande chez les hommes à haut risque d’infection par le VIH-1). N Engl J Med. 3 déc. 2015 ; 373(23):2237–46.</w:t>
      </w:r>
    </w:p>
  </w:footnote>
  <w:footnote w:id="15">
    <w:p w14:paraId="3D7D05A6" w14:textId="04D55739" w:rsidR="00776224" w:rsidRPr="00BC050B" w:rsidRDefault="00776224" w:rsidP="00776224">
      <w:pPr>
        <w:pStyle w:val="FootnoteText"/>
      </w:pPr>
      <w:r w:rsidRPr="00BC050B">
        <w:rPr>
          <w:rStyle w:val="FootnoteReference"/>
        </w:rPr>
        <w:footnoteRef/>
      </w:r>
      <w:r w:rsidRPr="00BC050B">
        <w:t xml:space="preserve"> </w:t>
      </w:r>
      <w:r w:rsidRPr="00BC050B">
        <w:rPr>
          <w:i/>
          <w:iCs/>
        </w:rPr>
        <w:t>Cette liste est fournie pour faciliter l’interprétation de ce guide et n’inclut pas toutes les identités de genre ni l’intégralité des termes qui peuvent être utilisés par les personnes avec des identités de genre différentes pour se décrire et/ou décrire leurs communautés.</w:t>
      </w:r>
      <w:r w:rsidRPr="00BC050B">
        <w:rPr>
          <w:i/>
          <w:iCs/>
          <w:color w:val="000000" w:themeColor="text1"/>
        </w:rPr>
        <w:t xml:space="preserve"> Commencer et arrêter l’utilisation de la PrEP orale doit être basé sur les facteurs de la première colonne.</w:t>
      </w:r>
    </w:p>
  </w:footnote>
  <w:footnote w:id="16">
    <w:p w14:paraId="598CA6D5" w14:textId="106D9981" w:rsidR="003C5C1E" w:rsidRPr="00BC050B" w:rsidRDefault="003C5C1E" w:rsidP="003C5C1E">
      <w:pPr>
        <w:spacing w:after="120" w:line="240" w:lineRule="auto"/>
        <w:rPr>
          <w:color w:val="000000"/>
          <w:sz w:val="20"/>
          <w:szCs w:val="20"/>
        </w:rPr>
      </w:pPr>
      <w:r w:rsidRPr="00BC050B">
        <w:rPr>
          <w:rStyle w:val="FootnoteReference"/>
          <w:sz w:val="20"/>
          <w:szCs w:val="20"/>
        </w:rPr>
        <w:footnoteRef/>
      </w:r>
      <w:r w:rsidRPr="00BC050B">
        <w:rPr>
          <w:sz w:val="20"/>
          <w:szCs w:val="20"/>
        </w:rPr>
        <w:t xml:space="preserve"> </w:t>
      </w:r>
      <w:r w:rsidRPr="00BC050B">
        <w:rPr>
          <w:i/>
          <w:iCs/>
          <w:sz w:val="20"/>
          <w:szCs w:val="20"/>
        </w:rPr>
        <w:t>Ce guide mentionne la consommation de drogues injectables. Cependant, les stratégies de prévention de première ligne pour les personnes qui s’injectent des drogues sont l’échange de seringues et/ou la réduction des risques et le traitement de la toxicomanie.</w:t>
      </w:r>
      <w:r w:rsidRPr="00BC050B">
        <w:rPr>
          <w:i/>
          <w:iCs/>
          <w:color w:val="000000" w:themeColor="text1"/>
          <w:sz w:val="20"/>
          <w:szCs w:val="20"/>
        </w:rPr>
        <w:t xml:space="preserve"> La PrEP orale quotidienne </w:t>
      </w:r>
      <w:r w:rsidR="0070291C" w:rsidRPr="00BC050B">
        <w:rPr>
          <w:i/>
          <w:iCs/>
          <w:color w:val="000000" w:themeColor="text1"/>
          <w:sz w:val="20"/>
          <w:szCs w:val="20"/>
        </w:rPr>
        <w:t>à</w:t>
      </w:r>
      <w:r w:rsidRPr="00BC050B">
        <w:rPr>
          <w:i/>
          <w:iCs/>
          <w:color w:val="000000" w:themeColor="text1"/>
          <w:sz w:val="20"/>
          <w:szCs w:val="20"/>
        </w:rPr>
        <w:t xml:space="preserve"> certains effets préventifs pour cette population et devrait être proposée dans le cadre d’un ensemble plus large de mesures de prévention.</w:t>
      </w:r>
    </w:p>
    <w:p w14:paraId="03E91DDD" w14:textId="77777777" w:rsidR="003C5C1E" w:rsidRDefault="003C5C1E" w:rsidP="003C5C1E">
      <w:pPr>
        <w:pStyle w:val="FootnoteText"/>
      </w:pPr>
    </w:p>
  </w:footnote>
  <w:footnote w:id="17">
    <w:p w14:paraId="3F913B19" w14:textId="36831A48" w:rsidR="00BC20B7" w:rsidRPr="007314B0" w:rsidRDefault="00BC20B7" w:rsidP="00BC20B7">
      <w:pPr>
        <w:pStyle w:val="FootnoteText"/>
      </w:pPr>
      <w:r w:rsidRPr="007314B0">
        <w:rPr>
          <w:rStyle w:val="FootnoteReference"/>
        </w:rPr>
        <w:footnoteRef/>
      </w:r>
      <w:r w:rsidRPr="007314B0">
        <w:t xml:space="preserve"> Les personnes déclarées de sexe féminin à la naissance peuvent inclure les femmes cisgenres, les hommes transgenres et certaines personnes non binaires.</w:t>
      </w:r>
    </w:p>
  </w:footnote>
  <w:footnote w:id="18">
    <w:p w14:paraId="2622EDBB" w14:textId="69D8743E" w:rsidR="00DB1213" w:rsidRPr="007314B0" w:rsidRDefault="00DB1213">
      <w:pPr>
        <w:pStyle w:val="FootnoteText"/>
        <w:rPr>
          <w:lang w:val="en-US"/>
        </w:rPr>
      </w:pPr>
      <w:r w:rsidRPr="007314B0">
        <w:rPr>
          <w:rStyle w:val="FootnoteReference"/>
        </w:rPr>
        <w:footnoteRef/>
      </w:r>
      <w:r w:rsidRPr="007314B0">
        <w:t xml:space="preserve"> </w:t>
      </w:r>
      <w:r w:rsidR="00224FBA" w:rsidRPr="007314B0">
        <w:t xml:space="preserve">Bunge K, Balkus JE, Fairlie L, Mayo AJ, Nakabiito C, Mgodi N, et al. </w:t>
      </w:r>
      <w:r w:rsidR="00224FBA" w:rsidRPr="007314B0">
        <w:rPr>
          <w:lang w:val="en-US"/>
        </w:rPr>
        <w:t xml:space="preserve">DELIVER: A safety study of a dapivirine vaginal ring and oral PrEP for the prevention of HIV during pregnancy. </w:t>
      </w:r>
      <w:r w:rsidR="00224FBA" w:rsidRPr="007314B0">
        <w:t xml:space="preserve">J </w:t>
      </w:r>
      <w:proofErr w:type="spellStart"/>
      <w:r w:rsidR="00224FBA" w:rsidRPr="007314B0">
        <w:t>Acquir</w:t>
      </w:r>
      <w:proofErr w:type="spellEnd"/>
      <w:r w:rsidR="00224FBA" w:rsidRPr="007314B0">
        <w:t xml:space="preserve"> Immune </w:t>
      </w:r>
      <w:proofErr w:type="spellStart"/>
      <w:r w:rsidR="00224FBA" w:rsidRPr="007314B0">
        <w:t>Defic</w:t>
      </w:r>
      <w:proofErr w:type="spellEnd"/>
      <w:r w:rsidR="00224FBA" w:rsidRPr="007314B0">
        <w:t xml:space="preserve"> </w:t>
      </w:r>
      <w:proofErr w:type="spellStart"/>
      <w:r w:rsidR="00224FBA" w:rsidRPr="007314B0">
        <w:t>Syndr</w:t>
      </w:r>
      <w:proofErr w:type="spellEnd"/>
      <w:r w:rsidR="00224FBA" w:rsidRPr="007314B0">
        <w:t>. Forthcoming 2023. doi: 10.1097/QAI.0000000000003312</w:t>
      </w:r>
    </w:p>
  </w:footnote>
  <w:footnote w:id="19">
    <w:p w14:paraId="419FEF6C" w14:textId="32972E9F" w:rsidR="00F77BE8" w:rsidRPr="007314B0" w:rsidRDefault="00F77BE8">
      <w:pPr>
        <w:pStyle w:val="FootnoteText"/>
      </w:pPr>
      <w:r w:rsidRPr="007314B0">
        <w:rPr>
          <w:rStyle w:val="FootnoteReference"/>
        </w:rPr>
        <w:footnoteRef/>
      </w:r>
      <w:r w:rsidRPr="007314B0">
        <w:t xml:space="preserve"> </w:t>
      </w:r>
      <w:proofErr w:type="spellStart"/>
      <w:r w:rsidRPr="007314B0">
        <w:t>Makanani</w:t>
      </w:r>
      <w:proofErr w:type="spellEnd"/>
      <w:r w:rsidRPr="007314B0">
        <w:t xml:space="preserve"> B, </w:t>
      </w:r>
      <w:proofErr w:type="spellStart"/>
      <w:r w:rsidRPr="007314B0">
        <w:t>Balkus</w:t>
      </w:r>
      <w:proofErr w:type="spellEnd"/>
      <w:r w:rsidRPr="007314B0">
        <w:t xml:space="preserve"> JE, </w:t>
      </w:r>
      <w:proofErr w:type="spellStart"/>
      <w:r w:rsidRPr="007314B0">
        <w:t>Jiao</w:t>
      </w:r>
      <w:proofErr w:type="spellEnd"/>
      <w:r w:rsidRPr="007314B0">
        <w:t xml:space="preserve"> Y, Noguchi LM, Palanee-Phillips T, </w:t>
      </w:r>
      <w:proofErr w:type="spellStart"/>
      <w:r w:rsidRPr="007314B0">
        <w:t>Mbilizi</w:t>
      </w:r>
      <w:proofErr w:type="spellEnd"/>
      <w:r w:rsidRPr="007314B0">
        <w:t xml:space="preserve"> Y, et al. Pregnancy and infant outcomes among women using the dapivirine vaginal ring in early pregnancy (Effets sur la grossesse et le nourrisson chez les femmes qui utilisent l’anneau vaginal à la dapivirine en début de grossesse). J Acquir Immune Defic Syndr. 15 déc. 2018 ; 79(5):566-72.</w:t>
      </w:r>
    </w:p>
  </w:footnote>
  <w:footnote w:id="20">
    <w:p w14:paraId="6AABBB88" w14:textId="1F9DB17D" w:rsidR="007200EC" w:rsidRPr="007314B0" w:rsidRDefault="007200EC">
      <w:pPr>
        <w:pStyle w:val="FootnoteText"/>
        <w:rPr>
          <w:lang w:val="en-US"/>
        </w:rPr>
      </w:pPr>
      <w:r w:rsidRPr="007314B0">
        <w:rPr>
          <w:rStyle w:val="FootnoteReference"/>
        </w:rPr>
        <w:footnoteRef/>
      </w:r>
      <w:r w:rsidRPr="007314B0">
        <w:t xml:space="preserve"> </w:t>
      </w:r>
      <w:r w:rsidR="00D84E71" w:rsidRPr="007314B0">
        <w:t xml:space="preserve">Owor M, Noguchi L, Horne E, Matimbira M, Ssemambo PK, Madhlopa-Mandiwa V, et al. </w:t>
      </w:r>
      <w:r w:rsidR="00D84E71" w:rsidRPr="007314B0">
        <w:rPr>
          <w:lang w:val="en-US"/>
        </w:rPr>
        <w:t>Dapivirine ring safety and drug detection in breastfeeding mother-infant pairs. [abstract]. 30th Conference on Retroviruses and Opportunistic Infections (CROI). 2023 February 19-22; Virtual. Available from: DAPIVIRINE RING SAFETY AND DRUG DETECTION IN BREASTFEEDING MOTHER-INFANT PAIRS - CROI Conference</w:t>
      </w:r>
    </w:p>
  </w:footnote>
  <w:footnote w:id="21">
    <w:p w14:paraId="553E2EE1" w14:textId="11EA6FD1" w:rsidR="00A00D94" w:rsidRDefault="00A00D94">
      <w:pPr>
        <w:pStyle w:val="FootnoteText"/>
      </w:pPr>
      <w:r>
        <w:rPr>
          <w:rStyle w:val="FootnoteReference"/>
        </w:rPr>
        <w:footnoteRef/>
      </w:r>
      <w:r w:rsidRPr="00C2317B">
        <w:rPr>
          <w:lang w:val="en-US"/>
        </w:rPr>
        <w:t xml:space="preserve"> Noguchi LM, Hoesley C, Kelly C, Scheckter R, Bunge K, Nel A, et al. </w:t>
      </w:r>
      <w:proofErr w:type="spellStart"/>
      <w:r>
        <w:t>Pharmacokinetics</w:t>
      </w:r>
      <w:proofErr w:type="spellEnd"/>
      <w:r>
        <w:t xml:space="preserve"> of dapivirine </w:t>
      </w:r>
      <w:proofErr w:type="spellStart"/>
      <w:r>
        <w:t>transfer</w:t>
      </w:r>
      <w:proofErr w:type="spellEnd"/>
      <w:r>
        <w:t xml:space="preserve"> into blood plasma, breast milk, and cervicovaginal fluid of lactating women using the dapivirine vaginal ring (Pharmacocinétique du transfert de la dapivirine dans le plasma sanguin, le lait maternel et le liquide cervicovaginal des femmes qui allaitent et qui utilisent l’anneau vaginal à la dapivirine). Antimicrob Agents Chemother. 26 fév. 2019 ; 63(3):e01930–18. </w:t>
      </w:r>
    </w:p>
  </w:footnote>
  <w:footnote w:id="22">
    <w:p w14:paraId="6A566A14" w14:textId="13777D31" w:rsidR="00BD7616" w:rsidRDefault="00BD7616" w:rsidP="00BD7616">
      <w:pPr>
        <w:pStyle w:val="FootnoteText"/>
      </w:pPr>
      <w:r>
        <w:rPr>
          <w:rStyle w:val="FootnoteReference"/>
        </w:rPr>
        <w:footnoteRef/>
      </w:r>
      <w:r>
        <w:t xml:space="preserve"> Noguchi L, Owor M, Mirembe B, Horne E, Mgodi N, Taulo F, et al. Phase 3B, randomized, open-label, safety study of dapivirine vaginal ring and oral emtricitabine 200mg/tenofovir disoproxil fumarate 300mg tablet in breastfeeding mother-infant pairs (Étude de phase 3B randomisée et ouverte sur l’innocuité de l’anneau vaginal à la dapivirine et du comprimé oral d’emtricitabine 200 mg/tenofovir disoproxil fumarate 300 mg chez les mères qui allaitent et les nourrissons). [Poster] 24</w:t>
      </w:r>
      <w:r>
        <w:rPr>
          <w:vertAlign w:val="superscript"/>
        </w:rPr>
        <w:t>e</w:t>
      </w:r>
      <w:r>
        <w:t xml:space="preserve"> édition de la conférence internationale sur le SIDA ; du 29 juillet au 2 août 2022 ; Montréal, Canada. Disponible sur : </w:t>
      </w:r>
      <w:hyperlink r:id="rId3" w:history="1">
        <w:r>
          <w:rPr>
            <w:rStyle w:val="Hyperlink"/>
          </w:rPr>
          <w:t>https://programme.aids2022.org/Abstract/Abstract/?abstractid=12893</w:t>
        </w:r>
      </w:hyperlink>
      <w:r>
        <w:t>.</w:t>
      </w:r>
    </w:p>
  </w:footnote>
  <w:footnote w:id="23">
    <w:p w14:paraId="26D88228" w14:textId="75B9E8D0" w:rsidR="00791DD1" w:rsidRDefault="00791DD1">
      <w:pPr>
        <w:pStyle w:val="FootnoteText"/>
      </w:pPr>
      <w:r>
        <w:rPr>
          <w:rStyle w:val="FootnoteReference"/>
        </w:rPr>
        <w:footnoteRef/>
      </w:r>
      <w:r>
        <w:t xml:space="preserve"> Baeten JM, Palanee-Phillips T, Mgodi NM, Mayo AJ, Szydlo DW, Ramjee G, et al. Équipe de l’étude MTN-025/HOPE. Safety, uptake, and use of a dapivirine vaginal ring for HIV-1 prevention in African women (HOPE): an open-label, extension study (Sécurité, adoption et utilisation d’un anneau vaginal à la dapivirine pour la prévention du VIH-1 chez les femmes africaines (HOPE) : une étude de prolongation ouverte). Lancet HIV. Fév. 2021 ; 8(2): e87–e95.</w:t>
      </w:r>
    </w:p>
  </w:footnote>
  <w:footnote w:id="24">
    <w:p w14:paraId="7FE29FC5" w14:textId="6997DE2C" w:rsidR="0028145C" w:rsidRDefault="0028145C">
      <w:pPr>
        <w:pStyle w:val="FootnoteText"/>
      </w:pPr>
      <w:r>
        <w:rPr>
          <w:rStyle w:val="FootnoteReference"/>
        </w:rPr>
        <w:footnoteRef/>
      </w:r>
      <w:r>
        <w:t xml:space="preserve"> Peebles K, Brown ER, Hendrix CW, Palanee-Phillips T, van der Straten A, Harkoo I, et al. Dapivirine ring HIV-1 prevention effectiveness for women engaged in vaginal and anal intercourse: insights from mathematical modeling (Efficacité de l’anneau de dapivirine pour la prévention du VIH-1 chez les femmes ayant des rapports sexuels vaginaux et anaux : perspectives à partir de la modélisation mathématique). J Acquir Immune Defic Syndr. 3 oct. 2022. doi: 10.1097/QQAI.0000000000003110. </w:t>
      </w:r>
    </w:p>
  </w:footnote>
  <w:footnote w:id="25">
    <w:p w14:paraId="7AE748BC" w14:textId="02333114" w:rsidR="0028145C" w:rsidRDefault="0028145C">
      <w:pPr>
        <w:pStyle w:val="FootnoteText"/>
      </w:pPr>
      <w:r>
        <w:rPr>
          <w:rStyle w:val="FootnoteReference"/>
        </w:rPr>
        <w:footnoteRef/>
      </w:r>
      <w:r>
        <w:t xml:space="preserve"> Brown ER, Hendrix CW, van der Straten A, Kiweewa FM, Mgodi NM, Palanee-Phillips T, et al. Greater dapivirine release from the dapivirine vaginal ring is correlated with lower risk of HIV-1 acquisition: a secondary analysis from a randomized, placebo-controlled trial (Corrélation entre une plus grande libération de dapivirine par l’anneau vaginal et un risque plus faible d’acquisition du VIH-1 : analyse complémentaire d’un essai randomisé contrôlé par placebo). J Int AIDS Soc. Nov. 2020 ; 23(11): e25634.</w:t>
      </w:r>
    </w:p>
  </w:footnote>
  <w:footnote w:id="26">
    <w:p w14:paraId="555C8DBF" w14:textId="58A76DB2" w:rsidR="007F085B" w:rsidRDefault="007F085B">
      <w:pPr>
        <w:pStyle w:val="FootnoteText"/>
      </w:pPr>
      <w:r>
        <w:rPr>
          <w:rStyle w:val="FootnoteReference"/>
        </w:rPr>
        <w:footnoteRef/>
      </w:r>
      <w:r>
        <w:t xml:space="preserve"> Bunge KE, Levy L, Szydlo DW, Zhang J, Gaur AH, Reirden D, et al. Phase IIa safety study of a vaginal ring containing dapivirine in adolescent young women (Étude de sécurité de phase IIa d’un anneau vaginal contenant de la dapivirine chez de jeunes adolescentes). J Acquir Immune Defic Syndr. 1</w:t>
      </w:r>
      <w:r>
        <w:rPr>
          <w:vertAlign w:val="superscript"/>
        </w:rPr>
        <w:t>er</w:t>
      </w:r>
      <w:r>
        <w:t xml:space="preserve"> fév. 2020 ; 83(2):135–39. </w:t>
      </w:r>
    </w:p>
  </w:footnote>
  <w:footnote w:id="27">
    <w:p w14:paraId="5530C61D" w14:textId="2CD10857" w:rsidR="00CE65EF" w:rsidRDefault="00CE65EF">
      <w:pPr>
        <w:pStyle w:val="FootnoteText"/>
      </w:pPr>
      <w:r>
        <w:rPr>
          <w:rStyle w:val="FootnoteReference"/>
        </w:rPr>
        <w:footnoteRef/>
      </w:r>
      <w:r>
        <w:t xml:space="preserve"> Nair G, Ngure K, Szydlo D, Brown E, Akello C, Palanee-Phillips T, et al. Adherence to the dapivirine vaginal ring and oral PrEP among adolescent girls and young women in Africa: interim results from the REACH study (Adhésion à l’anneau vaginal à la dapivirine et à la PrEP orale chez les adolescentes et les jeunes femmes en Afrique : résultats intermédiaires de l’étude REACH). [résumé] 11e Conférence scientifique de l’IAS sur le VIH. 18-21 juillet 2021 ; virtuelle. Disponible sur : </w:t>
      </w:r>
      <w:hyperlink r:id="rId4" w:history="1">
        <w:r>
          <w:rPr>
            <w:rStyle w:val="Hyperlink"/>
          </w:rPr>
          <w:t>https://theprogramme.ias2021.org/Abstract/Abstract/2487</w:t>
        </w:r>
      </w:hyperlink>
      <w:r>
        <w:t xml:space="preserve"> </w:t>
      </w:r>
    </w:p>
  </w:footnote>
  <w:footnote w:id="28">
    <w:p w14:paraId="7FE030DB" w14:textId="4275F1AB" w:rsidR="008C27B4" w:rsidRPr="00CE6534" w:rsidRDefault="008C27B4">
      <w:pPr>
        <w:pStyle w:val="FootnoteText"/>
      </w:pPr>
      <w:r>
        <w:rPr>
          <w:rStyle w:val="FootnoteReference"/>
        </w:rPr>
        <w:footnoteRef/>
      </w:r>
      <w:r>
        <w:t xml:space="preserve"> Grinsztejn B, Hanscom B, Wang Z, Donnell D, Richardson P, Sullivan P, et al. Transgender women (TGW) in HPTN 083: an evaluation of safety, efficacy, and gender affirming hormonal therapy (GAHT) interactions with long-acting cabotegravir (CAB-LA) [abstract] (Femmes transgenres dans l’étude HPTN 083 : évaluation de la sécurité, de l’efficacité et des interactions de l’hormonothérapie d’affirmation du genre avec le cabotégravir à action prolongée CAB-LA) [résumé]). 24</w:t>
      </w:r>
      <w:r>
        <w:rPr>
          <w:vertAlign w:val="superscript"/>
        </w:rPr>
        <w:t>e</w:t>
      </w:r>
      <w:r>
        <w:t xml:space="preserve"> édition de la conférence internationale sur le SIDA ; du 29 juillet au 2 août 2022 ; Montréal, Canada. Disponible sur : </w:t>
      </w:r>
      <w:hyperlink r:id="rId5" w:history="1">
        <w:r>
          <w:rPr>
            <w:rStyle w:val="Hyperlink"/>
          </w:rPr>
          <w:t>https://programme.aids2022.org/Abstract/Abstract/?abstractid=12707</w:t>
        </w:r>
      </w:hyperlink>
      <w:r>
        <w:t xml:space="preserve">.  </w:t>
      </w:r>
    </w:p>
  </w:footnote>
  <w:footnote w:id="29">
    <w:p w14:paraId="0FC408B5" w14:textId="078718DE" w:rsidR="0024710A" w:rsidRDefault="0024710A">
      <w:pPr>
        <w:pStyle w:val="FootnoteText"/>
      </w:pPr>
      <w:r>
        <w:rPr>
          <w:rStyle w:val="FootnoteReference"/>
        </w:rPr>
        <w:footnoteRef/>
      </w:r>
      <w:r>
        <w:t xml:space="preserve"> Landovitz RJ, Li S, Grinsztejn B, Dawood H, Liu AY, Magnus M, et al. Safety, tolerability, and pharmacokinetics of long acting injectable cabotegravir in low-risk HIV uninfected individuals: HPTN 077, un essai contrôlé randomisé de phase 2a (Sécurité, tolérabilité et pharmacocinétique du cabotégravir injectable à action prolongée chez des personnes séronégatives présentant un faible risque : étude HPTN 077, un essai contrôlé randomisé de phase 2a). PLoS Med. 8 nov. 2018 ; 15(11):e10026900.</w:t>
      </w:r>
    </w:p>
  </w:footnote>
  <w:footnote w:id="30">
    <w:p w14:paraId="3D547FCD" w14:textId="2B861984" w:rsidR="00930757" w:rsidRPr="00C2317B" w:rsidRDefault="00930757">
      <w:pPr>
        <w:pStyle w:val="FootnoteText"/>
        <w:rPr>
          <w:lang w:val="en-US"/>
        </w:rPr>
      </w:pPr>
      <w:r>
        <w:rPr>
          <w:rStyle w:val="FootnoteReference"/>
        </w:rPr>
        <w:footnoteRef/>
      </w:r>
      <w:r>
        <w:t xml:space="preserve"> Landovitz RJ, Li S, Grinsztejn B, Dawood H, Liu AY, Magnus M, et al. Safety, tolerability, and pharmacokinetics of long acting injectable cabotegravir in low-risk HIV uninfected individuals: HPTN 077, un essai contrôlé randomisé de phase 2a (Sécurité, tolérabilité et pharmacocinétique du cabotégravir injectable à action prolongée chez des personnes séronégatives présentant un faible risque : étude HPTN 077, un essai contrôlé randomisé de phase 2a). </w:t>
      </w:r>
      <w:proofErr w:type="spellStart"/>
      <w:r w:rsidRPr="00C2317B">
        <w:rPr>
          <w:lang w:val="en-US"/>
        </w:rPr>
        <w:t>PLoS</w:t>
      </w:r>
      <w:proofErr w:type="spellEnd"/>
      <w:r w:rsidRPr="00C2317B">
        <w:rPr>
          <w:lang w:val="en-US"/>
        </w:rPr>
        <w:t xml:space="preserve"> Med. 8 </w:t>
      </w:r>
      <w:proofErr w:type="spellStart"/>
      <w:r w:rsidRPr="00C2317B">
        <w:rPr>
          <w:lang w:val="en-US"/>
        </w:rPr>
        <w:t>nov.</w:t>
      </w:r>
      <w:proofErr w:type="spellEnd"/>
      <w:r w:rsidRPr="00C2317B">
        <w:rPr>
          <w:lang w:val="en-US"/>
        </w:rPr>
        <w:t> </w:t>
      </w:r>
      <w:proofErr w:type="gramStart"/>
      <w:r w:rsidRPr="00C2317B">
        <w:rPr>
          <w:lang w:val="en-US"/>
        </w:rPr>
        <w:t>2018 ;</w:t>
      </w:r>
      <w:proofErr w:type="gramEnd"/>
      <w:r w:rsidRPr="00C2317B">
        <w:rPr>
          <w:lang w:val="en-US"/>
        </w:rPr>
        <w:t xml:space="preserve"> 15(11):e10026900.</w:t>
      </w:r>
    </w:p>
  </w:footnote>
  <w:footnote w:id="31">
    <w:p w14:paraId="5C3E577C" w14:textId="5F17B7F2" w:rsidR="007201EC" w:rsidRPr="00CA3D14" w:rsidRDefault="007201EC">
      <w:pPr>
        <w:pStyle w:val="FootnoteText"/>
      </w:pPr>
      <w:r>
        <w:rPr>
          <w:rStyle w:val="FootnoteReference"/>
        </w:rPr>
        <w:footnoteRef/>
      </w:r>
      <w:r w:rsidR="00CA3D14" w:rsidRPr="00CA3D14">
        <w:t xml:space="preserve"> </w:t>
      </w:r>
      <w:r w:rsidR="00CA3D14" w:rsidRPr="007314B0">
        <w:t xml:space="preserve">Les clients peuvent utiliser l’anneau PrEP en attendant un nouveau test de dépistage du VIH, si l’anneau constitue une méthode alternative de prévention du VIH appropriée compte tenu des besoins et des préférences du </w:t>
      </w:r>
      <w:proofErr w:type="gramStart"/>
      <w:r w:rsidR="00CA3D14" w:rsidRPr="007314B0">
        <w:t>client.</w:t>
      </w:r>
      <w:r w:rsidR="00884DF2" w:rsidRPr="007314B0">
        <w:t>.</w:t>
      </w:r>
      <w:proofErr w:type="gramEnd"/>
    </w:p>
  </w:footnote>
  <w:footnote w:id="32">
    <w:p w14:paraId="55A578AC" w14:textId="00B06D6D" w:rsidR="0059486B" w:rsidRDefault="0059486B">
      <w:pPr>
        <w:pStyle w:val="FootnoteText"/>
      </w:pPr>
      <w:r>
        <w:rPr>
          <w:rStyle w:val="FootnoteReference"/>
        </w:rPr>
        <w:footnoteRef/>
      </w:r>
      <w:r>
        <w:t xml:space="preserve"> OMS </w:t>
      </w:r>
      <w:proofErr w:type="spellStart"/>
      <w:r>
        <w:t>Implementation</w:t>
      </w:r>
      <w:proofErr w:type="spellEnd"/>
      <w:r>
        <w:t xml:space="preserve"> </w:t>
      </w:r>
      <w:proofErr w:type="spellStart"/>
      <w:r>
        <w:t>tool</w:t>
      </w:r>
      <w:proofErr w:type="spellEnd"/>
      <w:r>
        <w:t xml:space="preserve"> for </w:t>
      </w:r>
      <w:proofErr w:type="spellStart"/>
      <w:r>
        <w:t>pre-exposure</w:t>
      </w:r>
      <w:proofErr w:type="spellEnd"/>
      <w:r>
        <w:t xml:space="preserve"> </w:t>
      </w:r>
      <w:proofErr w:type="spellStart"/>
      <w:r>
        <w:t>prophylaxis</w:t>
      </w:r>
      <w:proofErr w:type="spellEnd"/>
      <w:r>
        <w:t xml:space="preserve"> of HIV infection – </w:t>
      </w:r>
      <w:proofErr w:type="spellStart"/>
      <w:r>
        <w:t>Integrating</w:t>
      </w:r>
      <w:proofErr w:type="spellEnd"/>
      <w:r>
        <w:t xml:space="preserve"> STI services (Outil de mise en œuvre de la prophylaxie </w:t>
      </w:r>
      <w:r w:rsidR="006B2417">
        <w:t>préexposition</w:t>
      </w:r>
      <w:r>
        <w:t xml:space="preserve"> pour infection par le VIH - Intégration des services IST). [Internet]. Genève : OMS ; 2022 [cité le 15 novembre 2022]. Disponible sur </w:t>
      </w:r>
      <w:hyperlink r:id="rId6" w:history="1">
        <w:r>
          <w:rPr>
            <w:rStyle w:val="Hyperlink"/>
          </w:rPr>
          <w:t>https://www.who.int/publications/i/item/9789240057425</w:t>
        </w:r>
      </w:hyperlink>
      <w:r>
        <w:t>.</w:t>
      </w:r>
    </w:p>
  </w:footnote>
</w:footnotes>
</file>

<file path=word/intelligence2.xml><?xml version="1.0" encoding="utf-8"?>
<int2:intelligence xmlns:int2="http://schemas.microsoft.com/office/intelligence/2020/intelligence" xmlns:oel="http://schemas.microsoft.com/office/2019/extlst">
  <int2:observations>
    <int2:bookmark int2:bookmarkName="_Int_2fVdc7G2" int2:invalidationBookmarkName="" int2:hashCode="OFZu9gqspe//Nv" int2:id="74VrXf0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7A4"/>
    <w:multiLevelType w:val="hybridMultilevel"/>
    <w:tmpl w:val="255EF784"/>
    <w:lvl w:ilvl="0" w:tplc="37E0F2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A192F"/>
    <w:multiLevelType w:val="multilevel"/>
    <w:tmpl w:val="C8C8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A7F0E"/>
    <w:multiLevelType w:val="hybridMultilevel"/>
    <w:tmpl w:val="2042EE7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F202DA"/>
    <w:multiLevelType w:val="hybridMultilevel"/>
    <w:tmpl w:val="6DB8C7D2"/>
    <w:lvl w:ilvl="0" w:tplc="53707A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5099E"/>
    <w:multiLevelType w:val="hybridMultilevel"/>
    <w:tmpl w:val="2C2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D543B"/>
    <w:multiLevelType w:val="hybridMultilevel"/>
    <w:tmpl w:val="47E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23A90"/>
    <w:multiLevelType w:val="hybridMultilevel"/>
    <w:tmpl w:val="A7BA11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000940"/>
    <w:multiLevelType w:val="hybridMultilevel"/>
    <w:tmpl w:val="FA1C9E38"/>
    <w:lvl w:ilvl="0" w:tplc="9A0687B6">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F53D3A"/>
    <w:multiLevelType w:val="hybridMultilevel"/>
    <w:tmpl w:val="FAA8AF10"/>
    <w:lvl w:ilvl="0" w:tplc="73B2DFFE">
      <w:start w:val="1"/>
      <w:numFmt w:val="decimal"/>
      <w:lvlText w:val="%1."/>
      <w:lvlJc w:val="left"/>
      <w:pPr>
        <w:ind w:left="720" w:hanging="360"/>
      </w:pPr>
      <w:rPr>
        <w:rFonts w:ascii="Arial" w:eastAsia="Arial"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6DD46D6"/>
    <w:multiLevelType w:val="hybridMultilevel"/>
    <w:tmpl w:val="74F0B608"/>
    <w:lvl w:ilvl="0" w:tplc="30E40C18">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326F54"/>
    <w:multiLevelType w:val="multilevel"/>
    <w:tmpl w:val="8F5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0C70D5"/>
    <w:multiLevelType w:val="hybridMultilevel"/>
    <w:tmpl w:val="C876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552DD"/>
    <w:multiLevelType w:val="hybridMultilevel"/>
    <w:tmpl w:val="55CE31DE"/>
    <w:lvl w:ilvl="0" w:tplc="5D783552">
      <w:start w:val="1"/>
      <w:numFmt w:val="bullet"/>
      <w:lvlText w:val=""/>
      <w:lvlJc w:val="left"/>
      <w:pPr>
        <w:tabs>
          <w:tab w:val="num" w:pos="720"/>
        </w:tabs>
        <w:ind w:left="720" w:hanging="360"/>
      </w:pPr>
      <w:rPr>
        <w:rFonts w:ascii="Symbol" w:hAnsi="Symbol" w:hint="default"/>
      </w:rPr>
    </w:lvl>
    <w:lvl w:ilvl="1" w:tplc="DFBA8F98" w:tentative="1">
      <w:start w:val="1"/>
      <w:numFmt w:val="bullet"/>
      <w:lvlText w:val=""/>
      <w:lvlJc w:val="left"/>
      <w:pPr>
        <w:tabs>
          <w:tab w:val="num" w:pos="1440"/>
        </w:tabs>
        <w:ind w:left="1440" w:hanging="360"/>
      </w:pPr>
      <w:rPr>
        <w:rFonts w:ascii="Symbol" w:hAnsi="Symbol" w:hint="default"/>
      </w:rPr>
    </w:lvl>
    <w:lvl w:ilvl="2" w:tplc="67EC5110" w:tentative="1">
      <w:start w:val="1"/>
      <w:numFmt w:val="bullet"/>
      <w:lvlText w:val=""/>
      <w:lvlJc w:val="left"/>
      <w:pPr>
        <w:tabs>
          <w:tab w:val="num" w:pos="2160"/>
        </w:tabs>
        <w:ind w:left="2160" w:hanging="360"/>
      </w:pPr>
      <w:rPr>
        <w:rFonts w:ascii="Symbol" w:hAnsi="Symbol" w:hint="default"/>
      </w:rPr>
    </w:lvl>
    <w:lvl w:ilvl="3" w:tplc="68DE7AA4" w:tentative="1">
      <w:start w:val="1"/>
      <w:numFmt w:val="bullet"/>
      <w:lvlText w:val=""/>
      <w:lvlJc w:val="left"/>
      <w:pPr>
        <w:tabs>
          <w:tab w:val="num" w:pos="2880"/>
        </w:tabs>
        <w:ind w:left="2880" w:hanging="360"/>
      </w:pPr>
      <w:rPr>
        <w:rFonts w:ascii="Symbol" w:hAnsi="Symbol" w:hint="default"/>
      </w:rPr>
    </w:lvl>
    <w:lvl w:ilvl="4" w:tplc="7648258A" w:tentative="1">
      <w:start w:val="1"/>
      <w:numFmt w:val="bullet"/>
      <w:lvlText w:val=""/>
      <w:lvlJc w:val="left"/>
      <w:pPr>
        <w:tabs>
          <w:tab w:val="num" w:pos="3600"/>
        </w:tabs>
        <w:ind w:left="3600" w:hanging="360"/>
      </w:pPr>
      <w:rPr>
        <w:rFonts w:ascii="Symbol" w:hAnsi="Symbol" w:hint="default"/>
      </w:rPr>
    </w:lvl>
    <w:lvl w:ilvl="5" w:tplc="99A25C34" w:tentative="1">
      <w:start w:val="1"/>
      <w:numFmt w:val="bullet"/>
      <w:lvlText w:val=""/>
      <w:lvlJc w:val="left"/>
      <w:pPr>
        <w:tabs>
          <w:tab w:val="num" w:pos="4320"/>
        </w:tabs>
        <w:ind w:left="4320" w:hanging="360"/>
      </w:pPr>
      <w:rPr>
        <w:rFonts w:ascii="Symbol" w:hAnsi="Symbol" w:hint="default"/>
      </w:rPr>
    </w:lvl>
    <w:lvl w:ilvl="6" w:tplc="AE78AD26" w:tentative="1">
      <w:start w:val="1"/>
      <w:numFmt w:val="bullet"/>
      <w:lvlText w:val=""/>
      <w:lvlJc w:val="left"/>
      <w:pPr>
        <w:tabs>
          <w:tab w:val="num" w:pos="5040"/>
        </w:tabs>
        <w:ind w:left="5040" w:hanging="360"/>
      </w:pPr>
      <w:rPr>
        <w:rFonts w:ascii="Symbol" w:hAnsi="Symbol" w:hint="default"/>
      </w:rPr>
    </w:lvl>
    <w:lvl w:ilvl="7" w:tplc="1F8CAE4C" w:tentative="1">
      <w:start w:val="1"/>
      <w:numFmt w:val="bullet"/>
      <w:lvlText w:val=""/>
      <w:lvlJc w:val="left"/>
      <w:pPr>
        <w:tabs>
          <w:tab w:val="num" w:pos="5760"/>
        </w:tabs>
        <w:ind w:left="5760" w:hanging="360"/>
      </w:pPr>
      <w:rPr>
        <w:rFonts w:ascii="Symbol" w:hAnsi="Symbol" w:hint="default"/>
      </w:rPr>
    </w:lvl>
    <w:lvl w:ilvl="8" w:tplc="23945BA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724589"/>
    <w:multiLevelType w:val="hybridMultilevel"/>
    <w:tmpl w:val="BEC2989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24709"/>
    <w:multiLevelType w:val="hybridMultilevel"/>
    <w:tmpl w:val="94E45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259F9"/>
    <w:multiLevelType w:val="hybridMultilevel"/>
    <w:tmpl w:val="C8E69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76188"/>
    <w:multiLevelType w:val="hybridMultilevel"/>
    <w:tmpl w:val="B70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A0BF5"/>
    <w:multiLevelType w:val="hybridMultilevel"/>
    <w:tmpl w:val="EB4443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40106E5A"/>
    <w:multiLevelType w:val="hybridMultilevel"/>
    <w:tmpl w:val="F1D2B3EE"/>
    <w:lvl w:ilvl="0" w:tplc="B5924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35ECF"/>
    <w:multiLevelType w:val="multilevel"/>
    <w:tmpl w:val="0B0299DA"/>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2"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C906536"/>
    <w:multiLevelType w:val="hybridMultilevel"/>
    <w:tmpl w:val="2460D218"/>
    <w:lvl w:ilvl="0" w:tplc="5DD635C8">
      <w:start w:val="1"/>
      <w:numFmt w:val="bullet"/>
      <w:lvlText w:val=""/>
      <w:lvlJc w:val="left"/>
      <w:pPr>
        <w:tabs>
          <w:tab w:val="num" w:pos="720"/>
        </w:tabs>
        <w:ind w:left="720" w:hanging="360"/>
      </w:pPr>
      <w:rPr>
        <w:rFonts w:ascii="Symbol" w:hAnsi="Symbol" w:hint="default"/>
      </w:rPr>
    </w:lvl>
    <w:lvl w:ilvl="1" w:tplc="C3508516" w:tentative="1">
      <w:start w:val="1"/>
      <w:numFmt w:val="bullet"/>
      <w:lvlText w:val=""/>
      <w:lvlJc w:val="left"/>
      <w:pPr>
        <w:tabs>
          <w:tab w:val="num" w:pos="1440"/>
        </w:tabs>
        <w:ind w:left="1440" w:hanging="360"/>
      </w:pPr>
      <w:rPr>
        <w:rFonts w:ascii="Symbol" w:hAnsi="Symbol" w:hint="default"/>
      </w:rPr>
    </w:lvl>
    <w:lvl w:ilvl="2" w:tplc="1298AD9A" w:tentative="1">
      <w:start w:val="1"/>
      <w:numFmt w:val="bullet"/>
      <w:lvlText w:val=""/>
      <w:lvlJc w:val="left"/>
      <w:pPr>
        <w:tabs>
          <w:tab w:val="num" w:pos="2160"/>
        </w:tabs>
        <w:ind w:left="2160" w:hanging="360"/>
      </w:pPr>
      <w:rPr>
        <w:rFonts w:ascii="Symbol" w:hAnsi="Symbol" w:hint="default"/>
      </w:rPr>
    </w:lvl>
    <w:lvl w:ilvl="3" w:tplc="7854C014" w:tentative="1">
      <w:start w:val="1"/>
      <w:numFmt w:val="bullet"/>
      <w:lvlText w:val=""/>
      <w:lvlJc w:val="left"/>
      <w:pPr>
        <w:tabs>
          <w:tab w:val="num" w:pos="2880"/>
        </w:tabs>
        <w:ind w:left="2880" w:hanging="360"/>
      </w:pPr>
      <w:rPr>
        <w:rFonts w:ascii="Symbol" w:hAnsi="Symbol" w:hint="default"/>
      </w:rPr>
    </w:lvl>
    <w:lvl w:ilvl="4" w:tplc="6F604D1A" w:tentative="1">
      <w:start w:val="1"/>
      <w:numFmt w:val="bullet"/>
      <w:lvlText w:val=""/>
      <w:lvlJc w:val="left"/>
      <w:pPr>
        <w:tabs>
          <w:tab w:val="num" w:pos="3600"/>
        </w:tabs>
        <w:ind w:left="3600" w:hanging="360"/>
      </w:pPr>
      <w:rPr>
        <w:rFonts w:ascii="Symbol" w:hAnsi="Symbol" w:hint="default"/>
      </w:rPr>
    </w:lvl>
    <w:lvl w:ilvl="5" w:tplc="2C4259A2" w:tentative="1">
      <w:start w:val="1"/>
      <w:numFmt w:val="bullet"/>
      <w:lvlText w:val=""/>
      <w:lvlJc w:val="left"/>
      <w:pPr>
        <w:tabs>
          <w:tab w:val="num" w:pos="4320"/>
        </w:tabs>
        <w:ind w:left="4320" w:hanging="360"/>
      </w:pPr>
      <w:rPr>
        <w:rFonts w:ascii="Symbol" w:hAnsi="Symbol" w:hint="default"/>
      </w:rPr>
    </w:lvl>
    <w:lvl w:ilvl="6" w:tplc="2DCEB9E2" w:tentative="1">
      <w:start w:val="1"/>
      <w:numFmt w:val="bullet"/>
      <w:lvlText w:val=""/>
      <w:lvlJc w:val="left"/>
      <w:pPr>
        <w:tabs>
          <w:tab w:val="num" w:pos="5040"/>
        </w:tabs>
        <w:ind w:left="5040" w:hanging="360"/>
      </w:pPr>
      <w:rPr>
        <w:rFonts w:ascii="Symbol" w:hAnsi="Symbol" w:hint="default"/>
      </w:rPr>
    </w:lvl>
    <w:lvl w:ilvl="7" w:tplc="C60C5292" w:tentative="1">
      <w:start w:val="1"/>
      <w:numFmt w:val="bullet"/>
      <w:lvlText w:val=""/>
      <w:lvlJc w:val="left"/>
      <w:pPr>
        <w:tabs>
          <w:tab w:val="num" w:pos="5760"/>
        </w:tabs>
        <w:ind w:left="5760" w:hanging="360"/>
      </w:pPr>
      <w:rPr>
        <w:rFonts w:ascii="Symbol" w:hAnsi="Symbol" w:hint="default"/>
      </w:rPr>
    </w:lvl>
    <w:lvl w:ilvl="8" w:tplc="2DE876C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796126"/>
    <w:multiLevelType w:val="hybridMultilevel"/>
    <w:tmpl w:val="74A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D465A"/>
    <w:multiLevelType w:val="hybridMultilevel"/>
    <w:tmpl w:val="FFFFFFFF"/>
    <w:lvl w:ilvl="0" w:tplc="5D8C43CA">
      <w:start w:val="1"/>
      <w:numFmt w:val="bullet"/>
      <w:lvlText w:val="-"/>
      <w:lvlJc w:val="left"/>
      <w:pPr>
        <w:ind w:left="720" w:hanging="360"/>
      </w:pPr>
      <w:rPr>
        <w:rFonts w:ascii="Calibri" w:hAnsi="Calibri" w:hint="default"/>
      </w:rPr>
    </w:lvl>
    <w:lvl w:ilvl="1" w:tplc="F9EA3E26">
      <w:start w:val="1"/>
      <w:numFmt w:val="bullet"/>
      <w:lvlText w:val="o"/>
      <w:lvlJc w:val="left"/>
      <w:pPr>
        <w:ind w:left="1440" w:hanging="360"/>
      </w:pPr>
      <w:rPr>
        <w:rFonts w:ascii="Courier New" w:hAnsi="Courier New" w:hint="default"/>
      </w:rPr>
    </w:lvl>
    <w:lvl w:ilvl="2" w:tplc="87ECFBB2">
      <w:start w:val="1"/>
      <w:numFmt w:val="bullet"/>
      <w:lvlText w:val=""/>
      <w:lvlJc w:val="left"/>
      <w:pPr>
        <w:ind w:left="2160" w:hanging="360"/>
      </w:pPr>
      <w:rPr>
        <w:rFonts w:ascii="Wingdings" w:hAnsi="Wingdings" w:hint="default"/>
      </w:rPr>
    </w:lvl>
    <w:lvl w:ilvl="3" w:tplc="81BA425E">
      <w:start w:val="1"/>
      <w:numFmt w:val="bullet"/>
      <w:lvlText w:val=""/>
      <w:lvlJc w:val="left"/>
      <w:pPr>
        <w:ind w:left="2880" w:hanging="360"/>
      </w:pPr>
      <w:rPr>
        <w:rFonts w:ascii="Symbol" w:hAnsi="Symbol" w:hint="default"/>
      </w:rPr>
    </w:lvl>
    <w:lvl w:ilvl="4" w:tplc="8608678A">
      <w:start w:val="1"/>
      <w:numFmt w:val="bullet"/>
      <w:lvlText w:val="o"/>
      <w:lvlJc w:val="left"/>
      <w:pPr>
        <w:ind w:left="3600" w:hanging="360"/>
      </w:pPr>
      <w:rPr>
        <w:rFonts w:ascii="Courier New" w:hAnsi="Courier New" w:hint="default"/>
      </w:rPr>
    </w:lvl>
    <w:lvl w:ilvl="5" w:tplc="A77CEE6C">
      <w:start w:val="1"/>
      <w:numFmt w:val="bullet"/>
      <w:lvlText w:val=""/>
      <w:lvlJc w:val="left"/>
      <w:pPr>
        <w:ind w:left="4320" w:hanging="360"/>
      </w:pPr>
      <w:rPr>
        <w:rFonts w:ascii="Wingdings" w:hAnsi="Wingdings" w:hint="default"/>
      </w:rPr>
    </w:lvl>
    <w:lvl w:ilvl="6" w:tplc="368E7110">
      <w:start w:val="1"/>
      <w:numFmt w:val="bullet"/>
      <w:lvlText w:val=""/>
      <w:lvlJc w:val="left"/>
      <w:pPr>
        <w:ind w:left="5040" w:hanging="360"/>
      </w:pPr>
      <w:rPr>
        <w:rFonts w:ascii="Symbol" w:hAnsi="Symbol" w:hint="default"/>
      </w:rPr>
    </w:lvl>
    <w:lvl w:ilvl="7" w:tplc="E9CE2B30">
      <w:start w:val="1"/>
      <w:numFmt w:val="bullet"/>
      <w:lvlText w:val="o"/>
      <w:lvlJc w:val="left"/>
      <w:pPr>
        <w:ind w:left="5760" w:hanging="360"/>
      </w:pPr>
      <w:rPr>
        <w:rFonts w:ascii="Courier New" w:hAnsi="Courier New" w:hint="default"/>
      </w:rPr>
    </w:lvl>
    <w:lvl w:ilvl="8" w:tplc="3282F5DC">
      <w:start w:val="1"/>
      <w:numFmt w:val="bullet"/>
      <w:lvlText w:val=""/>
      <w:lvlJc w:val="left"/>
      <w:pPr>
        <w:ind w:left="6480" w:hanging="360"/>
      </w:pPr>
      <w:rPr>
        <w:rFonts w:ascii="Wingdings" w:hAnsi="Wingdings" w:hint="default"/>
      </w:rPr>
    </w:lvl>
  </w:abstractNum>
  <w:abstractNum w:abstractNumId="26" w15:restartNumberingAfterBreak="0">
    <w:nsid w:val="566C2852"/>
    <w:multiLevelType w:val="multilevel"/>
    <w:tmpl w:val="1096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982B6D"/>
    <w:multiLevelType w:val="hybridMultilevel"/>
    <w:tmpl w:val="5906CD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B94140"/>
    <w:multiLevelType w:val="hybridMultilevel"/>
    <w:tmpl w:val="E47CF06C"/>
    <w:lvl w:ilvl="0" w:tplc="FF4EF8AA">
      <w:start w:val="1"/>
      <w:numFmt w:val="bullet"/>
      <w:lvlText w:val=""/>
      <w:lvlJc w:val="left"/>
      <w:pPr>
        <w:tabs>
          <w:tab w:val="num" w:pos="720"/>
        </w:tabs>
        <w:ind w:left="720" w:hanging="360"/>
      </w:pPr>
      <w:rPr>
        <w:rFonts w:ascii="Symbol" w:hAnsi="Symbol" w:hint="default"/>
      </w:rPr>
    </w:lvl>
    <w:lvl w:ilvl="1" w:tplc="5E428B9A" w:tentative="1">
      <w:start w:val="1"/>
      <w:numFmt w:val="bullet"/>
      <w:lvlText w:val=""/>
      <w:lvlJc w:val="left"/>
      <w:pPr>
        <w:tabs>
          <w:tab w:val="num" w:pos="1440"/>
        </w:tabs>
        <w:ind w:left="1440" w:hanging="360"/>
      </w:pPr>
      <w:rPr>
        <w:rFonts w:ascii="Symbol" w:hAnsi="Symbol" w:hint="default"/>
      </w:rPr>
    </w:lvl>
    <w:lvl w:ilvl="2" w:tplc="17F0A650" w:tentative="1">
      <w:start w:val="1"/>
      <w:numFmt w:val="bullet"/>
      <w:lvlText w:val=""/>
      <w:lvlJc w:val="left"/>
      <w:pPr>
        <w:tabs>
          <w:tab w:val="num" w:pos="2160"/>
        </w:tabs>
        <w:ind w:left="2160" w:hanging="360"/>
      </w:pPr>
      <w:rPr>
        <w:rFonts w:ascii="Symbol" w:hAnsi="Symbol" w:hint="default"/>
      </w:rPr>
    </w:lvl>
    <w:lvl w:ilvl="3" w:tplc="DE1EA962" w:tentative="1">
      <w:start w:val="1"/>
      <w:numFmt w:val="bullet"/>
      <w:lvlText w:val=""/>
      <w:lvlJc w:val="left"/>
      <w:pPr>
        <w:tabs>
          <w:tab w:val="num" w:pos="2880"/>
        </w:tabs>
        <w:ind w:left="2880" w:hanging="360"/>
      </w:pPr>
      <w:rPr>
        <w:rFonts w:ascii="Symbol" w:hAnsi="Symbol" w:hint="default"/>
      </w:rPr>
    </w:lvl>
    <w:lvl w:ilvl="4" w:tplc="9DBA71DC" w:tentative="1">
      <w:start w:val="1"/>
      <w:numFmt w:val="bullet"/>
      <w:lvlText w:val=""/>
      <w:lvlJc w:val="left"/>
      <w:pPr>
        <w:tabs>
          <w:tab w:val="num" w:pos="3600"/>
        </w:tabs>
        <w:ind w:left="3600" w:hanging="360"/>
      </w:pPr>
      <w:rPr>
        <w:rFonts w:ascii="Symbol" w:hAnsi="Symbol" w:hint="default"/>
      </w:rPr>
    </w:lvl>
    <w:lvl w:ilvl="5" w:tplc="A1C227AA" w:tentative="1">
      <w:start w:val="1"/>
      <w:numFmt w:val="bullet"/>
      <w:lvlText w:val=""/>
      <w:lvlJc w:val="left"/>
      <w:pPr>
        <w:tabs>
          <w:tab w:val="num" w:pos="4320"/>
        </w:tabs>
        <w:ind w:left="4320" w:hanging="360"/>
      </w:pPr>
      <w:rPr>
        <w:rFonts w:ascii="Symbol" w:hAnsi="Symbol" w:hint="default"/>
      </w:rPr>
    </w:lvl>
    <w:lvl w:ilvl="6" w:tplc="2CC8794A" w:tentative="1">
      <w:start w:val="1"/>
      <w:numFmt w:val="bullet"/>
      <w:lvlText w:val=""/>
      <w:lvlJc w:val="left"/>
      <w:pPr>
        <w:tabs>
          <w:tab w:val="num" w:pos="5040"/>
        </w:tabs>
        <w:ind w:left="5040" w:hanging="360"/>
      </w:pPr>
      <w:rPr>
        <w:rFonts w:ascii="Symbol" w:hAnsi="Symbol" w:hint="default"/>
      </w:rPr>
    </w:lvl>
    <w:lvl w:ilvl="7" w:tplc="A66C2836" w:tentative="1">
      <w:start w:val="1"/>
      <w:numFmt w:val="bullet"/>
      <w:lvlText w:val=""/>
      <w:lvlJc w:val="left"/>
      <w:pPr>
        <w:tabs>
          <w:tab w:val="num" w:pos="5760"/>
        </w:tabs>
        <w:ind w:left="5760" w:hanging="360"/>
      </w:pPr>
      <w:rPr>
        <w:rFonts w:ascii="Symbol" w:hAnsi="Symbol" w:hint="default"/>
      </w:rPr>
    </w:lvl>
    <w:lvl w:ilvl="8" w:tplc="02D281F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ADE4851"/>
    <w:multiLevelType w:val="hybridMultilevel"/>
    <w:tmpl w:val="3DF2B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60B8F"/>
    <w:multiLevelType w:val="hybridMultilevel"/>
    <w:tmpl w:val="4C2ED8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2384F9A"/>
    <w:multiLevelType w:val="hybridMultilevel"/>
    <w:tmpl w:val="820473FC"/>
    <w:lvl w:ilvl="0" w:tplc="754680D2">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E4F50"/>
    <w:multiLevelType w:val="hybridMultilevel"/>
    <w:tmpl w:val="EE78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B6039D"/>
    <w:multiLevelType w:val="hybridMultilevel"/>
    <w:tmpl w:val="7BD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26436C"/>
    <w:multiLevelType w:val="hybridMultilevel"/>
    <w:tmpl w:val="B36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B7238BB"/>
    <w:multiLevelType w:val="hybridMultilevel"/>
    <w:tmpl w:val="18C816A2"/>
    <w:lvl w:ilvl="0" w:tplc="66EA8670">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016F0"/>
    <w:multiLevelType w:val="multilevel"/>
    <w:tmpl w:val="872E5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931163"/>
    <w:multiLevelType w:val="hybridMultilevel"/>
    <w:tmpl w:val="73EA4F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CBE08DB"/>
    <w:multiLevelType w:val="multilevel"/>
    <w:tmpl w:val="89F04014"/>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Symbol" w:hAnsi="Symbol" w:hint="default"/>
        <w:color w:val="auto"/>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41" w15:restartNumberingAfterBreak="0">
    <w:nsid w:val="7241787E"/>
    <w:multiLevelType w:val="hybridMultilevel"/>
    <w:tmpl w:val="EE0AA534"/>
    <w:lvl w:ilvl="0" w:tplc="E122991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74B232EE"/>
    <w:multiLevelType w:val="hybridMultilevel"/>
    <w:tmpl w:val="3E2A2BFE"/>
    <w:lvl w:ilvl="0" w:tplc="3B20A00A">
      <w:start w:val="1"/>
      <w:numFmt w:val="bullet"/>
      <w:lvlText w:val=""/>
      <w:lvlJc w:val="left"/>
      <w:pPr>
        <w:tabs>
          <w:tab w:val="num" w:pos="720"/>
        </w:tabs>
        <w:ind w:left="720" w:hanging="360"/>
      </w:pPr>
      <w:rPr>
        <w:rFonts w:ascii="Symbol" w:hAnsi="Symbol" w:hint="default"/>
      </w:rPr>
    </w:lvl>
    <w:lvl w:ilvl="1" w:tplc="377612BC" w:tentative="1">
      <w:start w:val="1"/>
      <w:numFmt w:val="bullet"/>
      <w:lvlText w:val=""/>
      <w:lvlJc w:val="left"/>
      <w:pPr>
        <w:tabs>
          <w:tab w:val="num" w:pos="1440"/>
        </w:tabs>
        <w:ind w:left="1440" w:hanging="360"/>
      </w:pPr>
      <w:rPr>
        <w:rFonts w:ascii="Symbol" w:hAnsi="Symbol" w:hint="default"/>
      </w:rPr>
    </w:lvl>
    <w:lvl w:ilvl="2" w:tplc="38C2ED7A" w:tentative="1">
      <w:start w:val="1"/>
      <w:numFmt w:val="bullet"/>
      <w:lvlText w:val=""/>
      <w:lvlJc w:val="left"/>
      <w:pPr>
        <w:tabs>
          <w:tab w:val="num" w:pos="2160"/>
        </w:tabs>
        <w:ind w:left="2160" w:hanging="360"/>
      </w:pPr>
      <w:rPr>
        <w:rFonts w:ascii="Symbol" w:hAnsi="Symbol" w:hint="default"/>
      </w:rPr>
    </w:lvl>
    <w:lvl w:ilvl="3" w:tplc="1E089AC8" w:tentative="1">
      <w:start w:val="1"/>
      <w:numFmt w:val="bullet"/>
      <w:lvlText w:val=""/>
      <w:lvlJc w:val="left"/>
      <w:pPr>
        <w:tabs>
          <w:tab w:val="num" w:pos="2880"/>
        </w:tabs>
        <w:ind w:left="2880" w:hanging="360"/>
      </w:pPr>
      <w:rPr>
        <w:rFonts w:ascii="Symbol" w:hAnsi="Symbol" w:hint="default"/>
      </w:rPr>
    </w:lvl>
    <w:lvl w:ilvl="4" w:tplc="9488D4B4" w:tentative="1">
      <w:start w:val="1"/>
      <w:numFmt w:val="bullet"/>
      <w:lvlText w:val=""/>
      <w:lvlJc w:val="left"/>
      <w:pPr>
        <w:tabs>
          <w:tab w:val="num" w:pos="3600"/>
        </w:tabs>
        <w:ind w:left="3600" w:hanging="360"/>
      </w:pPr>
      <w:rPr>
        <w:rFonts w:ascii="Symbol" w:hAnsi="Symbol" w:hint="default"/>
      </w:rPr>
    </w:lvl>
    <w:lvl w:ilvl="5" w:tplc="7F323A92" w:tentative="1">
      <w:start w:val="1"/>
      <w:numFmt w:val="bullet"/>
      <w:lvlText w:val=""/>
      <w:lvlJc w:val="left"/>
      <w:pPr>
        <w:tabs>
          <w:tab w:val="num" w:pos="4320"/>
        </w:tabs>
        <w:ind w:left="4320" w:hanging="360"/>
      </w:pPr>
      <w:rPr>
        <w:rFonts w:ascii="Symbol" w:hAnsi="Symbol" w:hint="default"/>
      </w:rPr>
    </w:lvl>
    <w:lvl w:ilvl="6" w:tplc="6B10A188" w:tentative="1">
      <w:start w:val="1"/>
      <w:numFmt w:val="bullet"/>
      <w:lvlText w:val=""/>
      <w:lvlJc w:val="left"/>
      <w:pPr>
        <w:tabs>
          <w:tab w:val="num" w:pos="5040"/>
        </w:tabs>
        <w:ind w:left="5040" w:hanging="360"/>
      </w:pPr>
      <w:rPr>
        <w:rFonts w:ascii="Symbol" w:hAnsi="Symbol" w:hint="default"/>
      </w:rPr>
    </w:lvl>
    <w:lvl w:ilvl="7" w:tplc="5B22918E" w:tentative="1">
      <w:start w:val="1"/>
      <w:numFmt w:val="bullet"/>
      <w:lvlText w:val=""/>
      <w:lvlJc w:val="left"/>
      <w:pPr>
        <w:tabs>
          <w:tab w:val="num" w:pos="5760"/>
        </w:tabs>
        <w:ind w:left="5760" w:hanging="360"/>
      </w:pPr>
      <w:rPr>
        <w:rFonts w:ascii="Symbol" w:hAnsi="Symbol" w:hint="default"/>
      </w:rPr>
    </w:lvl>
    <w:lvl w:ilvl="8" w:tplc="8FCE3BC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9156D1B"/>
    <w:multiLevelType w:val="hybridMultilevel"/>
    <w:tmpl w:val="0B9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37F89"/>
    <w:multiLevelType w:val="hybridMultilevel"/>
    <w:tmpl w:val="19B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0D82"/>
    <w:multiLevelType w:val="hybridMultilevel"/>
    <w:tmpl w:val="D6925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055443">
    <w:abstractNumId w:val="3"/>
  </w:num>
  <w:num w:numId="2" w16cid:durableId="1597710933">
    <w:abstractNumId w:val="21"/>
  </w:num>
  <w:num w:numId="3" w16cid:durableId="1633363050">
    <w:abstractNumId w:val="33"/>
  </w:num>
  <w:num w:numId="4" w16cid:durableId="822506869">
    <w:abstractNumId w:val="38"/>
  </w:num>
  <w:num w:numId="5" w16cid:durableId="1308709627">
    <w:abstractNumId w:val="35"/>
  </w:num>
  <w:num w:numId="6" w16cid:durableId="855771709">
    <w:abstractNumId w:val="5"/>
  </w:num>
  <w:num w:numId="7" w16cid:durableId="1775590022">
    <w:abstractNumId w:val="29"/>
  </w:num>
  <w:num w:numId="8" w16cid:durableId="520125203">
    <w:abstractNumId w:val="32"/>
  </w:num>
  <w:num w:numId="9" w16cid:durableId="1355762011">
    <w:abstractNumId w:val="16"/>
  </w:num>
  <w:num w:numId="10" w16cid:durableId="1704593861">
    <w:abstractNumId w:val="28"/>
  </w:num>
  <w:num w:numId="11" w16cid:durableId="84957126">
    <w:abstractNumId w:val="23"/>
  </w:num>
  <w:num w:numId="12" w16cid:durableId="435642469">
    <w:abstractNumId w:val="14"/>
  </w:num>
  <w:num w:numId="13" w16cid:durableId="991758076">
    <w:abstractNumId w:val="42"/>
  </w:num>
  <w:num w:numId="14" w16cid:durableId="270208781">
    <w:abstractNumId w:val="6"/>
  </w:num>
  <w:num w:numId="15" w16cid:durableId="145324465">
    <w:abstractNumId w:val="43"/>
  </w:num>
  <w:num w:numId="16" w16cid:durableId="1415928646">
    <w:abstractNumId w:val="44"/>
  </w:num>
  <w:num w:numId="17" w16cid:durableId="1695888451">
    <w:abstractNumId w:val="18"/>
  </w:num>
  <w:num w:numId="18" w16cid:durableId="991636074">
    <w:abstractNumId w:val="7"/>
  </w:num>
  <w:num w:numId="19" w16cid:durableId="1916165075">
    <w:abstractNumId w:val="11"/>
  </w:num>
  <w:num w:numId="20" w16cid:durableId="1808623592">
    <w:abstractNumId w:val="22"/>
  </w:num>
  <w:num w:numId="21" w16cid:durableId="1821842958">
    <w:abstractNumId w:val="36"/>
  </w:num>
  <w:num w:numId="22" w16cid:durableId="707221904">
    <w:abstractNumId w:val="27"/>
  </w:num>
  <w:num w:numId="23" w16cid:durableId="972102236">
    <w:abstractNumId w:val="34"/>
  </w:num>
  <w:num w:numId="24" w16cid:durableId="1721368802">
    <w:abstractNumId w:val="1"/>
  </w:num>
  <w:num w:numId="25" w16cid:durableId="1922448361">
    <w:abstractNumId w:val="41"/>
  </w:num>
  <w:num w:numId="26" w16cid:durableId="994844022">
    <w:abstractNumId w:val="10"/>
  </w:num>
  <w:num w:numId="27" w16cid:durableId="113594725">
    <w:abstractNumId w:val="24"/>
  </w:num>
  <w:num w:numId="28" w16cid:durableId="380783927">
    <w:abstractNumId w:val="26"/>
  </w:num>
  <w:num w:numId="29" w16cid:durableId="1909487832">
    <w:abstractNumId w:val="19"/>
  </w:num>
  <w:num w:numId="30" w16cid:durableId="939409040">
    <w:abstractNumId w:val="39"/>
  </w:num>
  <w:num w:numId="31" w16cid:durableId="876967123">
    <w:abstractNumId w:val="20"/>
  </w:num>
  <w:num w:numId="32" w16cid:durableId="233901843">
    <w:abstractNumId w:val="4"/>
  </w:num>
  <w:num w:numId="33" w16cid:durableId="2030327349">
    <w:abstractNumId w:val="2"/>
  </w:num>
  <w:num w:numId="34" w16cid:durableId="2034450231">
    <w:abstractNumId w:val="0"/>
  </w:num>
  <w:num w:numId="35" w16cid:durableId="1661225285">
    <w:abstractNumId w:val="15"/>
  </w:num>
  <w:num w:numId="36" w16cid:durableId="391777721">
    <w:abstractNumId w:val="17"/>
  </w:num>
  <w:num w:numId="37" w16cid:durableId="374162408">
    <w:abstractNumId w:val="45"/>
  </w:num>
  <w:num w:numId="38" w16cid:durableId="510991365">
    <w:abstractNumId w:val="33"/>
  </w:num>
  <w:num w:numId="39" w16cid:durableId="930896471">
    <w:abstractNumId w:val="25"/>
  </w:num>
  <w:num w:numId="40" w16cid:durableId="2061896304">
    <w:abstractNumId w:val="30"/>
  </w:num>
  <w:num w:numId="41" w16cid:durableId="781264832">
    <w:abstractNumId w:val="13"/>
  </w:num>
  <w:num w:numId="42" w16cid:durableId="409082590">
    <w:abstractNumId w:val="12"/>
  </w:num>
  <w:num w:numId="43" w16cid:durableId="803550050">
    <w:abstractNumId w:val="8"/>
  </w:num>
  <w:num w:numId="44" w16cid:durableId="1659963219">
    <w:abstractNumId w:val="40"/>
  </w:num>
  <w:num w:numId="45" w16cid:durableId="1146241296">
    <w:abstractNumId w:val="31"/>
  </w:num>
  <w:num w:numId="46" w16cid:durableId="717316527">
    <w:abstractNumId w:val="37"/>
  </w:num>
  <w:num w:numId="47" w16cid:durableId="28573711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CF6"/>
    <w:rsid w:val="00001566"/>
    <w:rsid w:val="00002150"/>
    <w:rsid w:val="00002454"/>
    <w:rsid w:val="00002976"/>
    <w:rsid w:val="00003430"/>
    <w:rsid w:val="0000355F"/>
    <w:rsid w:val="000036DA"/>
    <w:rsid w:val="00003907"/>
    <w:rsid w:val="00003BB2"/>
    <w:rsid w:val="00003BF4"/>
    <w:rsid w:val="00003D9E"/>
    <w:rsid w:val="000043D8"/>
    <w:rsid w:val="00005411"/>
    <w:rsid w:val="00005535"/>
    <w:rsid w:val="00005901"/>
    <w:rsid w:val="00005CCF"/>
    <w:rsid w:val="00006173"/>
    <w:rsid w:val="0000620B"/>
    <w:rsid w:val="00006370"/>
    <w:rsid w:val="00006472"/>
    <w:rsid w:val="0000655B"/>
    <w:rsid w:val="00006B58"/>
    <w:rsid w:val="00006E84"/>
    <w:rsid w:val="00007231"/>
    <w:rsid w:val="00007399"/>
    <w:rsid w:val="000074BC"/>
    <w:rsid w:val="00007D6E"/>
    <w:rsid w:val="00007DDD"/>
    <w:rsid w:val="00010001"/>
    <w:rsid w:val="0001033D"/>
    <w:rsid w:val="0001046F"/>
    <w:rsid w:val="0001112F"/>
    <w:rsid w:val="0001135A"/>
    <w:rsid w:val="0001138F"/>
    <w:rsid w:val="00011564"/>
    <w:rsid w:val="0001184A"/>
    <w:rsid w:val="00011862"/>
    <w:rsid w:val="00011A6E"/>
    <w:rsid w:val="00011C34"/>
    <w:rsid w:val="00011EEB"/>
    <w:rsid w:val="00011F2F"/>
    <w:rsid w:val="0001289E"/>
    <w:rsid w:val="00012A67"/>
    <w:rsid w:val="00012DA6"/>
    <w:rsid w:val="0001324F"/>
    <w:rsid w:val="000132D4"/>
    <w:rsid w:val="00013786"/>
    <w:rsid w:val="00013A8B"/>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CF1"/>
    <w:rsid w:val="00020E78"/>
    <w:rsid w:val="0002100C"/>
    <w:rsid w:val="000211B7"/>
    <w:rsid w:val="00021393"/>
    <w:rsid w:val="000219C5"/>
    <w:rsid w:val="000222CB"/>
    <w:rsid w:val="00022596"/>
    <w:rsid w:val="0002283E"/>
    <w:rsid w:val="00022A1B"/>
    <w:rsid w:val="000230D1"/>
    <w:rsid w:val="00023207"/>
    <w:rsid w:val="0002330E"/>
    <w:rsid w:val="00023394"/>
    <w:rsid w:val="00023BA4"/>
    <w:rsid w:val="00023FC2"/>
    <w:rsid w:val="00024066"/>
    <w:rsid w:val="00024297"/>
    <w:rsid w:val="00024407"/>
    <w:rsid w:val="00024A27"/>
    <w:rsid w:val="00024BDE"/>
    <w:rsid w:val="00024BEE"/>
    <w:rsid w:val="000257FB"/>
    <w:rsid w:val="00025F48"/>
    <w:rsid w:val="00026F90"/>
    <w:rsid w:val="00027492"/>
    <w:rsid w:val="000278D5"/>
    <w:rsid w:val="00027BB4"/>
    <w:rsid w:val="00030457"/>
    <w:rsid w:val="00030635"/>
    <w:rsid w:val="00030D63"/>
    <w:rsid w:val="00030FDA"/>
    <w:rsid w:val="000311D6"/>
    <w:rsid w:val="0003190F"/>
    <w:rsid w:val="00031BA9"/>
    <w:rsid w:val="00032712"/>
    <w:rsid w:val="00032912"/>
    <w:rsid w:val="00032A55"/>
    <w:rsid w:val="00033062"/>
    <w:rsid w:val="000335A4"/>
    <w:rsid w:val="00033660"/>
    <w:rsid w:val="00033B61"/>
    <w:rsid w:val="00033CD5"/>
    <w:rsid w:val="000340F2"/>
    <w:rsid w:val="000345E2"/>
    <w:rsid w:val="000347F4"/>
    <w:rsid w:val="00034857"/>
    <w:rsid w:val="000348B1"/>
    <w:rsid w:val="00034CD6"/>
    <w:rsid w:val="00034D51"/>
    <w:rsid w:val="00034FBB"/>
    <w:rsid w:val="000350C3"/>
    <w:rsid w:val="000351C0"/>
    <w:rsid w:val="00035691"/>
    <w:rsid w:val="00035ABB"/>
    <w:rsid w:val="00035DE7"/>
    <w:rsid w:val="00035DEF"/>
    <w:rsid w:val="0003601D"/>
    <w:rsid w:val="000367EC"/>
    <w:rsid w:val="000367F2"/>
    <w:rsid w:val="000369F3"/>
    <w:rsid w:val="00036B30"/>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7F4A"/>
    <w:rsid w:val="00047F7C"/>
    <w:rsid w:val="00050588"/>
    <w:rsid w:val="00050CC2"/>
    <w:rsid w:val="00050CFB"/>
    <w:rsid w:val="00050DD0"/>
    <w:rsid w:val="0005103D"/>
    <w:rsid w:val="00051537"/>
    <w:rsid w:val="000516D4"/>
    <w:rsid w:val="00051737"/>
    <w:rsid w:val="00052157"/>
    <w:rsid w:val="00052467"/>
    <w:rsid w:val="00052833"/>
    <w:rsid w:val="00052929"/>
    <w:rsid w:val="00052A76"/>
    <w:rsid w:val="00052B3D"/>
    <w:rsid w:val="00052CCA"/>
    <w:rsid w:val="00054178"/>
    <w:rsid w:val="0005424D"/>
    <w:rsid w:val="0005457F"/>
    <w:rsid w:val="000545A0"/>
    <w:rsid w:val="0005470D"/>
    <w:rsid w:val="000547B4"/>
    <w:rsid w:val="00055512"/>
    <w:rsid w:val="000556F8"/>
    <w:rsid w:val="00055B4B"/>
    <w:rsid w:val="00055CA0"/>
    <w:rsid w:val="00055FAC"/>
    <w:rsid w:val="0005608B"/>
    <w:rsid w:val="000562C5"/>
    <w:rsid w:val="00056418"/>
    <w:rsid w:val="00056897"/>
    <w:rsid w:val="00056A0D"/>
    <w:rsid w:val="00056AF5"/>
    <w:rsid w:val="00056DA6"/>
    <w:rsid w:val="00057017"/>
    <w:rsid w:val="0005728D"/>
    <w:rsid w:val="0005732D"/>
    <w:rsid w:val="00057360"/>
    <w:rsid w:val="0005746A"/>
    <w:rsid w:val="000575BC"/>
    <w:rsid w:val="00057672"/>
    <w:rsid w:val="00057810"/>
    <w:rsid w:val="00057928"/>
    <w:rsid w:val="00060406"/>
    <w:rsid w:val="000609E8"/>
    <w:rsid w:val="00060AD9"/>
    <w:rsid w:val="00060BA4"/>
    <w:rsid w:val="00060BEA"/>
    <w:rsid w:val="00060DC9"/>
    <w:rsid w:val="00060FB2"/>
    <w:rsid w:val="0006126A"/>
    <w:rsid w:val="00061322"/>
    <w:rsid w:val="00061521"/>
    <w:rsid w:val="00061670"/>
    <w:rsid w:val="00061780"/>
    <w:rsid w:val="00062CB3"/>
    <w:rsid w:val="000631EE"/>
    <w:rsid w:val="00063662"/>
    <w:rsid w:val="0006456F"/>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76D"/>
    <w:rsid w:val="00072BB4"/>
    <w:rsid w:val="00072C63"/>
    <w:rsid w:val="00072D1A"/>
    <w:rsid w:val="00073330"/>
    <w:rsid w:val="0007336F"/>
    <w:rsid w:val="000733B1"/>
    <w:rsid w:val="000734DB"/>
    <w:rsid w:val="00073702"/>
    <w:rsid w:val="00073B56"/>
    <w:rsid w:val="00074140"/>
    <w:rsid w:val="00074379"/>
    <w:rsid w:val="0007468F"/>
    <w:rsid w:val="000747A3"/>
    <w:rsid w:val="00074E35"/>
    <w:rsid w:val="000752AE"/>
    <w:rsid w:val="000754C7"/>
    <w:rsid w:val="000756A5"/>
    <w:rsid w:val="00075A0E"/>
    <w:rsid w:val="00075B17"/>
    <w:rsid w:val="00076030"/>
    <w:rsid w:val="0007620D"/>
    <w:rsid w:val="0007626A"/>
    <w:rsid w:val="00076523"/>
    <w:rsid w:val="00076683"/>
    <w:rsid w:val="000766B6"/>
    <w:rsid w:val="00076931"/>
    <w:rsid w:val="00076AA6"/>
    <w:rsid w:val="00076F57"/>
    <w:rsid w:val="000775C6"/>
    <w:rsid w:val="000779E9"/>
    <w:rsid w:val="00077A27"/>
    <w:rsid w:val="00077BAD"/>
    <w:rsid w:val="00080025"/>
    <w:rsid w:val="000801B6"/>
    <w:rsid w:val="00080481"/>
    <w:rsid w:val="00080AA5"/>
    <w:rsid w:val="00080C9E"/>
    <w:rsid w:val="00080DD7"/>
    <w:rsid w:val="00080E36"/>
    <w:rsid w:val="0008115D"/>
    <w:rsid w:val="00081874"/>
    <w:rsid w:val="000821B1"/>
    <w:rsid w:val="00082439"/>
    <w:rsid w:val="000825EC"/>
    <w:rsid w:val="00082AF7"/>
    <w:rsid w:val="00082B0D"/>
    <w:rsid w:val="00082C93"/>
    <w:rsid w:val="000832CF"/>
    <w:rsid w:val="00083691"/>
    <w:rsid w:val="00084115"/>
    <w:rsid w:val="00084463"/>
    <w:rsid w:val="00084551"/>
    <w:rsid w:val="0008485C"/>
    <w:rsid w:val="00084912"/>
    <w:rsid w:val="00084993"/>
    <w:rsid w:val="00084D98"/>
    <w:rsid w:val="00084E73"/>
    <w:rsid w:val="00084FAC"/>
    <w:rsid w:val="000857A8"/>
    <w:rsid w:val="00085B0E"/>
    <w:rsid w:val="00085C7B"/>
    <w:rsid w:val="00085EEB"/>
    <w:rsid w:val="00086496"/>
    <w:rsid w:val="00086A52"/>
    <w:rsid w:val="00086F92"/>
    <w:rsid w:val="000873BD"/>
    <w:rsid w:val="00087459"/>
    <w:rsid w:val="00087616"/>
    <w:rsid w:val="00087782"/>
    <w:rsid w:val="000877DC"/>
    <w:rsid w:val="00087EF2"/>
    <w:rsid w:val="00087F31"/>
    <w:rsid w:val="00090229"/>
    <w:rsid w:val="00090464"/>
    <w:rsid w:val="00090616"/>
    <w:rsid w:val="000909A3"/>
    <w:rsid w:val="00090D11"/>
    <w:rsid w:val="00091062"/>
    <w:rsid w:val="0009178E"/>
    <w:rsid w:val="00091CA7"/>
    <w:rsid w:val="00091D8F"/>
    <w:rsid w:val="00091F08"/>
    <w:rsid w:val="00092042"/>
    <w:rsid w:val="00092D03"/>
    <w:rsid w:val="00092DE9"/>
    <w:rsid w:val="000932EE"/>
    <w:rsid w:val="000936BC"/>
    <w:rsid w:val="00093721"/>
    <w:rsid w:val="00094244"/>
    <w:rsid w:val="00094ACA"/>
    <w:rsid w:val="00094D44"/>
    <w:rsid w:val="00095011"/>
    <w:rsid w:val="00095181"/>
    <w:rsid w:val="0009546F"/>
    <w:rsid w:val="00095566"/>
    <w:rsid w:val="0009586A"/>
    <w:rsid w:val="00095BCC"/>
    <w:rsid w:val="00096039"/>
    <w:rsid w:val="000965E3"/>
    <w:rsid w:val="00096DD1"/>
    <w:rsid w:val="00096FF6"/>
    <w:rsid w:val="000972D8"/>
    <w:rsid w:val="0009777B"/>
    <w:rsid w:val="00097782"/>
    <w:rsid w:val="0009791F"/>
    <w:rsid w:val="000A05CC"/>
    <w:rsid w:val="000A071C"/>
    <w:rsid w:val="000A14CC"/>
    <w:rsid w:val="000A17D8"/>
    <w:rsid w:val="000A28FD"/>
    <w:rsid w:val="000A2F1B"/>
    <w:rsid w:val="000A3A49"/>
    <w:rsid w:val="000A3F6B"/>
    <w:rsid w:val="000A3FEA"/>
    <w:rsid w:val="000A407E"/>
    <w:rsid w:val="000A4099"/>
    <w:rsid w:val="000A4587"/>
    <w:rsid w:val="000A4711"/>
    <w:rsid w:val="000A4AB0"/>
    <w:rsid w:val="000A4B58"/>
    <w:rsid w:val="000A4DBC"/>
    <w:rsid w:val="000A4EC2"/>
    <w:rsid w:val="000A538F"/>
    <w:rsid w:val="000A53E5"/>
    <w:rsid w:val="000A5608"/>
    <w:rsid w:val="000A5D48"/>
    <w:rsid w:val="000A5D83"/>
    <w:rsid w:val="000A5E1E"/>
    <w:rsid w:val="000A619B"/>
    <w:rsid w:val="000A6286"/>
    <w:rsid w:val="000A62D9"/>
    <w:rsid w:val="000A64F1"/>
    <w:rsid w:val="000A6850"/>
    <w:rsid w:val="000A69ED"/>
    <w:rsid w:val="000A6A59"/>
    <w:rsid w:val="000A6FA6"/>
    <w:rsid w:val="000A6FA7"/>
    <w:rsid w:val="000A7132"/>
    <w:rsid w:val="000A7667"/>
    <w:rsid w:val="000A79BC"/>
    <w:rsid w:val="000A7CC1"/>
    <w:rsid w:val="000A7CCC"/>
    <w:rsid w:val="000B0185"/>
    <w:rsid w:val="000B0286"/>
    <w:rsid w:val="000B0607"/>
    <w:rsid w:val="000B068B"/>
    <w:rsid w:val="000B0BE1"/>
    <w:rsid w:val="000B0FC7"/>
    <w:rsid w:val="000B116B"/>
    <w:rsid w:val="000B11F0"/>
    <w:rsid w:val="000B1A06"/>
    <w:rsid w:val="000B1A45"/>
    <w:rsid w:val="000B1A56"/>
    <w:rsid w:val="000B1B52"/>
    <w:rsid w:val="000B1C24"/>
    <w:rsid w:val="000B250D"/>
    <w:rsid w:val="000B2877"/>
    <w:rsid w:val="000B28E3"/>
    <w:rsid w:val="000B2A64"/>
    <w:rsid w:val="000B2BE5"/>
    <w:rsid w:val="000B2D9D"/>
    <w:rsid w:val="000B30CB"/>
    <w:rsid w:val="000B35F9"/>
    <w:rsid w:val="000B37AF"/>
    <w:rsid w:val="000B38FF"/>
    <w:rsid w:val="000B3B4F"/>
    <w:rsid w:val="000B3EF5"/>
    <w:rsid w:val="000B4056"/>
    <w:rsid w:val="000B4D09"/>
    <w:rsid w:val="000B4E8F"/>
    <w:rsid w:val="000B5054"/>
    <w:rsid w:val="000B522D"/>
    <w:rsid w:val="000B659B"/>
    <w:rsid w:val="000B66DD"/>
    <w:rsid w:val="000B6A5E"/>
    <w:rsid w:val="000B6DB5"/>
    <w:rsid w:val="000B6F63"/>
    <w:rsid w:val="000B7271"/>
    <w:rsid w:val="000B7644"/>
    <w:rsid w:val="000B7F3B"/>
    <w:rsid w:val="000B7F8D"/>
    <w:rsid w:val="000B7FB2"/>
    <w:rsid w:val="000C0066"/>
    <w:rsid w:val="000C00ED"/>
    <w:rsid w:val="000C02E6"/>
    <w:rsid w:val="000C06F4"/>
    <w:rsid w:val="000C1356"/>
    <w:rsid w:val="000C1449"/>
    <w:rsid w:val="000C14B1"/>
    <w:rsid w:val="000C159D"/>
    <w:rsid w:val="000C24C1"/>
    <w:rsid w:val="000C2549"/>
    <w:rsid w:val="000C27D1"/>
    <w:rsid w:val="000C2BDE"/>
    <w:rsid w:val="000C2EB5"/>
    <w:rsid w:val="000C300C"/>
    <w:rsid w:val="000C339D"/>
    <w:rsid w:val="000C356F"/>
    <w:rsid w:val="000C3A22"/>
    <w:rsid w:val="000C3C09"/>
    <w:rsid w:val="000C4476"/>
    <w:rsid w:val="000C447F"/>
    <w:rsid w:val="000C4D99"/>
    <w:rsid w:val="000C4DD0"/>
    <w:rsid w:val="000C5B33"/>
    <w:rsid w:val="000C5EAD"/>
    <w:rsid w:val="000C6D9C"/>
    <w:rsid w:val="000C6F72"/>
    <w:rsid w:val="000C71A0"/>
    <w:rsid w:val="000C7308"/>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89E"/>
    <w:rsid w:val="000D6C89"/>
    <w:rsid w:val="000D76DE"/>
    <w:rsid w:val="000D7975"/>
    <w:rsid w:val="000D7DEA"/>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7D7"/>
    <w:rsid w:val="000E291D"/>
    <w:rsid w:val="000E2990"/>
    <w:rsid w:val="000E2A37"/>
    <w:rsid w:val="000E2AD6"/>
    <w:rsid w:val="000E2DF8"/>
    <w:rsid w:val="000E3415"/>
    <w:rsid w:val="000E3537"/>
    <w:rsid w:val="000E4052"/>
    <w:rsid w:val="000E477C"/>
    <w:rsid w:val="000E48A7"/>
    <w:rsid w:val="000E4B7A"/>
    <w:rsid w:val="000E4DE6"/>
    <w:rsid w:val="000E50CD"/>
    <w:rsid w:val="000E52E9"/>
    <w:rsid w:val="000E531E"/>
    <w:rsid w:val="000E5876"/>
    <w:rsid w:val="000E58EC"/>
    <w:rsid w:val="000E5E16"/>
    <w:rsid w:val="000E6AEF"/>
    <w:rsid w:val="000E6BFB"/>
    <w:rsid w:val="000E7502"/>
    <w:rsid w:val="000E77B6"/>
    <w:rsid w:val="000E7AB5"/>
    <w:rsid w:val="000F0828"/>
    <w:rsid w:val="000F0A02"/>
    <w:rsid w:val="000F0B51"/>
    <w:rsid w:val="000F0D0A"/>
    <w:rsid w:val="000F144D"/>
    <w:rsid w:val="000F1D37"/>
    <w:rsid w:val="000F234F"/>
    <w:rsid w:val="000F28AF"/>
    <w:rsid w:val="000F2CBE"/>
    <w:rsid w:val="000F2FA1"/>
    <w:rsid w:val="000F3073"/>
    <w:rsid w:val="000F3092"/>
    <w:rsid w:val="000F3287"/>
    <w:rsid w:val="000F3542"/>
    <w:rsid w:val="000F3552"/>
    <w:rsid w:val="000F399B"/>
    <w:rsid w:val="000F39C2"/>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34"/>
    <w:rsid w:val="001004AF"/>
    <w:rsid w:val="00100889"/>
    <w:rsid w:val="001009C5"/>
    <w:rsid w:val="00100C38"/>
    <w:rsid w:val="00100EDE"/>
    <w:rsid w:val="0010117B"/>
    <w:rsid w:val="0010149A"/>
    <w:rsid w:val="00101711"/>
    <w:rsid w:val="00101741"/>
    <w:rsid w:val="0010199A"/>
    <w:rsid w:val="00101D97"/>
    <w:rsid w:val="00101DB0"/>
    <w:rsid w:val="00101F20"/>
    <w:rsid w:val="00102099"/>
    <w:rsid w:val="001022AD"/>
    <w:rsid w:val="00102334"/>
    <w:rsid w:val="0010234F"/>
    <w:rsid w:val="00102358"/>
    <w:rsid w:val="00102684"/>
    <w:rsid w:val="00102905"/>
    <w:rsid w:val="00102912"/>
    <w:rsid w:val="00102C41"/>
    <w:rsid w:val="00102C6C"/>
    <w:rsid w:val="00102E27"/>
    <w:rsid w:val="00103145"/>
    <w:rsid w:val="001032A9"/>
    <w:rsid w:val="0010352A"/>
    <w:rsid w:val="00103623"/>
    <w:rsid w:val="00103708"/>
    <w:rsid w:val="00103816"/>
    <w:rsid w:val="00103827"/>
    <w:rsid w:val="00103CC6"/>
    <w:rsid w:val="00103E7A"/>
    <w:rsid w:val="00103FDA"/>
    <w:rsid w:val="00103FDE"/>
    <w:rsid w:val="0010460D"/>
    <w:rsid w:val="00104EEC"/>
    <w:rsid w:val="00105762"/>
    <w:rsid w:val="00106826"/>
    <w:rsid w:val="00106B98"/>
    <w:rsid w:val="00106F44"/>
    <w:rsid w:val="001078BC"/>
    <w:rsid w:val="0010798C"/>
    <w:rsid w:val="00107A56"/>
    <w:rsid w:val="00107AA7"/>
    <w:rsid w:val="00107AF5"/>
    <w:rsid w:val="00107C14"/>
    <w:rsid w:val="00107D9D"/>
    <w:rsid w:val="0011064D"/>
    <w:rsid w:val="0011084B"/>
    <w:rsid w:val="001108DD"/>
    <w:rsid w:val="00110B29"/>
    <w:rsid w:val="00111756"/>
    <w:rsid w:val="0011178B"/>
    <w:rsid w:val="001117AA"/>
    <w:rsid w:val="001118E5"/>
    <w:rsid w:val="00111BC7"/>
    <w:rsid w:val="00111CDC"/>
    <w:rsid w:val="00111D35"/>
    <w:rsid w:val="001123F5"/>
    <w:rsid w:val="00112554"/>
    <w:rsid w:val="0011288E"/>
    <w:rsid w:val="00112948"/>
    <w:rsid w:val="00112A67"/>
    <w:rsid w:val="00112BA2"/>
    <w:rsid w:val="00112BBA"/>
    <w:rsid w:val="00112E3E"/>
    <w:rsid w:val="00112E5F"/>
    <w:rsid w:val="00113037"/>
    <w:rsid w:val="001130DE"/>
    <w:rsid w:val="00113427"/>
    <w:rsid w:val="001138FE"/>
    <w:rsid w:val="00113BB5"/>
    <w:rsid w:val="00113C61"/>
    <w:rsid w:val="00113F21"/>
    <w:rsid w:val="001146A3"/>
    <w:rsid w:val="0011490A"/>
    <w:rsid w:val="00114EB6"/>
    <w:rsid w:val="001151FF"/>
    <w:rsid w:val="00115449"/>
    <w:rsid w:val="001159A1"/>
    <w:rsid w:val="00115AF7"/>
    <w:rsid w:val="00116629"/>
    <w:rsid w:val="0011673E"/>
    <w:rsid w:val="001167A1"/>
    <w:rsid w:val="001167B7"/>
    <w:rsid w:val="001176F9"/>
    <w:rsid w:val="0011778F"/>
    <w:rsid w:val="00120398"/>
    <w:rsid w:val="0012129C"/>
    <w:rsid w:val="00121718"/>
    <w:rsid w:val="0012198E"/>
    <w:rsid w:val="00121B4C"/>
    <w:rsid w:val="001222B5"/>
    <w:rsid w:val="0012235D"/>
    <w:rsid w:val="001224DF"/>
    <w:rsid w:val="001229B2"/>
    <w:rsid w:val="001229C1"/>
    <w:rsid w:val="00122AC7"/>
    <w:rsid w:val="00122BE1"/>
    <w:rsid w:val="00122BEE"/>
    <w:rsid w:val="00123110"/>
    <w:rsid w:val="00123478"/>
    <w:rsid w:val="00123649"/>
    <w:rsid w:val="001237AA"/>
    <w:rsid w:val="0012385C"/>
    <w:rsid w:val="00124222"/>
    <w:rsid w:val="00124632"/>
    <w:rsid w:val="00124ACC"/>
    <w:rsid w:val="00124F7D"/>
    <w:rsid w:val="00125891"/>
    <w:rsid w:val="00125967"/>
    <w:rsid w:val="0012598C"/>
    <w:rsid w:val="00125BC5"/>
    <w:rsid w:val="00125CD0"/>
    <w:rsid w:val="00125E38"/>
    <w:rsid w:val="00125EDC"/>
    <w:rsid w:val="0012611E"/>
    <w:rsid w:val="00127E3E"/>
    <w:rsid w:val="00130069"/>
    <w:rsid w:val="00130286"/>
    <w:rsid w:val="0013030F"/>
    <w:rsid w:val="0013037C"/>
    <w:rsid w:val="001303A8"/>
    <w:rsid w:val="00130460"/>
    <w:rsid w:val="00130582"/>
    <w:rsid w:val="001305D8"/>
    <w:rsid w:val="0013077F"/>
    <w:rsid w:val="00130914"/>
    <w:rsid w:val="00130DA0"/>
    <w:rsid w:val="00131EB0"/>
    <w:rsid w:val="0013227F"/>
    <w:rsid w:val="001323B8"/>
    <w:rsid w:val="001326B9"/>
    <w:rsid w:val="001327E2"/>
    <w:rsid w:val="00132DE9"/>
    <w:rsid w:val="00132FDD"/>
    <w:rsid w:val="00133086"/>
    <w:rsid w:val="0013331C"/>
    <w:rsid w:val="00133468"/>
    <w:rsid w:val="001334C3"/>
    <w:rsid w:val="0013375B"/>
    <w:rsid w:val="00133908"/>
    <w:rsid w:val="0013396B"/>
    <w:rsid w:val="00134560"/>
    <w:rsid w:val="00134644"/>
    <w:rsid w:val="00134647"/>
    <w:rsid w:val="0013470C"/>
    <w:rsid w:val="00135B91"/>
    <w:rsid w:val="00135BDE"/>
    <w:rsid w:val="00135CCF"/>
    <w:rsid w:val="00135D9B"/>
    <w:rsid w:val="001366EE"/>
    <w:rsid w:val="001366FF"/>
    <w:rsid w:val="001368D1"/>
    <w:rsid w:val="001368F4"/>
    <w:rsid w:val="001369B4"/>
    <w:rsid w:val="00136BFD"/>
    <w:rsid w:val="001370CA"/>
    <w:rsid w:val="00137152"/>
    <w:rsid w:val="001371C3"/>
    <w:rsid w:val="001371EE"/>
    <w:rsid w:val="001372E6"/>
    <w:rsid w:val="001373D3"/>
    <w:rsid w:val="001376E6"/>
    <w:rsid w:val="00137AD6"/>
    <w:rsid w:val="00137F8F"/>
    <w:rsid w:val="0014056C"/>
    <w:rsid w:val="001410E7"/>
    <w:rsid w:val="00141719"/>
    <w:rsid w:val="001419F0"/>
    <w:rsid w:val="00141C78"/>
    <w:rsid w:val="00141F7F"/>
    <w:rsid w:val="00142635"/>
    <w:rsid w:val="00142A34"/>
    <w:rsid w:val="00142D1D"/>
    <w:rsid w:val="00142F49"/>
    <w:rsid w:val="0014305C"/>
    <w:rsid w:val="00143459"/>
    <w:rsid w:val="00143530"/>
    <w:rsid w:val="00143546"/>
    <w:rsid w:val="00143706"/>
    <w:rsid w:val="001439A4"/>
    <w:rsid w:val="00143C70"/>
    <w:rsid w:val="00143DD6"/>
    <w:rsid w:val="00144148"/>
    <w:rsid w:val="00144371"/>
    <w:rsid w:val="00144381"/>
    <w:rsid w:val="0014456E"/>
    <w:rsid w:val="00144913"/>
    <w:rsid w:val="00144A9E"/>
    <w:rsid w:val="00145511"/>
    <w:rsid w:val="001456FD"/>
    <w:rsid w:val="001459DB"/>
    <w:rsid w:val="001466EF"/>
    <w:rsid w:val="00146718"/>
    <w:rsid w:val="001467CE"/>
    <w:rsid w:val="001469C2"/>
    <w:rsid w:val="001469CE"/>
    <w:rsid w:val="00146A4E"/>
    <w:rsid w:val="00146E48"/>
    <w:rsid w:val="0014705A"/>
    <w:rsid w:val="00147113"/>
    <w:rsid w:val="001471D4"/>
    <w:rsid w:val="00147B1F"/>
    <w:rsid w:val="00147D7A"/>
    <w:rsid w:val="00150302"/>
    <w:rsid w:val="0015079F"/>
    <w:rsid w:val="00150B1F"/>
    <w:rsid w:val="00151318"/>
    <w:rsid w:val="0015137C"/>
    <w:rsid w:val="00151451"/>
    <w:rsid w:val="001515B4"/>
    <w:rsid w:val="00151812"/>
    <w:rsid w:val="00151C70"/>
    <w:rsid w:val="00151CC3"/>
    <w:rsid w:val="0015270B"/>
    <w:rsid w:val="001528B1"/>
    <w:rsid w:val="00152952"/>
    <w:rsid w:val="00152DB7"/>
    <w:rsid w:val="00153027"/>
    <w:rsid w:val="00153473"/>
    <w:rsid w:val="001535AA"/>
    <w:rsid w:val="001537AB"/>
    <w:rsid w:val="0015389B"/>
    <w:rsid w:val="00153C6E"/>
    <w:rsid w:val="00153EEE"/>
    <w:rsid w:val="001543E5"/>
    <w:rsid w:val="00154722"/>
    <w:rsid w:val="00154BFB"/>
    <w:rsid w:val="00154D91"/>
    <w:rsid w:val="00154DC2"/>
    <w:rsid w:val="00155291"/>
    <w:rsid w:val="00155875"/>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D0"/>
    <w:rsid w:val="00160A76"/>
    <w:rsid w:val="00160CC7"/>
    <w:rsid w:val="00161227"/>
    <w:rsid w:val="00161353"/>
    <w:rsid w:val="00161620"/>
    <w:rsid w:val="0016166C"/>
    <w:rsid w:val="00161986"/>
    <w:rsid w:val="00161D7E"/>
    <w:rsid w:val="00161F45"/>
    <w:rsid w:val="001622DF"/>
    <w:rsid w:val="00162714"/>
    <w:rsid w:val="00162CDC"/>
    <w:rsid w:val="00162D8B"/>
    <w:rsid w:val="00163100"/>
    <w:rsid w:val="00163682"/>
    <w:rsid w:val="001638B1"/>
    <w:rsid w:val="00163C00"/>
    <w:rsid w:val="00163DBA"/>
    <w:rsid w:val="00163FE7"/>
    <w:rsid w:val="0016421C"/>
    <w:rsid w:val="001642DD"/>
    <w:rsid w:val="00164CB6"/>
    <w:rsid w:val="00164DF1"/>
    <w:rsid w:val="001654B6"/>
    <w:rsid w:val="001655F2"/>
    <w:rsid w:val="001655F9"/>
    <w:rsid w:val="00165639"/>
    <w:rsid w:val="00165933"/>
    <w:rsid w:val="001659BA"/>
    <w:rsid w:val="00165C30"/>
    <w:rsid w:val="001660D5"/>
    <w:rsid w:val="0016648D"/>
    <w:rsid w:val="0016669E"/>
    <w:rsid w:val="00166C01"/>
    <w:rsid w:val="00166E08"/>
    <w:rsid w:val="0016715F"/>
    <w:rsid w:val="00167231"/>
    <w:rsid w:val="001672E7"/>
    <w:rsid w:val="001673F4"/>
    <w:rsid w:val="00167426"/>
    <w:rsid w:val="001674EF"/>
    <w:rsid w:val="0017014B"/>
    <w:rsid w:val="00170516"/>
    <w:rsid w:val="00170A57"/>
    <w:rsid w:val="00170C1C"/>
    <w:rsid w:val="00170EBD"/>
    <w:rsid w:val="00170FEA"/>
    <w:rsid w:val="0017102B"/>
    <w:rsid w:val="00171110"/>
    <w:rsid w:val="0017111C"/>
    <w:rsid w:val="0017121C"/>
    <w:rsid w:val="00171F5F"/>
    <w:rsid w:val="001722BA"/>
    <w:rsid w:val="0017241B"/>
    <w:rsid w:val="0017267E"/>
    <w:rsid w:val="00172683"/>
    <w:rsid w:val="001727BD"/>
    <w:rsid w:val="00172F51"/>
    <w:rsid w:val="00173177"/>
    <w:rsid w:val="001736FD"/>
    <w:rsid w:val="00173907"/>
    <w:rsid w:val="00173AB9"/>
    <w:rsid w:val="00173D7A"/>
    <w:rsid w:val="00173E09"/>
    <w:rsid w:val="00174A00"/>
    <w:rsid w:val="00175BEE"/>
    <w:rsid w:val="00175F71"/>
    <w:rsid w:val="0017620C"/>
    <w:rsid w:val="00176436"/>
    <w:rsid w:val="00177A36"/>
    <w:rsid w:val="00177E07"/>
    <w:rsid w:val="0018039A"/>
    <w:rsid w:val="00180505"/>
    <w:rsid w:val="001806EE"/>
    <w:rsid w:val="001808C3"/>
    <w:rsid w:val="00180C64"/>
    <w:rsid w:val="00180D6F"/>
    <w:rsid w:val="00180D7D"/>
    <w:rsid w:val="00180D92"/>
    <w:rsid w:val="00180E8A"/>
    <w:rsid w:val="00180E98"/>
    <w:rsid w:val="001813F4"/>
    <w:rsid w:val="00181675"/>
    <w:rsid w:val="00181AD3"/>
    <w:rsid w:val="0018211B"/>
    <w:rsid w:val="00182244"/>
    <w:rsid w:val="001825AC"/>
    <w:rsid w:val="001826EC"/>
    <w:rsid w:val="001834F4"/>
    <w:rsid w:val="00183691"/>
    <w:rsid w:val="001836B4"/>
    <w:rsid w:val="00184014"/>
    <w:rsid w:val="001841F5"/>
    <w:rsid w:val="00184214"/>
    <w:rsid w:val="00184833"/>
    <w:rsid w:val="00184CD9"/>
    <w:rsid w:val="00184EC6"/>
    <w:rsid w:val="00185381"/>
    <w:rsid w:val="00185607"/>
    <w:rsid w:val="0018576C"/>
    <w:rsid w:val="00185D26"/>
    <w:rsid w:val="00185E63"/>
    <w:rsid w:val="0018672F"/>
    <w:rsid w:val="001869CA"/>
    <w:rsid w:val="00186A42"/>
    <w:rsid w:val="001872BA"/>
    <w:rsid w:val="00187366"/>
    <w:rsid w:val="001874AE"/>
    <w:rsid w:val="001875A4"/>
    <w:rsid w:val="001876C3"/>
    <w:rsid w:val="001878D6"/>
    <w:rsid w:val="00187B48"/>
    <w:rsid w:val="00187EE7"/>
    <w:rsid w:val="00190404"/>
    <w:rsid w:val="001909F3"/>
    <w:rsid w:val="00190C02"/>
    <w:rsid w:val="00190C1E"/>
    <w:rsid w:val="00190C41"/>
    <w:rsid w:val="00190C48"/>
    <w:rsid w:val="0019137E"/>
    <w:rsid w:val="001913D3"/>
    <w:rsid w:val="00191445"/>
    <w:rsid w:val="001916B2"/>
    <w:rsid w:val="00191A88"/>
    <w:rsid w:val="00191DF7"/>
    <w:rsid w:val="00192135"/>
    <w:rsid w:val="001923FD"/>
    <w:rsid w:val="00192410"/>
    <w:rsid w:val="0019246A"/>
    <w:rsid w:val="001924E1"/>
    <w:rsid w:val="00192D7F"/>
    <w:rsid w:val="00193286"/>
    <w:rsid w:val="00193342"/>
    <w:rsid w:val="00193411"/>
    <w:rsid w:val="0019373B"/>
    <w:rsid w:val="00193929"/>
    <w:rsid w:val="00193C27"/>
    <w:rsid w:val="00193F8B"/>
    <w:rsid w:val="001940C6"/>
    <w:rsid w:val="00194399"/>
    <w:rsid w:val="00195101"/>
    <w:rsid w:val="00195507"/>
    <w:rsid w:val="00195612"/>
    <w:rsid w:val="00195E4D"/>
    <w:rsid w:val="00195F2A"/>
    <w:rsid w:val="00195F4C"/>
    <w:rsid w:val="00195F92"/>
    <w:rsid w:val="0019614F"/>
    <w:rsid w:val="001964A0"/>
    <w:rsid w:val="00196574"/>
    <w:rsid w:val="001967F2"/>
    <w:rsid w:val="00196C0A"/>
    <w:rsid w:val="00196D4B"/>
    <w:rsid w:val="001970BD"/>
    <w:rsid w:val="00197822"/>
    <w:rsid w:val="0019786A"/>
    <w:rsid w:val="001979FE"/>
    <w:rsid w:val="00197DE0"/>
    <w:rsid w:val="00197E00"/>
    <w:rsid w:val="00197F00"/>
    <w:rsid w:val="001A00A4"/>
    <w:rsid w:val="001A03A2"/>
    <w:rsid w:val="001A07DA"/>
    <w:rsid w:val="001A07F8"/>
    <w:rsid w:val="001A0F30"/>
    <w:rsid w:val="001A0F68"/>
    <w:rsid w:val="001A1DFD"/>
    <w:rsid w:val="001A29F7"/>
    <w:rsid w:val="001A2A72"/>
    <w:rsid w:val="001A2F86"/>
    <w:rsid w:val="001A2FC2"/>
    <w:rsid w:val="001A300F"/>
    <w:rsid w:val="001A3480"/>
    <w:rsid w:val="001A3788"/>
    <w:rsid w:val="001A386C"/>
    <w:rsid w:val="001A3CA5"/>
    <w:rsid w:val="001A3FE2"/>
    <w:rsid w:val="001A40EA"/>
    <w:rsid w:val="001A437E"/>
    <w:rsid w:val="001A449C"/>
    <w:rsid w:val="001A459D"/>
    <w:rsid w:val="001A5655"/>
    <w:rsid w:val="001A5850"/>
    <w:rsid w:val="001A5A49"/>
    <w:rsid w:val="001A5E70"/>
    <w:rsid w:val="001A5F04"/>
    <w:rsid w:val="001A607E"/>
    <w:rsid w:val="001A6787"/>
    <w:rsid w:val="001A67B3"/>
    <w:rsid w:val="001A6828"/>
    <w:rsid w:val="001A691B"/>
    <w:rsid w:val="001A697F"/>
    <w:rsid w:val="001A6C98"/>
    <w:rsid w:val="001A6FDB"/>
    <w:rsid w:val="001A7002"/>
    <w:rsid w:val="001A747B"/>
    <w:rsid w:val="001A7AC2"/>
    <w:rsid w:val="001B05B5"/>
    <w:rsid w:val="001B0AB1"/>
    <w:rsid w:val="001B0CAE"/>
    <w:rsid w:val="001B0DB6"/>
    <w:rsid w:val="001B0EB5"/>
    <w:rsid w:val="001B1354"/>
    <w:rsid w:val="001B1566"/>
    <w:rsid w:val="001B1B91"/>
    <w:rsid w:val="001B1BF0"/>
    <w:rsid w:val="001B1DF7"/>
    <w:rsid w:val="001B2388"/>
    <w:rsid w:val="001B2583"/>
    <w:rsid w:val="001B26A8"/>
    <w:rsid w:val="001B2DCB"/>
    <w:rsid w:val="001B2EFE"/>
    <w:rsid w:val="001B3176"/>
    <w:rsid w:val="001B3414"/>
    <w:rsid w:val="001B3A01"/>
    <w:rsid w:val="001B3F5A"/>
    <w:rsid w:val="001B4140"/>
    <w:rsid w:val="001B41BD"/>
    <w:rsid w:val="001B42EB"/>
    <w:rsid w:val="001B45C6"/>
    <w:rsid w:val="001B4A3A"/>
    <w:rsid w:val="001B4BA8"/>
    <w:rsid w:val="001B507A"/>
    <w:rsid w:val="001B5189"/>
    <w:rsid w:val="001B55C3"/>
    <w:rsid w:val="001B56C3"/>
    <w:rsid w:val="001B5CB0"/>
    <w:rsid w:val="001B660D"/>
    <w:rsid w:val="001B676D"/>
    <w:rsid w:val="001B6962"/>
    <w:rsid w:val="001B6EA6"/>
    <w:rsid w:val="001B6F3B"/>
    <w:rsid w:val="001B6F7D"/>
    <w:rsid w:val="001B7909"/>
    <w:rsid w:val="001C095E"/>
    <w:rsid w:val="001C0B18"/>
    <w:rsid w:val="001C0D7D"/>
    <w:rsid w:val="001C0DA0"/>
    <w:rsid w:val="001C0E06"/>
    <w:rsid w:val="001C1401"/>
    <w:rsid w:val="001C14BE"/>
    <w:rsid w:val="001C1C8C"/>
    <w:rsid w:val="001C1CD0"/>
    <w:rsid w:val="001C1D64"/>
    <w:rsid w:val="001C1E69"/>
    <w:rsid w:val="001C1F09"/>
    <w:rsid w:val="001C25D2"/>
    <w:rsid w:val="001C26ED"/>
    <w:rsid w:val="001C2DBD"/>
    <w:rsid w:val="001C2FA3"/>
    <w:rsid w:val="001C2FD6"/>
    <w:rsid w:val="001C3FA7"/>
    <w:rsid w:val="001C42BF"/>
    <w:rsid w:val="001C4575"/>
    <w:rsid w:val="001C4661"/>
    <w:rsid w:val="001C5E37"/>
    <w:rsid w:val="001C60EC"/>
    <w:rsid w:val="001C61CD"/>
    <w:rsid w:val="001C685E"/>
    <w:rsid w:val="001C69A7"/>
    <w:rsid w:val="001C6C5F"/>
    <w:rsid w:val="001C6E6B"/>
    <w:rsid w:val="001C6EE6"/>
    <w:rsid w:val="001C73CE"/>
    <w:rsid w:val="001C7430"/>
    <w:rsid w:val="001C78EB"/>
    <w:rsid w:val="001C7DED"/>
    <w:rsid w:val="001C7DF1"/>
    <w:rsid w:val="001D05A1"/>
    <w:rsid w:val="001D06BF"/>
    <w:rsid w:val="001D0F95"/>
    <w:rsid w:val="001D11FD"/>
    <w:rsid w:val="001D14E6"/>
    <w:rsid w:val="001D1970"/>
    <w:rsid w:val="001D1AB0"/>
    <w:rsid w:val="001D1AB8"/>
    <w:rsid w:val="001D21E5"/>
    <w:rsid w:val="001D2346"/>
    <w:rsid w:val="001D23AC"/>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F3"/>
    <w:rsid w:val="001D5DC5"/>
    <w:rsid w:val="001D5EF5"/>
    <w:rsid w:val="001D61C4"/>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6C6"/>
    <w:rsid w:val="001E387D"/>
    <w:rsid w:val="001E38D4"/>
    <w:rsid w:val="001E4001"/>
    <w:rsid w:val="001E4743"/>
    <w:rsid w:val="001E4A0C"/>
    <w:rsid w:val="001E4B1C"/>
    <w:rsid w:val="001E4B39"/>
    <w:rsid w:val="001E52EA"/>
    <w:rsid w:val="001E5667"/>
    <w:rsid w:val="001E6133"/>
    <w:rsid w:val="001E614C"/>
    <w:rsid w:val="001E6320"/>
    <w:rsid w:val="001E7606"/>
    <w:rsid w:val="001E7866"/>
    <w:rsid w:val="001F0B1C"/>
    <w:rsid w:val="001F0B74"/>
    <w:rsid w:val="001F0DE0"/>
    <w:rsid w:val="001F1059"/>
    <w:rsid w:val="001F1879"/>
    <w:rsid w:val="001F18F3"/>
    <w:rsid w:val="001F1964"/>
    <w:rsid w:val="001F1FAC"/>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782"/>
    <w:rsid w:val="001F59E1"/>
    <w:rsid w:val="001F5DF3"/>
    <w:rsid w:val="001F6287"/>
    <w:rsid w:val="001F6370"/>
    <w:rsid w:val="001F649D"/>
    <w:rsid w:val="001F64E3"/>
    <w:rsid w:val="001F6562"/>
    <w:rsid w:val="001F65F1"/>
    <w:rsid w:val="001F677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AC4"/>
    <w:rsid w:val="00202B04"/>
    <w:rsid w:val="002031C8"/>
    <w:rsid w:val="002034D4"/>
    <w:rsid w:val="002036C9"/>
    <w:rsid w:val="002036DB"/>
    <w:rsid w:val="00203C5F"/>
    <w:rsid w:val="00203E8B"/>
    <w:rsid w:val="00203F72"/>
    <w:rsid w:val="00203F76"/>
    <w:rsid w:val="00204469"/>
    <w:rsid w:val="00204ADE"/>
    <w:rsid w:val="00204B9E"/>
    <w:rsid w:val="00204FB8"/>
    <w:rsid w:val="002051E2"/>
    <w:rsid w:val="00205247"/>
    <w:rsid w:val="00205250"/>
    <w:rsid w:val="002053DE"/>
    <w:rsid w:val="00205482"/>
    <w:rsid w:val="00205752"/>
    <w:rsid w:val="00205AFC"/>
    <w:rsid w:val="00205D61"/>
    <w:rsid w:val="00206AC7"/>
    <w:rsid w:val="00206C04"/>
    <w:rsid w:val="00207369"/>
    <w:rsid w:val="002074D9"/>
    <w:rsid w:val="0020750D"/>
    <w:rsid w:val="0020757F"/>
    <w:rsid w:val="002076D1"/>
    <w:rsid w:val="002077CE"/>
    <w:rsid w:val="00207849"/>
    <w:rsid w:val="00207D3E"/>
    <w:rsid w:val="0020F9CF"/>
    <w:rsid w:val="002112EC"/>
    <w:rsid w:val="002113BD"/>
    <w:rsid w:val="00211B7E"/>
    <w:rsid w:val="00211C8E"/>
    <w:rsid w:val="00211E6E"/>
    <w:rsid w:val="00211EC0"/>
    <w:rsid w:val="00212168"/>
    <w:rsid w:val="0021234B"/>
    <w:rsid w:val="0021272D"/>
    <w:rsid w:val="00212917"/>
    <w:rsid w:val="00212DDC"/>
    <w:rsid w:val="00212F46"/>
    <w:rsid w:val="00213091"/>
    <w:rsid w:val="00213710"/>
    <w:rsid w:val="002138BA"/>
    <w:rsid w:val="00213ACD"/>
    <w:rsid w:val="00213C12"/>
    <w:rsid w:val="00213E39"/>
    <w:rsid w:val="00213E93"/>
    <w:rsid w:val="0021468D"/>
    <w:rsid w:val="002147F1"/>
    <w:rsid w:val="00214CBF"/>
    <w:rsid w:val="00214F01"/>
    <w:rsid w:val="00214F9D"/>
    <w:rsid w:val="0021507D"/>
    <w:rsid w:val="002152F1"/>
    <w:rsid w:val="00215C86"/>
    <w:rsid w:val="002163AC"/>
    <w:rsid w:val="0021655A"/>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F81"/>
    <w:rsid w:val="00220FDA"/>
    <w:rsid w:val="002216CA"/>
    <w:rsid w:val="00221A9D"/>
    <w:rsid w:val="00221E78"/>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43AF"/>
    <w:rsid w:val="002245D6"/>
    <w:rsid w:val="002246F5"/>
    <w:rsid w:val="00224FBA"/>
    <w:rsid w:val="002250C0"/>
    <w:rsid w:val="002250FD"/>
    <w:rsid w:val="0022653D"/>
    <w:rsid w:val="00226E09"/>
    <w:rsid w:val="00226F88"/>
    <w:rsid w:val="00230118"/>
    <w:rsid w:val="00230401"/>
    <w:rsid w:val="00230566"/>
    <w:rsid w:val="002305DB"/>
    <w:rsid w:val="00230B2E"/>
    <w:rsid w:val="00230BED"/>
    <w:rsid w:val="00230ED8"/>
    <w:rsid w:val="00231A1A"/>
    <w:rsid w:val="00231D08"/>
    <w:rsid w:val="00232040"/>
    <w:rsid w:val="002324F6"/>
    <w:rsid w:val="002327BC"/>
    <w:rsid w:val="00232C6B"/>
    <w:rsid w:val="00232E8D"/>
    <w:rsid w:val="00233208"/>
    <w:rsid w:val="00233421"/>
    <w:rsid w:val="002334C2"/>
    <w:rsid w:val="0023354B"/>
    <w:rsid w:val="0023357F"/>
    <w:rsid w:val="0023399B"/>
    <w:rsid w:val="00233BEC"/>
    <w:rsid w:val="00234205"/>
    <w:rsid w:val="002344B4"/>
    <w:rsid w:val="00235167"/>
    <w:rsid w:val="00235ED6"/>
    <w:rsid w:val="00235F6B"/>
    <w:rsid w:val="002362F8"/>
    <w:rsid w:val="00236413"/>
    <w:rsid w:val="00236505"/>
    <w:rsid w:val="002366D2"/>
    <w:rsid w:val="002369B6"/>
    <w:rsid w:val="00236B35"/>
    <w:rsid w:val="00236E07"/>
    <w:rsid w:val="002371E7"/>
    <w:rsid w:val="002374E4"/>
    <w:rsid w:val="002376CC"/>
    <w:rsid w:val="002379D4"/>
    <w:rsid w:val="00240660"/>
    <w:rsid w:val="002410BE"/>
    <w:rsid w:val="00241135"/>
    <w:rsid w:val="002414FF"/>
    <w:rsid w:val="0024186B"/>
    <w:rsid w:val="002418EC"/>
    <w:rsid w:val="002420CE"/>
    <w:rsid w:val="0024213E"/>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433"/>
    <w:rsid w:val="00246AC4"/>
    <w:rsid w:val="00246CD8"/>
    <w:rsid w:val="00246F78"/>
    <w:rsid w:val="0024710A"/>
    <w:rsid w:val="00247383"/>
    <w:rsid w:val="002476D2"/>
    <w:rsid w:val="00247A75"/>
    <w:rsid w:val="00247F6E"/>
    <w:rsid w:val="0024A019"/>
    <w:rsid w:val="00250169"/>
    <w:rsid w:val="00250DC1"/>
    <w:rsid w:val="00251113"/>
    <w:rsid w:val="00251174"/>
    <w:rsid w:val="00251192"/>
    <w:rsid w:val="002515C6"/>
    <w:rsid w:val="00251B2A"/>
    <w:rsid w:val="00251E08"/>
    <w:rsid w:val="00251F23"/>
    <w:rsid w:val="00252AA7"/>
    <w:rsid w:val="00252E7E"/>
    <w:rsid w:val="00253078"/>
    <w:rsid w:val="002530D0"/>
    <w:rsid w:val="00253148"/>
    <w:rsid w:val="002531AB"/>
    <w:rsid w:val="002536CE"/>
    <w:rsid w:val="002537C4"/>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C58"/>
    <w:rsid w:val="0025708A"/>
    <w:rsid w:val="0025765E"/>
    <w:rsid w:val="00257FA7"/>
    <w:rsid w:val="002602A1"/>
    <w:rsid w:val="002604DB"/>
    <w:rsid w:val="0026086B"/>
    <w:rsid w:val="00260D89"/>
    <w:rsid w:val="002615E8"/>
    <w:rsid w:val="00261945"/>
    <w:rsid w:val="002621EC"/>
    <w:rsid w:val="00262854"/>
    <w:rsid w:val="00262A52"/>
    <w:rsid w:val="00262F20"/>
    <w:rsid w:val="00263621"/>
    <w:rsid w:val="002639BD"/>
    <w:rsid w:val="00263ABD"/>
    <w:rsid w:val="00263D62"/>
    <w:rsid w:val="002642F5"/>
    <w:rsid w:val="0026452F"/>
    <w:rsid w:val="002646B9"/>
    <w:rsid w:val="002648CA"/>
    <w:rsid w:val="00264E16"/>
    <w:rsid w:val="00265E66"/>
    <w:rsid w:val="00265F58"/>
    <w:rsid w:val="00266996"/>
    <w:rsid w:val="00266ADE"/>
    <w:rsid w:val="00266B08"/>
    <w:rsid w:val="00266B11"/>
    <w:rsid w:val="00266E13"/>
    <w:rsid w:val="0026705B"/>
    <w:rsid w:val="00267300"/>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15B"/>
    <w:rsid w:val="0027216C"/>
    <w:rsid w:val="002723C8"/>
    <w:rsid w:val="002725C2"/>
    <w:rsid w:val="00272A1E"/>
    <w:rsid w:val="00272C4C"/>
    <w:rsid w:val="00272CE0"/>
    <w:rsid w:val="00273198"/>
    <w:rsid w:val="00273382"/>
    <w:rsid w:val="00273806"/>
    <w:rsid w:val="00273FAA"/>
    <w:rsid w:val="0027402F"/>
    <w:rsid w:val="00274172"/>
    <w:rsid w:val="00274196"/>
    <w:rsid w:val="002746ED"/>
    <w:rsid w:val="00274814"/>
    <w:rsid w:val="002748EF"/>
    <w:rsid w:val="00274A03"/>
    <w:rsid w:val="0027547D"/>
    <w:rsid w:val="00275990"/>
    <w:rsid w:val="00275B27"/>
    <w:rsid w:val="00275C1D"/>
    <w:rsid w:val="00276062"/>
    <w:rsid w:val="0027622C"/>
    <w:rsid w:val="002762B4"/>
    <w:rsid w:val="00276A87"/>
    <w:rsid w:val="002771B8"/>
    <w:rsid w:val="00277467"/>
    <w:rsid w:val="0027776A"/>
    <w:rsid w:val="0027782B"/>
    <w:rsid w:val="00277FB7"/>
    <w:rsid w:val="0028029F"/>
    <w:rsid w:val="002802F3"/>
    <w:rsid w:val="002804B9"/>
    <w:rsid w:val="0028145C"/>
    <w:rsid w:val="00281740"/>
    <w:rsid w:val="0028179A"/>
    <w:rsid w:val="00281DB6"/>
    <w:rsid w:val="0028219D"/>
    <w:rsid w:val="002828BE"/>
    <w:rsid w:val="00282D71"/>
    <w:rsid w:val="0028305F"/>
    <w:rsid w:val="00283209"/>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72EB"/>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4BE"/>
    <w:rsid w:val="00293752"/>
    <w:rsid w:val="00293F39"/>
    <w:rsid w:val="00293FE5"/>
    <w:rsid w:val="002942B2"/>
    <w:rsid w:val="002946E4"/>
    <w:rsid w:val="002947F4"/>
    <w:rsid w:val="00294A1A"/>
    <w:rsid w:val="00294BAE"/>
    <w:rsid w:val="00294C66"/>
    <w:rsid w:val="002951D1"/>
    <w:rsid w:val="00295D6B"/>
    <w:rsid w:val="002967CB"/>
    <w:rsid w:val="00296832"/>
    <w:rsid w:val="002969F6"/>
    <w:rsid w:val="00296AFB"/>
    <w:rsid w:val="00296F25"/>
    <w:rsid w:val="002973CD"/>
    <w:rsid w:val="002974B6"/>
    <w:rsid w:val="0029762B"/>
    <w:rsid w:val="00297758"/>
    <w:rsid w:val="00297925"/>
    <w:rsid w:val="00297CAC"/>
    <w:rsid w:val="00297CE4"/>
    <w:rsid w:val="002A0895"/>
    <w:rsid w:val="002A0F1A"/>
    <w:rsid w:val="002A1403"/>
    <w:rsid w:val="002A155A"/>
    <w:rsid w:val="002A1AF5"/>
    <w:rsid w:val="002A1C2E"/>
    <w:rsid w:val="002A1C85"/>
    <w:rsid w:val="002A1EF8"/>
    <w:rsid w:val="002A215C"/>
    <w:rsid w:val="002A22B9"/>
    <w:rsid w:val="002A23A2"/>
    <w:rsid w:val="002A28E7"/>
    <w:rsid w:val="002A29F6"/>
    <w:rsid w:val="002A39B9"/>
    <w:rsid w:val="002A407B"/>
    <w:rsid w:val="002A444A"/>
    <w:rsid w:val="002A4475"/>
    <w:rsid w:val="002A51C7"/>
    <w:rsid w:val="002A54D0"/>
    <w:rsid w:val="002A5604"/>
    <w:rsid w:val="002A584B"/>
    <w:rsid w:val="002A592C"/>
    <w:rsid w:val="002A5CA8"/>
    <w:rsid w:val="002A6183"/>
    <w:rsid w:val="002A629D"/>
    <w:rsid w:val="002A6A5E"/>
    <w:rsid w:val="002A72E5"/>
    <w:rsid w:val="002A7338"/>
    <w:rsid w:val="002A75CB"/>
    <w:rsid w:val="002A776A"/>
    <w:rsid w:val="002A79FD"/>
    <w:rsid w:val="002B0180"/>
    <w:rsid w:val="002B050D"/>
    <w:rsid w:val="002B05D3"/>
    <w:rsid w:val="002B05E0"/>
    <w:rsid w:val="002B07B8"/>
    <w:rsid w:val="002B0910"/>
    <w:rsid w:val="002B0B36"/>
    <w:rsid w:val="002B0CC3"/>
    <w:rsid w:val="002B0F78"/>
    <w:rsid w:val="002B1363"/>
    <w:rsid w:val="002B1510"/>
    <w:rsid w:val="002B16EC"/>
    <w:rsid w:val="002B177B"/>
    <w:rsid w:val="002B22A3"/>
    <w:rsid w:val="002B2573"/>
    <w:rsid w:val="002B2729"/>
    <w:rsid w:val="002B2D97"/>
    <w:rsid w:val="002B2DAC"/>
    <w:rsid w:val="002B375E"/>
    <w:rsid w:val="002B3832"/>
    <w:rsid w:val="002B3D5C"/>
    <w:rsid w:val="002B429A"/>
    <w:rsid w:val="002B458E"/>
    <w:rsid w:val="002B48DA"/>
    <w:rsid w:val="002B4AB4"/>
    <w:rsid w:val="002B4CD7"/>
    <w:rsid w:val="002B50B1"/>
    <w:rsid w:val="002B5116"/>
    <w:rsid w:val="002B51AB"/>
    <w:rsid w:val="002B55DE"/>
    <w:rsid w:val="002B57E1"/>
    <w:rsid w:val="002B581F"/>
    <w:rsid w:val="002B5B07"/>
    <w:rsid w:val="002B5C66"/>
    <w:rsid w:val="002B6267"/>
    <w:rsid w:val="002B6292"/>
    <w:rsid w:val="002B6C71"/>
    <w:rsid w:val="002B73CE"/>
    <w:rsid w:val="002B7AF8"/>
    <w:rsid w:val="002B7C8E"/>
    <w:rsid w:val="002B7CA3"/>
    <w:rsid w:val="002C0106"/>
    <w:rsid w:val="002C065E"/>
    <w:rsid w:val="002C06B0"/>
    <w:rsid w:val="002C09D6"/>
    <w:rsid w:val="002C0FEC"/>
    <w:rsid w:val="002C17A4"/>
    <w:rsid w:val="002C17C2"/>
    <w:rsid w:val="002C1D23"/>
    <w:rsid w:val="002C218E"/>
    <w:rsid w:val="002C24A6"/>
    <w:rsid w:val="002C2E2E"/>
    <w:rsid w:val="002C2FA3"/>
    <w:rsid w:val="002C37E7"/>
    <w:rsid w:val="002C3848"/>
    <w:rsid w:val="002C3909"/>
    <w:rsid w:val="002C3D20"/>
    <w:rsid w:val="002C3E52"/>
    <w:rsid w:val="002C42BC"/>
    <w:rsid w:val="002C5826"/>
    <w:rsid w:val="002C6338"/>
    <w:rsid w:val="002C6561"/>
    <w:rsid w:val="002C67DA"/>
    <w:rsid w:val="002C67EF"/>
    <w:rsid w:val="002C6B9B"/>
    <w:rsid w:val="002C7079"/>
    <w:rsid w:val="002C721E"/>
    <w:rsid w:val="002C797F"/>
    <w:rsid w:val="002C7A89"/>
    <w:rsid w:val="002D0138"/>
    <w:rsid w:val="002D0520"/>
    <w:rsid w:val="002D0B66"/>
    <w:rsid w:val="002D0E74"/>
    <w:rsid w:val="002D0FAA"/>
    <w:rsid w:val="002D13B8"/>
    <w:rsid w:val="002D14B6"/>
    <w:rsid w:val="002D14B7"/>
    <w:rsid w:val="002D16A7"/>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844"/>
    <w:rsid w:val="002D49E1"/>
    <w:rsid w:val="002D49EB"/>
    <w:rsid w:val="002D4F0B"/>
    <w:rsid w:val="002D525C"/>
    <w:rsid w:val="002D5308"/>
    <w:rsid w:val="002D5601"/>
    <w:rsid w:val="002D5BCC"/>
    <w:rsid w:val="002D623B"/>
    <w:rsid w:val="002D626E"/>
    <w:rsid w:val="002D65FB"/>
    <w:rsid w:val="002D6764"/>
    <w:rsid w:val="002D6F27"/>
    <w:rsid w:val="002D6F8F"/>
    <w:rsid w:val="002D70A6"/>
    <w:rsid w:val="002D794A"/>
    <w:rsid w:val="002D7CB8"/>
    <w:rsid w:val="002E00E5"/>
    <w:rsid w:val="002E01B0"/>
    <w:rsid w:val="002E04A1"/>
    <w:rsid w:val="002E055E"/>
    <w:rsid w:val="002E086B"/>
    <w:rsid w:val="002E0958"/>
    <w:rsid w:val="002E0D30"/>
    <w:rsid w:val="002E0F53"/>
    <w:rsid w:val="002E1A5D"/>
    <w:rsid w:val="002E1AC6"/>
    <w:rsid w:val="002E1CCA"/>
    <w:rsid w:val="002E21F4"/>
    <w:rsid w:val="002E229D"/>
    <w:rsid w:val="002E23EA"/>
    <w:rsid w:val="002E275C"/>
    <w:rsid w:val="002E2DD7"/>
    <w:rsid w:val="002E2E61"/>
    <w:rsid w:val="002E2F40"/>
    <w:rsid w:val="002E303F"/>
    <w:rsid w:val="002E3101"/>
    <w:rsid w:val="002E3417"/>
    <w:rsid w:val="002E354A"/>
    <w:rsid w:val="002E37F6"/>
    <w:rsid w:val="002E3CE4"/>
    <w:rsid w:val="002E43E3"/>
    <w:rsid w:val="002E448E"/>
    <w:rsid w:val="002E4597"/>
    <w:rsid w:val="002E47C9"/>
    <w:rsid w:val="002E48AE"/>
    <w:rsid w:val="002E4A28"/>
    <w:rsid w:val="002E521B"/>
    <w:rsid w:val="002E55AB"/>
    <w:rsid w:val="002E567A"/>
    <w:rsid w:val="002E588D"/>
    <w:rsid w:val="002E5C7B"/>
    <w:rsid w:val="002E5C8A"/>
    <w:rsid w:val="002E5EBA"/>
    <w:rsid w:val="002E6665"/>
    <w:rsid w:val="002E6D9B"/>
    <w:rsid w:val="002E6EFB"/>
    <w:rsid w:val="002E7F15"/>
    <w:rsid w:val="002F0824"/>
    <w:rsid w:val="002F08B5"/>
    <w:rsid w:val="002F09BC"/>
    <w:rsid w:val="002F0D0F"/>
    <w:rsid w:val="002F143E"/>
    <w:rsid w:val="002F15C8"/>
    <w:rsid w:val="002F17DB"/>
    <w:rsid w:val="002F1A7F"/>
    <w:rsid w:val="002F1C65"/>
    <w:rsid w:val="002F217F"/>
    <w:rsid w:val="002F2A05"/>
    <w:rsid w:val="002F2F99"/>
    <w:rsid w:val="002F3086"/>
    <w:rsid w:val="002F3B5E"/>
    <w:rsid w:val="002F4148"/>
    <w:rsid w:val="002F4339"/>
    <w:rsid w:val="002F44DC"/>
    <w:rsid w:val="002F47DD"/>
    <w:rsid w:val="002F47FC"/>
    <w:rsid w:val="002F4841"/>
    <w:rsid w:val="002F4EFC"/>
    <w:rsid w:val="002F5048"/>
    <w:rsid w:val="002F53A2"/>
    <w:rsid w:val="002F58F0"/>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7CA"/>
    <w:rsid w:val="002F7925"/>
    <w:rsid w:val="002F7B80"/>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3429"/>
    <w:rsid w:val="003047BD"/>
    <w:rsid w:val="0030555F"/>
    <w:rsid w:val="00305577"/>
    <w:rsid w:val="003057B7"/>
    <w:rsid w:val="003058D9"/>
    <w:rsid w:val="003059DC"/>
    <w:rsid w:val="00305A8B"/>
    <w:rsid w:val="00305AD1"/>
    <w:rsid w:val="00305B5C"/>
    <w:rsid w:val="00305C46"/>
    <w:rsid w:val="00305CA7"/>
    <w:rsid w:val="00305CE4"/>
    <w:rsid w:val="0030603B"/>
    <w:rsid w:val="00306127"/>
    <w:rsid w:val="003066C9"/>
    <w:rsid w:val="00306887"/>
    <w:rsid w:val="00306E7B"/>
    <w:rsid w:val="00306EC4"/>
    <w:rsid w:val="003071E1"/>
    <w:rsid w:val="0030721F"/>
    <w:rsid w:val="0030725E"/>
    <w:rsid w:val="00307614"/>
    <w:rsid w:val="0030763B"/>
    <w:rsid w:val="00307751"/>
    <w:rsid w:val="003078C5"/>
    <w:rsid w:val="00307C41"/>
    <w:rsid w:val="003102EB"/>
    <w:rsid w:val="003108AC"/>
    <w:rsid w:val="003109A5"/>
    <w:rsid w:val="00310CBF"/>
    <w:rsid w:val="00310DDD"/>
    <w:rsid w:val="0031116C"/>
    <w:rsid w:val="00311746"/>
    <w:rsid w:val="00311A1D"/>
    <w:rsid w:val="00311F03"/>
    <w:rsid w:val="00312118"/>
    <w:rsid w:val="003123EE"/>
    <w:rsid w:val="00312913"/>
    <w:rsid w:val="0031333F"/>
    <w:rsid w:val="00313CD2"/>
    <w:rsid w:val="00313D09"/>
    <w:rsid w:val="00313D1E"/>
    <w:rsid w:val="00313EA2"/>
    <w:rsid w:val="0031401A"/>
    <w:rsid w:val="00314330"/>
    <w:rsid w:val="0031433F"/>
    <w:rsid w:val="00314AB8"/>
    <w:rsid w:val="00314EB6"/>
    <w:rsid w:val="00315216"/>
    <w:rsid w:val="00315371"/>
    <w:rsid w:val="003153A1"/>
    <w:rsid w:val="0031550A"/>
    <w:rsid w:val="003162BC"/>
    <w:rsid w:val="003162EB"/>
    <w:rsid w:val="0031639D"/>
    <w:rsid w:val="003164EC"/>
    <w:rsid w:val="003164FF"/>
    <w:rsid w:val="00316D4E"/>
    <w:rsid w:val="003172DD"/>
    <w:rsid w:val="00317C97"/>
    <w:rsid w:val="00317FB1"/>
    <w:rsid w:val="00320086"/>
    <w:rsid w:val="003206C1"/>
    <w:rsid w:val="00320F1B"/>
    <w:rsid w:val="0032120E"/>
    <w:rsid w:val="0032146D"/>
    <w:rsid w:val="00321551"/>
    <w:rsid w:val="00321638"/>
    <w:rsid w:val="00321AC1"/>
    <w:rsid w:val="00321C0F"/>
    <w:rsid w:val="003223A6"/>
    <w:rsid w:val="00322837"/>
    <w:rsid w:val="00322B1F"/>
    <w:rsid w:val="00322C57"/>
    <w:rsid w:val="00323055"/>
    <w:rsid w:val="00323228"/>
    <w:rsid w:val="0032340D"/>
    <w:rsid w:val="003237F8"/>
    <w:rsid w:val="00323991"/>
    <w:rsid w:val="003239AD"/>
    <w:rsid w:val="00323A55"/>
    <w:rsid w:val="00324094"/>
    <w:rsid w:val="00324180"/>
    <w:rsid w:val="0032523B"/>
    <w:rsid w:val="00325490"/>
    <w:rsid w:val="00325606"/>
    <w:rsid w:val="00325DA2"/>
    <w:rsid w:val="00326484"/>
    <w:rsid w:val="00326CB0"/>
    <w:rsid w:val="00326D09"/>
    <w:rsid w:val="00326E56"/>
    <w:rsid w:val="00326F97"/>
    <w:rsid w:val="00327045"/>
    <w:rsid w:val="003270F3"/>
    <w:rsid w:val="00327464"/>
    <w:rsid w:val="00327A3C"/>
    <w:rsid w:val="00327B02"/>
    <w:rsid w:val="00327C0E"/>
    <w:rsid w:val="00327C5D"/>
    <w:rsid w:val="00330434"/>
    <w:rsid w:val="003305B0"/>
    <w:rsid w:val="00330894"/>
    <w:rsid w:val="00331042"/>
    <w:rsid w:val="0033133A"/>
    <w:rsid w:val="00331372"/>
    <w:rsid w:val="00331AED"/>
    <w:rsid w:val="00331D0D"/>
    <w:rsid w:val="00331ECF"/>
    <w:rsid w:val="00332543"/>
    <w:rsid w:val="00332BF6"/>
    <w:rsid w:val="00333201"/>
    <w:rsid w:val="00333516"/>
    <w:rsid w:val="00333533"/>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7D1"/>
    <w:rsid w:val="00336A4D"/>
    <w:rsid w:val="00336C6B"/>
    <w:rsid w:val="00336E9D"/>
    <w:rsid w:val="00337DDB"/>
    <w:rsid w:val="00337E8F"/>
    <w:rsid w:val="00337EC3"/>
    <w:rsid w:val="00337F2A"/>
    <w:rsid w:val="003401E8"/>
    <w:rsid w:val="00340996"/>
    <w:rsid w:val="003409D2"/>
    <w:rsid w:val="00340AF6"/>
    <w:rsid w:val="00340C89"/>
    <w:rsid w:val="00340F0B"/>
    <w:rsid w:val="00340F3E"/>
    <w:rsid w:val="003411E6"/>
    <w:rsid w:val="003411EC"/>
    <w:rsid w:val="003411FB"/>
    <w:rsid w:val="00341248"/>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B2A"/>
    <w:rsid w:val="00355354"/>
    <w:rsid w:val="00355805"/>
    <w:rsid w:val="00355C25"/>
    <w:rsid w:val="00355CB1"/>
    <w:rsid w:val="0035604B"/>
    <w:rsid w:val="0035614E"/>
    <w:rsid w:val="00356A40"/>
    <w:rsid w:val="00357103"/>
    <w:rsid w:val="00357440"/>
    <w:rsid w:val="00357602"/>
    <w:rsid w:val="00357C3F"/>
    <w:rsid w:val="003604A3"/>
    <w:rsid w:val="00360722"/>
    <w:rsid w:val="003608B9"/>
    <w:rsid w:val="0036138C"/>
    <w:rsid w:val="00361569"/>
    <w:rsid w:val="003615E8"/>
    <w:rsid w:val="003616FB"/>
    <w:rsid w:val="00361799"/>
    <w:rsid w:val="00361809"/>
    <w:rsid w:val="003619BC"/>
    <w:rsid w:val="00361A59"/>
    <w:rsid w:val="00361B36"/>
    <w:rsid w:val="003620B4"/>
    <w:rsid w:val="003620BF"/>
    <w:rsid w:val="00362214"/>
    <w:rsid w:val="0036227E"/>
    <w:rsid w:val="003626A1"/>
    <w:rsid w:val="00362719"/>
    <w:rsid w:val="00362950"/>
    <w:rsid w:val="00362AEF"/>
    <w:rsid w:val="00362C13"/>
    <w:rsid w:val="0036333E"/>
    <w:rsid w:val="00363652"/>
    <w:rsid w:val="00363B86"/>
    <w:rsid w:val="00363F1A"/>
    <w:rsid w:val="003642D2"/>
    <w:rsid w:val="0036431F"/>
    <w:rsid w:val="0036479C"/>
    <w:rsid w:val="003647EF"/>
    <w:rsid w:val="00364CFF"/>
    <w:rsid w:val="0036523F"/>
    <w:rsid w:val="00365662"/>
    <w:rsid w:val="0036566A"/>
    <w:rsid w:val="00365CE7"/>
    <w:rsid w:val="00365D31"/>
    <w:rsid w:val="00366319"/>
    <w:rsid w:val="00366633"/>
    <w:rsid w:val="003666BA"/>
    <w:rsid w:val="00366A83"/>
    <w:rsid w:val="00367624"/>
    <w:rsid w:val="0036784A"/>
    <w:rsid w:val="00367B70"/>
    <w:rsid w:val="0037027E"/>
    <w:rsid w:val="00371524"/>
    <w:rsid w:val="003718CD"/>
    <w:rsid w:val="00371FD8"/>
    <w:rsid w:val="003720F9"/>
    <w:rsid w:val="00372509"/>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644"/>
    <w:rsid w:val="00377792"/>
    <w:rsid w:val="00377E39"/>
    <w:rsid w:val="00377FEB"/>
    <w:rsid w:val="0038063A"/>
    <w:rsid w:val="00380BD9"/>
    <w:rsid w:val="00381350"/>
    <w:rsid w:val="003813DE"/>
    <w:rsid w:val="003818C9"/>
    <w:rsid w:val="00381C20"/>
    <w:rsid w:val="00382938"/>
    <w:rsid w:val="003829AB"/>
    <w:rsid w:val="00382AB7"/>
    <w:rsid w:val="00382C44"/>
    <w:rsid w:val="003833CB"/>
    <w:rsid w:val="0038367C"/>
    <w:rsid w:val="00383F9F"/>
    <w:rsid w:val="00384056"/>
    <w:rsid w:val="0038406C"/>
    <w:rsid w:val="003840CE"/>
    <w:rsid w:val="003848FE"/>
    <w:rsid w:val="003849D3"/>
    <w:rsid w:val="00384B0E"/>
    <w:rsid w:val="00384C2B"/>
    <w:rsid w:val="00384E7E"/>
    <w:rsid w:val="003854B2"/>
    <w:rsid w:val="0038578A"/>
    <w:rsid w:val="003858CD"/>
    <w:rsid w:val="00385993"/>
    <w:rsid w:val="00385E41"/>
    <w:rsid w:val="003863A6"/>
    <w:rsid w:val="00386ABB"/>
    <w:rsid w:val="00386AE7"/>
    <w:rsid w:val="00387168"/>
    <w:rsid w:val="00387455"/>
    <w:rsid w:val="003876CD"/>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873"/>
    <w:rsid w:val="003939A9"/>
    <w:rsid w:val="00393C16"/>
    <w:rsid w:val="00393EBA"/>
    <w:rsid w:val="00393EBB"/>
    <w:rsid w:val="003942D6"/>
    <w:rsid w:val="00394615"/>
    <w:rsid w:val="00394886"/>
    <w:rsid w:val="00394955"/>
    <w:rsid w:val="00394B48"/>
    <w:rsid w:val="003953A2"/>
    <w:rsid w:val="00395453"/>
    <w:rsid w:val="00395806"/>
    <w:rsid w:val="00395A7B"/>
    <w:rsid w:val="003962AD"/>
    <w:rsid w:val="00396333"/>
    <w:rsid w:val="0039640A"/>
    <w:rsid w:val="00396597"/>
    <w:rsid w:val="00396AF0"/>
    <w:rsid w:val="003973A6"/>
    <w:rsid w:val="00397A35"/>
    <w:rsid w:val="00397A78"/>
    <w:rsid w:val="00397C1D"/>
    <w:rsid w:val="00397E84"/>
    <w:rsid w:val="00397EE8"/>
    <w:rsid w:val="003A03F6"/>
    <w:rsid w:val="003A07DA"/>
    <w:rsid w:val="003A0849"/>
    <w:rsid w:val="003A0A20"/>
    <w:rsid w:val="003A0DC5"/>
    <w:rsid w:val="003A0EB4"/>
    <w:rsid w:val="003A16B3"/>
    <w:rsid w:val="003A1B6B"/>
    <w:rsid w:val="003A1BC1"/>
    <w:rsid w:val="003A1BD9"/>
    <w:rsid w:val="003A1DBE"/>
    <w:rsid w:val="003A24CE"/>
    <w:rsid w:val="003A25A4"/>
    <w:rsid w:val="003A28A7"/>
    <w:rsid w:val="003A2C53"/>
    <w:rsid w:val="003A3583"/>
    <w:rsid w:val="003A3600"/>
    <w:rsid w:val="003A36EC"/>
    <w:rsid w:val="003A3844"/>
    <w:rsid w:val="003A38C2"/>
    <w:rsid w:val="003A3A45"/>
    <w:rsid w:val="003A3BC6"/>
    <w:rsid w:val="003A3C0B"/>
    <w:rsid w:val="003A3E0F"/>
    <w:rsid w:val="003A3EAF"/>
    <w:rsid w:val="003A4478"/>
    <w:rsid w:val="003A4A40"/>
    <w:rsid w:val="003A4AAD"/>
    <w:rsid w:val="003A4CFF"/>
    <w:rsid w:val="003A5521"/>
    <w:rsid w:val="003A575D"/>
    <w:rsid w:val="003A577B"/>
    <w:rsid w:val="003A5ABF"/>
    <w:rsid w:val="003A6231"/>
    <w:rsid w:val="003A7477"/>
    <w:rsid w:val="003A7666"/>
    <w:rsid w:val="003A785C"/>
    <w:rsid w:val="003A7A02"/>
    <w:rsid w:val="003A7A8E"/>
    <w:rsid w:val="003B0401"/>
    <w:rsid w:val="003B054F"/>
    <w:rsid w:val="003B0760"/>
    <w:rsid w:val="003B0846"/>
    <w:rsid w:val="003B0BDF"/>
    <w:rsid w:val="003B0E60"/>
    <w:rsid w:val="003B1125"/>
    <w:rsid w:val="003B13DA"/>
    <w:rsid w:val="003B13E6"/>
    <w:rsid w:val="003B1911"/>
    <w:rsid w:val="003B1B19"/>
    <w:rsid w:val="003B20F3"/>
    <w:rsid w:val="003B2275"/>
    <w:rsid w:val="003B22A5"/>
    <w:rsid w:val="003B29F4"/>
    <w:rsid w:val="003B2B80"/>
    <w:rsid w:val="003B2E95"/>
    <w:rsid w:val="003B3033"/>
    <w:rsid w:val="003B32CF"/>
    <w:rsid w:val="003B34F2"/>
    <w:rsid w:val="003B38E4"/>
    <w:rsid w:val="003B39A6"/>
    <w:rsid w:val="003B40D9"/>
    <w:rsid w:val="003B4496"/>
    <w:rsid w:val="003B4715"/>
    <w:rsid w:val="003B49FD"/>
    <w:rsid w:val="003B532D"/>
    <w:rsid w:val="003B573C"/>
    <w:rsid w:val="003B57E0"/>
    <w:rsid w:val="003B588E"/>
    <w:rsid w:val="003B5B64"/>
    <w:rsid w:val="003B5FB5"/>
    <w:rsid w:val="003B6097"/>
    <w:rsid w:val="003B612B"/>
    <w:rsid w:val="003B6272"/>
    <w:rsid w:val="003B653B"/>
    <w:rsid w:val="003B69F5"/>
    <w:rsid w:val="003B6FD2"/>
    <w:rsid w:val="003B7083"/>
    <w:rsid w:val="003B73B6"/>
    <w:rsid w:val="003B77AF"/>
    <w:rsid w:val="003B7B83"/>
    <w:rsid w:val="003B7CD5"/>
    <w:rsid w:val="003B7D77"/>
    <w:rsid w:val="003C093C"/>
    <w:rsid w:val="003C0BDE"/>
    <w:rsid w:val="003C0D95"/>
    <w:rsid w:val="003C1E6E"/>
    <w:rsid w:val="003C2310"/>
    <w:rsid w:val="003C242F"/>
    <w:rsid w:val="003C24D2"/>
    <w:rsid w:val="003C28D2"/>
    <w:rsid w:val="003C2D48"/>
    <w:rsid w:val="003C2EE5"/>
    <w:rsid w:val="003C33AE"/>
    <w:rsid w:val="003C34AB"/>
    <w:rsid w:val="003C380D"/>
    <w:rsid w:val="003C3BD9"/>
    <w:rsid w:val="003C3BEF"/>
    <w:rsid w:val="003C3CF5"/>
    <w:rsid w:val="003C3EBB"/>
    <w:rsid w:val="003C3ED8"/>
    <w:rsid w:val="003C40C6"/>
    <w:rsid w:val="003C465B"/>
    <w:rsid w:val="003C4DE6"/>
    <w:rsid w:val="003C557D"/>
    <w:rsid w:val="003C5616"/>
    <w:rsid w:val="003C5AAF"/>
    <w:rsid w:val="003C5BE7"/>
    <w:rsid w:val="003C5C1E"/>
    <w:rsid w:val="003C5C39"/>
    <w:rsid w:val="003C5CDE"/>
    <w:rsid w:val="003C5E44"/>
    <w:rsid w:val="003C5F2D"/>
    <w:rsid w:val="003C61AC"/>
    <w:rsid w:val="003C6443"/>
    <w:rsid w:val="003C662B"/>
    <w:rsid w:val="003C67D4"/>
    <w:rsid w:val="003C6C3E"/>
    <w:rsid w:val="003C6C8B"/>
    <w:rsid w:val="003C6D86"/>
    <w:rsid w:val="003C7D82"/>
    <w:rsid w:val="003C7FE0"/>
    <w:rsid w:val="003D00D3"/>
    <w:rsid w:val="003D0284"/>
    <w:rsid w:val="003D0792"/>
    <w:rsid w:val="003D0CAE"/>
    <w:rsid w:val="003D10F6"/>
    <w:rsid w:val="003D1179"/>
    <w:rsid w:val="003D1746"/>
    <w:rsid w:val="003D19E5"/>
    <w:rsid w:val="003D1A15"/>
    <w:rsid w:val="003D1B07"/>
    <w:rsid w:val="003D2A61"/>
    <w:rsid w:val="003D2B32"/>
    <w:rsid w:val="003D2B79"/>
    <w:rsid w:val="003D3045"/>
    <w:rsid w:val="003D37E9"/>
    <w:rsid w:val="003D3EC4"/>
    <w:rsid w:val="003D43E5"/>
    <w:rsid w:val="003D4452"/>
    <w:rsid w:val="003D4726"/>
    <w:rsid w:val="003D49E0"/>
    <w:rsid w:val="003D5352"/>
    <w:rsid w:val="003D5636"/>
    <w:rsid w:val="003D5790"/>
    <w:rsid w:val="003D5C8A"/>
    <w:rsid w:val="003D5D3E"/>
    <w:rsid w:val="003D606C"/>
    <w:rsid w:val="003D6254"/>
    <w:rsid w:val="003D62D7"/>
    <w:rsid w:val="003D68DF"/>
    <w:rsid w:val="003D6E32"/>
    <w:rsid w:val="003D7214"/>
    <w:rsid w:val="003D74E4"/>
    <w:rsid w:val="003D75EF"/>
    <w:rsid w:val="003D79E8"/>
    <w:rsid w:val="003D7D69"/>
    <w:rsid w:val="003E0839"/>
    <w:rsid w:val="003E10C4"/>
    <w:rsid w:val="003E1758"/>
    <w:rsid w:val="003E1CF1"/>
    <w:rsid w:val="003E231C"/>
    <w:rsid w:val="003E233C"/>
    <w:rsid w:val="003E2659"/>
    <w:rsid w:val="003E2718"/>
    <w:rsid w:val="003E3442"/>
    <w:rsid w:val="003E34C5"/>
    <w:rsid w:val="003E3681"/>
    <w:rsid w:val="003E37F2"/>
    <w:rsid w:val="003E3801"/>
    <w:rsid w:val="003E437D"/>
    <w:rsid w:val="003E44D6"/>
    <w:rsid w:val="003E4608"/>
    <w:rsid w:val="003E4901"/>
    <w:rsid w:val="003E5873"/>
    <w:rsid w:val="003E5A3F"/>
    <w:rsid w:val="003E5AB6"/>
    <w:rsid w:val="003E69A6"/>
    <w:rsid w:val="003E6D7A"/>
    <w:rsid w:val="003E73D9"/>
    <w:rsid w:val="003E76A1"/>
    <w:rsid w:val="003E785F"/>
    <w:rsid w:val="003E7919"/>
    <w:rsid w:val="003E7A04"/>
    <w:rsid w:val="003E7B49"/>
    <w:rsid w:val="003F047A"/>
    <w:rsid w:val="003F0756"/>
    <w:rsid w:val="003F0916"/>
    <w:rsid w:val="003F0E32"/>
    <w:rsid w:val="003F0E9E"/>
    <w:rsid w:val="003F115C"/>
    <w:rsid w:val="003F1292"/>
    <w:rsid w:val="003F136A"/>
    <w:rsid w:val="003F13EE"/>
    <w:rsid w:val="003F1C03"/>
    <w:rsid w:val="003F2072"/>
    <w:rsid w:val="003F2394"/>
    <w:rsid w:val="003F26FD"/>
    <w:rsid w:val="003F29E5"/>
    <w:rsid w:val="003F2CE5"/>
    <w:rsid w:val="003F3087"/>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438"/>
    <w:rsid w:val="003F79F4"/>
    <w:rsid w:val="003F7BB3"/>
    <w:rsid w:val="003F7CB1"/>
    <w:rsid w:val="0040009C"/>
    <w:rsid w:val="0040014B"/>
    <w:rsid w:val="004006D6"/>
    <w:rsid w:val="00400744"/>
    <w:rsid w:val="004007BF"/>
    <w:rsid w:val="00400952"/>
    <w:rsid w:val="00400E10"/>
    <w:rsid w:val="00400EE3"/>
    <w:rsid w:val="00400FAB"/>
    <w:rsid w:val="004014AA"/>
    <w:rsid w:val="004015B5"/>
    <w:rsid w:val="0040161C"/>
    <w:rsid w:val="00401781"/>
    <w:rsid w:val="00401F02"/>
    <w:rsid w:val="0040200D"/>
    <w:rsid w:val="0040204C"/>
    <w:rsid w:val="004029A5"/>
    <w:rsid w:val="004029CF"/>
    <w:rsid w:val="00402A20"/>
    <w:rsid w:val="00402DE5"/>
    <w:rsid w:val="00402ED8"/>
    <w:rsid w:val="00403008"/>
    <w:rsid w:val="00403625"/>
    <w:rsid w:val="00403778"/>
    <w:rsid w:val="00403AEE"/>
    <w:rsid w:val="00403E98"/>
    <w:rsid w:val="00403FD6"/>
    <w:rsid w:val="00404098"/>
    <w:rsid w:val="004041EE"/>
    <w:rsid w:val="00404CAF"/>
    <w:rsid w:val="00404D92"/>
    <w:rsid w:val="00404DF7"/>
    <w:rsid w:val="00404EB6"/>
    <w:rsid w:val="00405167"/>
    <w:rsid w:val="004051BB"/>
    <w:rsid w:val="0040535B"/>
    <w:rsid w:val="0040568A"/>
    <w:rsid w:val="004058FD"/>
    <w:rsid w:val="004059B4"/>
    <w:rsid w:val="00405A66"/>
    <w:rsid w:val="00405A75"/>
    <w:rsid w:val="00405BD1"/>
    <w:rsid w:val="00405D33"/>
    <w:rsid w:val="0040607E"/>
    <w:rsid w:val="00406236"/>
    <w:rsid w:val="0040634A"/>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A25"/>
    <w:rsid w:val="00412D02"/>
    <w:rsid w:val="00412FB3"/>
    <w:rsid w:val="0041308B"/>
    <w:rsid w:val="0041315F"/>
    <w:rsid w:val="004131EF"/>
    <w:rsid w:val="004136E1"/>
    <w:rsid w:val="004137B5"/>
    <w:rsid w:val="004137BC"/>
    <w:rsid w:val="00413D23"/>
    <w:rsid w:val="00413D99"/>
    <w:rsid w:val="004145B4"/>
    <w:rsid w:val="00414643"/>
    <w:rsid w:val="00414E60"/>
    <w:rsid w:val="00415299"/>
    <w:rsid w:val="004153D1"/>
    <w:rsid w:val="00415796"/>
    <w:rsid w:val="00415AB8"/>
    <w:rsid w:val="00415BF2"/>
    <w:rsid w:val="00415CEF"/>
    <w:rsid w:val="00415CF2"/>
    <w:rsid w:val="00415F7C"/>
    <w:rsid w:val="0041617E"/>
    <w:rsid w:val="00416503"/>
    <w:rsid w:val="0041669B"/>
    <w:rsid w:val="004167FD"/>
    <w:rsid w:val="00416817"/>
    <w:rsid w:val="00416E80"/>
    <w:rsid w:val="00417BB9"/>
    <w:rsid w:val="00417ECC"/>
    <w:rsid w:val="00417F5C"/>
    <w:rsid w:val="00420266"/>
    <w:rsid w:val="0042035C"/>
    <w:rsid w:val="00420736"/>
    <w:rsid w:val="004208A9"/>
    <w:rsid w:val="00420D51"/>
    <w:rsid w:val="004211E3"/>
    <w:rsid w:val="004214D1"/>
    <w:rsid w:val="00421559"/>
    <w:rsid w:val="0042157F"/>
    <w:rsid w:val="00421BFA"/>
    <w:rsid w:val="00421C94"/>
    <w:rsid w:val="00421D15"/>
    <w:rsid w:val="00421DA3"/>
    <w:rsid w:val="00421F9C"/>
    <w:rsid w:val="004224B4"/>
    <w:rsid w:val="0042282A"/>
    <w:rsid w:val="004229EF"/>
    <w:rsid w:val="00422F31"/>
    <w:rsid w:val="00422F45"/>
    <w:rsid w:val="00423527"/>
    <w:rsid w:val="004235DD"/>
    <w:rsid w:val="004237AC"/>
    <w:rsid w:val="004242A5"/>
    <w:rsid w:val="004242AB"/>
    <w:rsid w:val="004243A7"/>
    <w:rsid w:val="004244AE"/>
    <w:rsid w:val="00424C2A"/>
    <w:rsid w:val="00424EC0"/>
    <w:rsid w:val="00425624"/>
    <w:rsid w:val="004256E2"/>
    <w:rsid w:val="0042584E"/>
    <w:rsid w:val="00425A76"/>
    <w:rsid w:val="0042616F"/>
    <w:rsid w:val="0042633B"/>
    <w:rsid w:val="0042672E"/>
    <w:rsid w:val="004267A0"/>
    <w:rsid w:val="00426A24"/>
    <w:rsid w:val="00426AC7"/>
    <w:rsid w:val="00426D62"/>
    <w:rsid w:val="00426DAD"/>
    <w:rsid w:val="00426E6F"/>
    <w:rsid w:val="0042728F"/>
    <w:rsid w:val="004273D4"/>
    <w:rsid w:val="004274FD"/>
    <w:rsid w:val="0042787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2658"/>
    <w:rsid w:val="00432AED"/>
    <w:rsid w:val="00432DDA"/>
    <w:rsid w:val="004339FD"/>
    <w:rsid w:val="004340E9"/>
    <w:rsid w:val="00434280"/>
    <w:rsid w:val="004342B7"/>
    <w:rsid w:val="0043451B"/>
    <w:rsid w:val="00434690"/>
    <w:rsid w:val="00434A75"/>
    <w:rsid w:val="00434B54"/>
    <w:rsid w:val="00436B13"/>
    <w:rsid w:val="004373D8"/>
    <w:rsid w:val="00437915"/>
    <w:rsid w:val="004400C7"/>
    <w:rsid w:val="0044013C"/>
    <w:rsid w:val="0044020D"/>
    <w:rsid w:val="0044035A"/>
    <w:rsid w:val="004407C5"/>
    <w:rsid w:val="00440AA0"/>
    <w:rsid w:val="00440AF3"/>
    <w:rsid w:val="0044102C"/>
    <w:rsid w:val="0044134B"/>
    <w:rsid w:val="0044139D"/>
    <w:rsid w:val="00441D84"/>
    <w:rsid w:val="0044217D"/>
    <w:rsid w:val="00442550"/>
    <w:rsid w:val="004428B9"/>
    <w:rsid w:val="00442FC4"/>
    <w:rsid w:val="00442FCC"/>
    <w:rsid w:val="00443B98"/>
    <w:rsid w:val="00444717"/>
    <w:rsid w:val="00444A67"/>
    <w:rsid w:val="00444BEB"/>
    <w:rsid w:val="00444D3A"/>
    <w:rsid w:val="00445475"/>
    <w:rsid w:val="0044582B"/>
    <w:rsid w:val="004459FF"/>
    <w:rsid w:val="00446077"/>
    <w:rsid w:val="00446942"/>
    <w:rsid w:val="00446A81"/>
    <w:rsid w:val="00446CB8"/>
    <w:rsid w:val="00446DAC"/>
    <w:rsid w:val="00446F49"/>
    <w:rsid w:val="004474E8"/>
    <w:rsid w:val="00447704"/>
    <w:rsid w:val="004477FD"/>
    <w:rsid w:val="004478B5"/>
    <w:rsid w:val="00447F71"/>
    <w:rsid w:val="00450180"/>
    <w:rsid w:val="00450255"/>
    <w:rsid w:val="004505C9"/>
    <w:rsid w:val="00450764"/>
    <w:rsid w:val="00450ACE"/>
    <w:rsid w:val="00450F1A"/>
    <w:rsid w:val="00451375"/>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6424"/>
    <w:rsid w:val="004567CF"/>
    <w:rsid w:val="00456BB9"/>
    <w:rsid w:val="004573E8"/>
    <w:rsid w:val="00457648"/>
    <w:rsid w:val="00457747"/>
    <w:rsid w:val="00457A66"/>
    <w:rsid w:val="00457B93"/>
    <w:rsid w:val="00457FD5"/>
    <w:rsid w:val="004603D7"/>
    <w:rsid w:val="0046069C"/>
    <w:rsid w:val="004606E7"/>
    <w:rsid w:val="004608A0"/>
    <w:rsid w:val="00460995"/>
    <w:rsid w:val="004609D5"/>
    <w:rsid w:val="00460EBD"/>
    <w:rsid w:val="0046139D"/>
    <w:rsid w:val="00461427"/>
    <w:rsid w:val="00461887"/>
    <w:rsid w:val="00461CF7"/>
    <w:rsid w:val="00461F1B"/>
    <w:rsid w:val="00461F8E"/>
    <w:rsid w:val="00461FA4"/>
    <w:rsid w:val="0046211B"/>
    <w:rsid w:val="004625F6"/>
    <w:rsid w:val="004634A2"/>
    <w:rsid w:val="00464012"/>
    <w:rsid w:val="004640F5"/>
    <w:rsid w:val="0046420F"/>
    <w:rsid w:val="00464339"/>
    <w:rsid w:val="00464556"/>
    <w:rsid w:val="004647F6"/>
    <w:rsid w:val="00464885"/>
    <w:rsid w:val="00464B26"/>
    <w:rsid w:val="00464C6B"/>
    <w:rsid w:val="00465192"/>
    <w:rsid w:val="004651DB"/>
    <w:rsid w:val="004654A0"/>
    <w:rsid w:val="004655C6"/>
    <w:rsid w:val="00465927"/>
    <w:rsid w:val="00465B8D"/>
    <w:rsid w:val="00465D42"/>
    <w:rsid w:val="004661AB"/>
    <w:rsid w:val="00466685"/>
    <w:rsid w:val="00466776"/>
    <w:rsid w:val="00466892"/>
    <w:rsid w:val="00467004"/>
    <w:rsid w:val="00467163"/>
    <w:rsid w:val="004673C3"/>
    <w:rsid w:val="004676C9"/>
    <w:rsid w:val="00467E9F"/>
    <w:rsid w:val="004708B3"/>
    <w:rsid w:val="00470F01"/>
    <w:rsid w:val="004714CA"/>
    <w:rsid w:val="004715AF"/>
    <w:rsid w:val="004716BE"/>
    <w:rsid w:val="00471923"/>
    <w:rsid w:val="00471B9E"/>
    <w:rsid w:val="00471E3D"/>
    <w:rsid w:val="0047201B"/>
    <w:rsid w:val="0047205A"/>
    <w:rsid w:val="004721F1"/>
    <w:rsid w:val="004722F4"/>
    <w:rsid w:val="0047235C"/>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30E"/>
    <w:rsid w:val="004754C5"/>
    <w:rsid w:val="00475560"/>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AA"/>
    <w:rsid w:val="00480EA7"/>
    <w:rsid w:val="00481269"/>
    <w:rsid w:val="0048132C"/>
    <w:rsid w:val="00481BC7"/>
    <w:rsid w:val="00481D0D"/>
    <w:rsid w:val="00481DD2"/>
    <w:rsid w:val="00483119"/>
    <w:rsid w:val="004832B8"/>
    <w:rsid w:val="00484301"/>
    <w:rsid w:val="00484770"/>
    <w:rsid w:val="00484980"/>
    <w:rsid w:val="00484BB3"/>
    <w:rsid w:val="004850CE"/>
    <w:rsid w:val="00485404"/>
    <w:rsid w:val="00485459"/>
    <w:rsid w:val="0048547C"/>
    <w:rsid w:val="00485669"/>
    <w:rsid w:val="00485BF4"/>
    <w:rsid w:val="004866AA"/>
    <w:rsid w:val="00487085"/>
    <w:rsid w:val="004874DB"/>
    <w:rsid w:val="004875EC"/>
    <w:rsid w:val="004877B3"/>
    <w:rsid w:val="004877B7"/>
    <w:rsid w:val="004877F6"/>
    <w:rsid w:val="0048780B"/>
    <w:rsid w:val="00487ABA"/>
    <w:rsid w:val="00487D54"/>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417B"/>
    <w:rsid w:val="00494248"/>
    <w:rsid w:val="004942DA"/>
    <w:rsid w:val="00494699"/>
    <w:rsid w:val="00494849"/>
    <w:rsid w:val="00494A57"/>
    <w:rsid w:val="00494BDF"/>
    <w:rsid w:val="004953EF"/>
    <w:rsid w:val="004954EE"/>
    <w:rsid w:val="004960F0"/>
    <w:rsid w:val="004968A7"/>
    <w:rsid w:val="0049691D"/>
    <w:rsid w:val="00496A0A"/>
    <w:rsid w:val="00496B64"/>
    <w:rsid w:val="00496C30"/>
    <w:rsid w:val="00496CD2"/>
    <w:rsid w:val="00496D0A"/>
    <w:rsid w:val="00496DAF"/>
    <w:rsid w:val="004970DF"/>
    <w:rsid w:val="00497595"/>
    <w:rsid w:val="0049784F"/>
    <w:rsid w:val="004979B1"/>
    <w:rsid w:val="00497A5E"/>
    <w:rsid w:val="004A01BF"/>
    <w:rsid w:val="004A0460"/>
    <w:rsid w:val="004A069A"/>
    <w:rsid w:val="004A0DB6"/>
    <w:rsid w:val="004A0E38"/>
    <w:rsid w:val="004A0E3C"/>
    <w:rsid w:val="004A13B3"/>
    <w:rsid w:val="004A17A3"/>
    <w:rsid w:val="004A18D7"/>
    <w:rsid w:val="004A1ADE"/>
    <w:rsid w:val="004A1B7E"/>
    <w:rsid w:val="004A1EC1"/>
    <w:rsid w:val="004A2A77"/>
    <w:rsid w:val="004A2BAC"/>
    <w:rsid w:val="004A2D4D"/>
    <w:rsid w:val="004A30B2"/>
    <w:rsid w:val="004A3113"/>
    <w:rsid w:val="004A3732"/>
    <w:rsid w:val="004A3B1B"/>
    <w:rsid w:val="004A3C2C"/>
    <w:rsid w:val="004A3F71"/>
    <w:rsid w:val="004A4191"/>
    <w:rsid w:val="004A41B0"/>
    <w:rsid w:val="004A41E6"/>
    <w:rsid w:val="004A4542"/>
    <w:rsid w:val="004A4680"/>
    <w:rsid w:val="004A4A53"/>
    <w:rsid w:val="004A4B14"/>
    <w:rsid w:val="004A515F"/>
    <w:rsid w:val="004A5279"/>
    <w:rsid w:val="004A59F4"/>
    <w:rsid w:val="004A5CE7"/>
    <w:rsid w:val="004A60FE"/>
    <w:rsid w:val="004A613A"/>
    <w:rsid w:val="004A699A"/>
    <w:rsid w:val="004A6BFB"/>
    <w:rsid w:val="004A704B"/>
    <w:rsid w:val="004A72CC"/>
    <w:rsid w:val="004A7403"/>
    <w:rsid w:val="004A7441"/>
    <w:rsid w:val="004A77C1"/>
    <w:rsid w:val="004A7A8F"/>
    <w:rsid w:val="004A7A99"/>
    <w:rsid w:val="004A7D28"/>
    <w:rsid w:val="004B01B5"/>
    <w:rsid w:val="004B024F"/>
    <w:rsid w:val="004B0305"/>
    <w:rsid w:val="004B0333"/>
    <w:rsid w:val="004B07A9"/>
    <w:rsid w:val="004B0A3D"/>
    <w:rsid w:val="004B0CCB"/>
    <w:rsid w:val="004B0CCE"/>
    <w:rsid w:val="004B12CF"/>
    <w:rsid w:val="004B133F"/>
    <w:rsid w:val="004B13A9"/>
    <w:rsid w:val="004B1599"/>
    <w:rsid w:val="004B183B"/>
    <w:rsid w:val="004B1C6C"/>
    <w:rsid w:val="004B1D19"/>
    <w:rsid w:val="004B2A99"/>
    <w:rsid w:val="004B2F81"/>
    <w:rsid w:val="004B3023"/>
    <w:rsid w:val="004B34D4"/>
    <w:rsid w:val="004B37D6"/>
    <w:rsid w:val="004B3829"/>
    <w:rsid w:val="004B3E86"/>
    <w:rsid w:val="004B3F48"/>
    <w:rsid w:val="004B3FBD"/>
    <w:rsid w:val="004B4389"/>
    <w:rsid w:val="004B44FB"/>
    <w:rsid w:val="004B4753"/>
    <w:rsid w:val="004B4E0B"/>
    <w:rsid w:val="004B524E"/>
    <w:rsid w:val="004B55AD"/>
    <w:rsid w:val="004B57C1"/>
    <w:rsid w:val="004B5AB8"/>
    <w:rsid w:val="004B5CCC"/>
    <w:rsid w:val="004B5CF0"/>
    <w:rsid w:val="004B60B7"/>
    <w:rsid w:val="004B61C9"/>
    <w:rsid w:val="004B65FD"/>
    <w:rsid w:val="004B69ED"/>
    <w:rsid w:val="004B6AAD"/>
    <w:rsid w:val="004B6C0C"/>
    <w:rsid w:val="004B76A1"/>
    <w:rsid w:val="004B79A7"/>
    <w:rsid w:val="004B7BC3"/>
    <w:rsid w:val="004B7CB0"/>
    <w:rsid w:val="004B7D05"/>
    <w:rsid w:val="004C06A7"/>
    <w:rsid w:val="004C0DAA"/>
    <w:rsid w:val="004C0DE7"/>
    <w:rsid w:val="004C0F7D"/>
    <w:rsid w:val="004C1024"/>
    <w:rsid w:val="004C11FF"/>
    <w:rsid w:val="004C14D7"/>
    <w:rsid w:val="004C1A03"/>
    <w:rsid w:val="004C1C08"/>
    <w:rsid w:val="004C1F00"/>
    <w:rsid w:val="004C215E"/>
    <w:rsid w:val="004C2507"/>
    <w:rsid w:val="004C2712"/>
    <w:rsid w:val="004C296D"/>
    <w:rsid w:val="004C2A77"/>
    <w:rsid w:val="004C2BE9"/>
    <w:rsid w:val="004C2C1E"/>
    <w:rsid w:val="004C31D0"/>
    <w:rsid w:val="004C33D3"/>
    <w:rsid w:val="004C38B1"/>
    <w:rsid w:val="004C4192"/>
    <w:rsid w:val="004C48D6"/>
    <w:rsid w:val="004C586E"/>
    <w:rsid w:val="004C5979"/>
    <w:rsid w:val="004C59EB"/>
    <w:rsid w:val="004C5A5B"/>
    <w:rsid w:val="004C611D"/>
    <w:rsid w:val="004C6243"/>
    <w:rsid w:val="004C661B"/>
    <w:rsid w:val="004C6A92"/>
    <w:rsid w:val="004C6E75"/>
    <w:rsid w:val="004C7463"/>
    <w:rsid w:val="004C76F0"/>
    <w:rsid w:val="004C7730"/>
    <w:rsid w:val="004C7984"/>
    <w:rsid w:val="004C79A5"/>
    <w:rsid w:val="004D007B"/>
    <w:rsid w:val="004D01C5"/>
    <w:rsid w:val="004D0234"/>
    <w:rsid w:val="004D0912"/>
    <w:rsid w:val="004D0B38"/>
    <w:rsid w:val="004D0D16"/>
    <w:rsid w:val="004D12DE"/>
    <w:rsid w:val="004D15B2"/>
    <w:rsid w:val="004D1838"/>
    <w:rsid w:val="004D2027"/>
    <w:rsid w:val="004D25B6"/>
    <w:rsid w:val="004D2BC9"/>
    <w:rsid w:val="004D2E71"/>
    <w:rsid w:val="004D31B7"/>
    <w:rsid w:val="004D34CD"/>
    <w:rsid w:val="004D3531"/>
    <w:rsid w:val="004D3825"/>
    <w:rsid w:val="004D4180"/>
    <w:rsid w:val="004D41ED"/>
    <w:rsid w:val="004D4821"/>
    <w:rsid w:val="004D4981"/>
    <w:rsid w:val="004D4CD1"/>
    <w:rsid w:val="004D4D5E"/>
    <w:rsid w:val="004D4F3D"/>
    <w:rsid w:val="004D51F1"/>
    <w:rsid w:val="004D5778"/>
    <w:rsid w:val="004D57A0"/>
    <w:rsid w:val="004D57D2"/>
    <w:rsid w:val="004D587D"/>
    <w:rsid w:val="004D5BA7"/>
    <w:rsid w:val="004D601E"/>
    <w:rsid w:val="004D61C1"/>
    <w:rsid w:val="004D63A8"/>
    <w:rsid w:val="004D63EB"/>
    <w:rsid w:val="004D67F7"/>
    <w:rsid w:val="004D682C"/>
    <w:rsid w:val="004D6BD5"/>
    <w:rsid w:val="004D7012"/>
    <w:rsid w:val="004D77D3"/>
    <w:rsid w:val="004D7927"/>
    <w:rsid w:val="004D792F"/>
    <w:rsid w:val="004D7D72"/>
    <w:rsid w:val="004D7D85"/>
    <w:rsid w:val="004D7DBF"/>
    <w:rsid w:val="004E0337"/>
    <w:rsid w:val="004E0703"/>
    <w:rsid w:val="004E0A75"/>
    <w:rsid w:val="004E13AB"/>
    <w:rsid w:val="004E1511"/>
    <w:rsid w:val="004E1BC0"/>
    <w:rsid w:val="004E1CAE"/>
    <w:rsid w:val="004E21EA"/>
    <w:rsid w:val="004E21EF"/>
    <w:rsid w:val="004E225D"/>
    <w:rsid w:val="004E24CC"/>
    <w:rsid w:val="004E284A"/>
    <w:rsid w:val="004E28FA"/>
    <w:rsid w:val="004E2933"/>
    <w:rsid w:val="004E297D"/>
    <w:rsid w:val="004E2A16"/>
    <w:rsid w:val="004E2D96"/>
    <w:rsid w:val="004E34E0"/>
    <w:rsid w:val="004E3593"/>
    <w:rsid w:val="004E364E"/>
    <w:rsid w:val="004E39A7"/>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90"/>
    <w:rsid w:val="004E7E4A"/>
    <w:rsid w:val="004F006F"/>
    <w:rsid w:val="004F00E6"/>
    <w:rsid w:val="004F0275"/>
    <w:rsid w:val="004F0328"/>
    <w:rsid w:val="004F0425"/>
    <w:rsid w:val="004F0723"/>
    <w:rsid w:val="004F089E"/>
    <w:rsid w:val="004F1476"/>
    <w:rsid w:val="004F1E2C"/>
    <w:rsid w:val="004F1FFA"/>
    <w:rsid w:val="004F20B0"/>
    <w:rsid w:val="004F21B9"/>
    <w:rsid w:val="004F22B3"/>
    <w:rsid w:val="004F2944"/>
    <w:rsid w:val="004F297C"/>
    <w:rsid w:val="004F2F56"/>
    <w:rsid w:val="004F2F6D"/>
    <w:rsid w:val="004F30B8"/>
    <w:rsid w:val="004F311A"/>
    <w:rsid w:val="004F355F"/>
    <w:rsid w:val="004F3CC2"/>
    <w:rsid w:val="004F417E"/>
    <w:rsid w:val="004F4236"/>
    <w:rsid w:val="004F476A"/>
    <w:rsid w:val="004F56E8"/>
    <w:rsid w:val="004F628A"/>
    <w:rsid w:val="004F675C"/>
    <w:rsid w:val="004F7059"/>
    <w:rsid w:val="004F72C5"/>
    <w:rsid w:val="004F72D5"/>
    <w:rsid w:val="004F7337"/>
    <w:rsid w:val="004F7B88"/>
    <w:rsid w:val="004F7C7E"/>
    <w:rsid w:val="004F7E81"/>
    <w:rsid w:val="0050059A"/>
    <w:rsid w:val="0050086C"/>
    <w:rsid w:val="00500B10"/>
    <w:rsid w:val="00500B55"/>
    <w:rsid w:val="0050194B"/>
    <w:rsid w:val="00501F12"/>
    <w:rsid w:val="00501F8A"/>
    <w:rsid w:val="00502929"/>
    <w:rsid w:val="00502B7B"/>
    <w:rsid w:val="00502D0A"/>
    <w:rsid w:val="00502E3A"/>
    <w:rsid w:val="005035D2"/>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FF"/>
    <w:rsid w:val="00510E2B"/>
    <w:rsid w:val="00510FA4"/>
    <w:rsid w:val="005112F9"/>
    <w:rsid w:val="00511317"/>
    <w:rsid w:val="0051133D"/>
    <w:rsid w:val="005114AE"/>
    <w:rsid w:val="00512113"/>
    <w:rsid w:val="0051217A"/>
    <w:rsid w:val="005129AD"/>
    <w:rsid w:val="005129BB"/>
    <w:rsid w:val="00512B35"/>
    <w:rsid w:val="00512C49"/>
    <w:rsid w:val="005131D6"/>
    <w:rsid w:val="005132F0"/>
    <w:rsid w:val="00513905"/>
    <w:rsid w:val="00513A35"/>
    <w:rsid w:val="00513C46"/>
    <w:rsid w:val="00513D7A"/>
    <w:rsid w:val="00514022"/>
    <w:rsid w:val="00514593"/>
    <w:rsid w:val="00514970"/>
    <w:rsid w:val="00514C6E"/>
    <w:rsid w:val="00514D38"/>
    <w:rsid w:val="00514DBE"/>
    <w:rsid w:val="005150A0"/>
    <w:rsid w:val="00515290"/>
    <w:rsid w:val="0051550F"/>
    <w:rsid w:val="00515DE6"/>
    <w:rsid w:val="00515EAE"/>
    <w:rsid w:val="005161D0"/>
    <w:rsid w:val="00516657"/>
    <w:rsid w:val="005168EB"/>
    <w:rsid w:val="00516C5E"/>
    <w:rsid w:val="00516CCF"/>
    <w:rsid w:val="00516DD1"/>
    <w:rsid w:val="00517427"/>
    <w:rsid w:val="005176F0"/>
    <w:rsid w:val="00517B59"/>
    <w:rsid w:val="00517FF5"/>
    <w:rsid w:val="00520796"/>
    <w:rsid w:val="005207A3"/>
    <w:rsid w:val="0052083A"/>
    <w:rsid w:val="00520E20"/>
    <w:rsid w:val="0052116B"/>
    <w:rsid w:val="00521480"/>
    <w:rsid w:val="00521ECC"/>
    <w:rsid w:val="0052260C"/>
    <w:rsid w:val="00522C0C"/>
    <w:rsid w:val="00522E6F"/>
    <w:rsid w:val="005233F5"/>
    <w:rsid w:val="00523B59"/>
    <w:rsid w:val="0052420C"/>
    <w:rsid w:val="005251D6"/>
    <w:rsid w:val="005256A3"/>
    <w:rsid w:val="0052575B"/>
    <w:rsid w:val="00525B56"/>
    <w:rsid w:val="00525BE0"/>
    <w:rsid w:val="00525D9E"/>
    <w:rsid w:val="00526314"/>
    <w:rsid w:val="00526776"/>
    <w:rsid w:val="005267E3"/>
    <w:rsid w:val="0052711B"/>
    <w:rsid w:val="005273D3"/>
    <w:rsid w:val="005275A1"/>
    <w:rsid w:val="00527857"/>
    <w:rsid w:val="00527D4E"/>
    <w:rsid w:val="00527F4E"/>
    <w:rsid w:val="00527F71"/>
    <w:rsid w:val="005303DD"/>
    <w:rsid w:val="005304F9"/>
    <w:rsid w:val="00530836"/>
    <w:rsid w:val="00530DB5"/>
    <w:rsid w:val="00530EA2"/>
    <w:rsid w:val="0053112B"/>
    <w:rsid w:val="00531142"/>
    <w:rsid w:val="00531347"/>
    <w:rsid w:val="005315A3"/>
    <w:rsid w:val="0053174E"/>
    <w:rsid w:val="00531DB2"/>
    <w:rsid w:val="005321A9"/>
    <w:rsid w:val="00532348"/>
    <w:rsid w:val="00532707"/>
    <w:rsid w:val="00532C8B"/>
    <w:rsid w:val="00532D33"/>
    <w:rsid w:val="0053322F"/>
    <w:rsid w:val="005334C2"/>
    <w:rsid w:val="00533E0C"/>
    <w:rsid w:val="00533F51"/>
    <w:rsid w:val="005343A2"/>
    <w:rsid w:val="005344BB"/>
    <w:rsid w:val="00534559"/>
    <w:rsid w:val="0053483D"/>
    <w:rsid w:val="00534AC7"/>
    <w:rsid w:val="00535130"/>
    <w:rsid w:val="00535D44"/>
    <w:rsid w:val="00536FD2"/>
    <w:rsid w:val="005374CA"/>
    <w:rsid w:val="00537A14"/>
    <w:rsid w:val="00537A6C"/>
    <w:rsid w:val="00537BB2"/>
    <w:rsid w:val="00537C9D"/>
    <w:rsid w:val="005400E6"/>
    <w:rsid w:val="0054023B"/>
    <w:rsid w:val="005402AB"/>
    <w:rsid w:val="005402D0"/>
    <w:rsid w:val="005406BB"/>
    <w:rsid w:val="00540CEE"/>
    <w:rsid w:val="00540EAB"/>
    <w:rsid w:val="005410C4"/>
    <w:rsid w:val="005412CC"/>
    <w:rsid w:val="00541860"/>
    <w:rsid w:val="00541906"/>
    <w:rsid w:val="00541A0A"/>
    <w:rsid w:val="00541D59"/>
    <w:rsid w:val="00541E89"/>
    <w:rsid w:val="00541F2B"/>
    <w:rsid w:val="005420A6"/>
    <w:rsid w:val="0054211B"/>
    <w:rsid w:val="00542352"/>
    <w:rsid w:val="005424E9"/>
    <w:rsid w:val="005425F0"/>
    <w:rsid w:val="0054266D"/>
    <w:rsid w:val="0054273F"/>
    <w:rsid w:val="0054294E"/>
    <w:rsid w:val="00542A3B"/>
    <w:rsid w:val="0054314C"/>
    <w:rsid w:val="0054321F"/>
    <w:rsid w:val="0054341A"/>
    <w:rsid w:val="00543602"/>
    <w:rsid w:val="00543D35"/>
    <w:rsid w:val="00543D5C"/>
    <w:rsid w:val="00544087"/>
    <w:rsid w:val="0054427B"/>
    <w:rsid w:val="005445F6"/>
    <w:rsid w:val="00544605"/>
    <w:rsid w:val="00544811"/>
    <w:rsid w:val="005448B6"/>
    <w:rsid w:val="00544A11"/>
    <w:rsid w:val="00544B16"/>
    <w:rsid w:val="00545B95"/>
    <w:rsid w:val="00546314"/>
    <w:rsid w:val="005463D2"/>
    <w:rsid w:val="00546829"/>
    <w:rsid w:val="0054684F"/>
    <w:rsid w:val="0054689E"/>
    <w:rsid w:val="00546BB4"/>
    <w:rsid w:val="00546DF1"/>
    <w:rsid w:val="00547856"/>
    <w:rsid w:val="00547BF7"/>
    <w:rsid w:val="00547BFA"/>
    <w:rsid w:val="00547C24"/>
    <w:rsid w:val="0055002D"/>
    <w:rsid w:val="00550144"/>
    <w:rsid w:val="00550286"/>
    <w:rsid w:val="00550BDC"/>
    <w:rsid w:val="00550DD1"/>
    <w:rsid w:val="00550DF8"/>
    <w:rsid w:val="005510AB"/>
    <w:rsid w:val="00551224"/>
    <w:rsid w:val="0055133A"/>
    <w:rsid w:val="0055176F"/>
    <w:rsid w:val="00551E72"/>
    <w:rsid w:val="00551F2F"/>
    <w:rsid w:val="005523FB"/>
    <w:rsid w:val="00552738"/>
    <w:rsid w:val="00552C06"/>
    <w:rsid w:val="00552D3A"/>
    <w:rsid w:val="00552E7F"/>
    <w:rsid w:val="00553E08"/>
    <w:rsid w:val="005541A2"/>
    <w:rsid w:val="005541E5"/>
    <w:rsid w:val="00554297"/>
    <w:rsid w:val="0055446C"/>
    <w:rsid w:val="005544DA"/>
    <w:rsid w:val="00554611"/>
    <w:rsid w:val="00554B42"/>
    <w:rsid w:val="00554BA0"/>
    <w:rsid w:val="00554F5C"/>
    <w:rsid w:val="00554F61"/>
    <w:rsid w:val="00555018"/>
    <w:rsid w:val="00555CE4"/>
    <w:rsid w:val="00555ECB"/>
    <w:rsid w:val="00556361"/>
    <w:rsid w:val="00556776"/>
    <w:rsid w:val="005567FE"/>
    <w:rsid w:val="00556AC8"/>
    <w:rsid w:val="00556C10"/>
    <w:rsid w:val="00556C83"/>
    <w:rsid w:val="00556E66"/>
    <w:rsid w:val="005570EA"/>
    <w:rsid w:val="00557763"/>
    <w:rsid w:val="0056012F"/>
    <w:rsid w:val="005602EC"/>
    <w:rsid w:val="00560EAE"/>
    <w:rsid w:val="00560F2D"/>
    <w:rsid w:val="00560FD9"/>
    <w:rsid w:val="0056189A"/>
    <w:rsid w:val="005619BC"/>
    <w:rsid w:val="00561BBC"/>
    <w:rsid w:val="00561E58"/>
    <w:rsid w:val="00561F89"/>
    <w:rsid w:val="00562025"/>
    <w:rsid w:val="00562312"/>
    <w:rsid w:val="00562820"/>
    <w:rsid w:val="00562C2E"/>
    <w:rsid w:val="00562DB9"/>
    <w:rsid w:val="00563002"/>
    <w:rsid w:val="00563060"/>
    <w:rsid w:val="005630DC"/>
    <w:rsid w:val="00563375"/>
    <w:rsid w:val="00563552"/>
    <w:rsid w:val="00563886"/>
    <w:rsid w:val="00563BD4"/>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63BE"/>
    <w:rsid w:val="00566589"/>
    <w:rsid w:val="005667FE"/>
    <w:rsid w:val="0056705B"/>
    <w:rsid w:val="005670B9"/>
    <w:rsid w:val="00567750"/>
    <w:rsid w:val="00567BE0"/>
    <w:rsid w:val="00567F30"/>
    <w:rsid w:val="005701CF"/>
    <w:rsid w:val="00570DC9"/>
    <w:rsid w:val="00570F86"/>
    <w:rsid w:val="0057130F"/>
    <w:rsid w:val="005713EE"/>
    <w:rsid w:val="00571AA3"/>
    <w:rsid w:val="00571D7E"/>
    <w:rsid w:val="00571E74"/>
    <w:rsid w:val="00571FB9"/>
    <w:rsid w:val="0057242B"/>
    <w:rsid w:val="0057244D"/>
    <w:rsid w:val="00572E2A"/>
    <w:rsid w:val="00573068"/>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35F"/>
    <w:rsid w:val="00576415"/>
    <w:rsid w:val="005764E7"/>
    <w:rsid w:val="00576524"/>
    <w:rsid w:val="005765C1"/>
    <w:rsid w:val="00576757"/>
    <w:rsid w:val="00576E6F"/>
    <w:rsid w:val="0057742D"/>
    <w:rsid w:val="0057752B"/>
    <w:rsid w:val="00577679"/>
    <w:rsid w:val="005776D9"/>
    <w:rsid w:val="0057771D"/>
    <w:rsid w:val="00577A29"/>
    <w:rsid w:val="00577C96"/>
    <w:rsid w:val="00577CBC"/>
    <w:rsid w:val="00577FD3"/>
    <w:rsid w:val="005805A4"/>
    <w:rsid w:val="00580945"/>
    <w:rsid w:val="005812C3"/>
    <w:rsid w:val="005813F7"/>
    <w:rsid w:val="0058149F"/>
    <w:rsid w:val="005815BE"/>
    <w:rsid w:val="0058170F"/>
    <w:rsid w:val="00582440"/>
    <w:rsid w:val="00582446"/>
    <w:rsid w:val="00582450"/>
    <w:rsid w:val="00582747"/>
    <w:rsid w:val="00582A75"/>
    <w:rsid w:val="00582B10"/>
    <w:rsid w:val="00582BEA"/>
    <w:rsid w:val="00582D85"/>
    <w:rsid w:val="005831BD"/>
    <w:rsid w:val="005835F1"/>
    <w:rsid w:val="00583740"/>
    <w:rsid w:val="005840BB"/>
    <w:rsid w:val="005843AF"/>
    <w:rsid w:val="00584854"/>
    <w:rsid w:val="00584A3F"/>
    <w:rsid w:val="00584FC7"/>
    <w:rsid w:val="0058502E"/>
    <w:rsid w:val="005851E4"/>
    <w:rsid w:val="0058555C"/>
    <w:rsid w:val="005857A2"/>
    <w:rsid w:val="005859D6"/>
    <w:rsid w:val="00585D7A"/>
    <w:rsid w:val="00586470"/>
    <w:rsid w:val="0058657D"/>
    <w:rsid w:val="00586668"/>
    <w:rsid w:val="00586BAA"/>
    <w:rsid w:val="0058703F"/>
    <w:rsid w:val="00587408"/>
    <w:rsid w:val="00587602"/>
    <w:rsid w:val="00587817"/>
    <w:rsid w:val="00587C06"/>
    <w:rsid w:val="00587DC5"/>
    <w:rsid w:val="00587F41"/>
    <w:rsid w:val="005904C7"/>
    <w:rsid w:val="005905AF"/>
    <w:rsid w:val="00590938"/>
    <w:rsid w:val="00590BF3"/>
    <w:rsid w:val="00590C60"/>
    <w:rsid w:val="00590F6A"/>
    <w:rsid w:val="00590FDD"/>
    <w:rsid w:val="00591111"/>
    <w:rsid w:val="00591500"/>
    <w:rsid w:val="00591662"/>
    <w:rsid w:val="005916F6"/>
    <w:rsid w:val="00591756"/>
    <w:rsid w:val="005918C5"/>
    <w:rsid w:val="00591A95"/>
    <w:rsid w:val="00591D08"/>
    <w:rsid w:val="00591E81"/>
    <w:rsid w:val="0059204A"/>
    <w:rsid w:val="00592459"/>
    <w:rsid w:val="00592563"/>
    <w:rsid w:val="0059286D"/>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FF8"/>
    <w:rsid w:val="0059712F"/>
    <w:rsid w:val="0059773E"/>
    <w:rsid w:val="00597D10"/>
    <w:rsid w:val="00597F56"/>
    <w:rsid w:val="005A0168"/>
    <w:rsid w:val="005A0175"/>
    <w:rsid w:val="005A0305"/>
    <w:rsid w:val="005A052D"/>
    <w:rsid w:val="005A09EB"/>
    <w:rsid w:val="005A0E18"/>
    <w:rsid w:val="005A0E71"/>
    <w:rsid w:val="005A0F2A"/>
    <w:rsid w:val="005A14EE"/>
    <w:rsid w:val="005A1ACF"/>
    <w:rsid w:val="005A1CF8"/>
    <w:rsid w:val="005A1E91"/>
    <w:rsid w:val="005A2623"/>
    <w:rsid w:val="005A2976"/>
    <w:rsid w:val="005A323D"/>
    <w:rsid w:val="005A3249"/>
    <w:rsid w:val="005A38F1"/>
    <w:rsid w:val="005A391A"/>
    <w:rsid w:val="005A3DD2"/>
    <w:rsid w:val="005A420E"/>
    <w:rsid w:val="005A4876"/>
    <w:rsid w:val="005A4A88"/>
    <w:rsid w:val="005A4DB2"/>
    <w:rsid w:val="005A4F25"/>
    <w:rsid w:val="005A4F8A"/>
    <w:rsid w:val="005A53B6"/>
    <w:rsid w:val="005A55CB"/>
    <w:rsid w:val="005A5666"/>
    <w:rsid w:val="005A60B8"/>
    <w:rsid w:val="005A62F8"/>
    <w:rsid w:val="005A689F"/>
    <w:rsid w:val="005A6904"/>
    <w:rsid w:val="005A6AC3"/>
    <w:rsid w:val="005A7061"/>
    <w:rsid w:val="005A731A"/>
    <w:rsid w:val="005A74F6"/>
    <w:rsid w:val="005A7648"/>
    <w:rsid w:val="005A77DE"/>
    <w:rsid w:val="005A7B76"/>
    <w:rsid w:val="005B0151"/>
    <w:rsid w:val="005B02F2"/>
    <w:rsid w:val="005B03BF"/>
    <w:rsid w:val="005B044A"/>
    <w:rsid w:val="005B086C"/>
    <w:rsid w:val="005B09AA"/>
    <w:rsid w:val="005B0BE5"/>
    <w:rsid w:val="005B0D5D"/>
    <w:rsid w:val="005B134F"/>
    <w:rsid w:val="005B13F9"/>
    <w:rsid w:val="005B1750"/>
    <w:rsid w:val="005B1CED"/>
    <w:rsid w:val="005B1D10"/>
    <w:rsid w:val="005B2314"/>
    <w:rsid w:val="005B242D"/>
    <w:rsid w:val="005B25E5"/>
    <w:rsid w:val="005B2B0E"/>
    <w:rsid w:val="005B2C2F"/>
    <w:rsid w:val="005B304B"/>
    <w:rsid w:val="005B308B"/>
    <w:rsid w:val="005B364F"/>
    <w:rsid w:val="005B37D1"/>
    <w:rsid w:val="005B3BE5"/>
    <w:rsid w:val="005B3C63"/>
    <w:rsid w:val="005B4368"/>
    <w:rsid w:val="005B4849"/>
    <w:rsid w:val="005B5574"/>
    <w:rsid w:val="005B5627"/>
    <w:rsid w:val="005B5CF1"/>
    <w:rsid w:val="005B618B"/>
    <w:rsid w:val="005B63B3"/>
    <w:rsid w:val="005B6443"/>
    <w:rsid w:val="005B701B"/>
    <w:rsid w:val="005B7721"/>
    <w:rsid w:val="005C06FF"/>
    <w:rsid w:val="005C1077"/>
    <w:rsid w:val="005C131E"/>
    <w:rsid w:val="005C1522"/>
    <w:rsid w:val="005C1798"/>
    <w:rsid w:val="005C1814"/>
    <w:rsid w:val="005C1ADF"/>
    <w:rsid w:val="005C2552"/>
    <w:rsid w:val="005C26E1"/>
    <w:rsid w:val="005C2A52"/>
    <w:rsid w:val="005C2C2E"/>
    <w:rsid w:val="005C2CE7"/>
    <w:rsid w:val="005C32B2"/>
    <w:rsid w:val="005C3646"/>
    <w:rsid w:val="005C3A15"/>
    <w:rsid w:val="005C3A45"/>
    <w:rsid w:val="005C3A81"/>
    <w:rsid w:val="005C3F7B"/>
    <w:rsid w:val="005C41B8"/>
    <w:rsid w:val="005C41CF"/>
    <w:rsid w:val="005C428D"/>
    <w:rsid w:val="005C4DDA"/>
    <w:rsid w:val="005C5093"/>
    <w:rsid w:val="005C52F9"/>
    <w:rsid w:val="005C5353"/>
    <w:rsid w:val="005C59B8"/>
    <w:rsid w:val="005C5FB3"/>
    <w:rsid w:val="005C6258"/>
    <w:rsid w:val="005C62DF"/>
    <w:rsid w:val="005C65ED"/>
    <w:rsid w:val="005C664E"/>
    <w:rsid w:val="005C69F2"/>
    <w:rsid w:val="005C6CE5"/>
    <w:rsid w:val="005C737B"/>
    <w:rsid w:val="005C740D"/>
    <w:rsid w:val="005C7D4C"/>
    <w:rsid w:val="005C7E49"/>
    <w:rsid w:val="005C7F85"/>
    <w:rsid w:val="005D0007"/>
    <w:rsid w:val="005D0052"/>
    <w:rsid w:val="005D0197"/>
    <w:rsid w:val="005D0366"/>
    <w:rsid w:val="005D092D"/>
    <w:rsid w:val="005D0A2F"/>
    <w:rsid w:val="005D1BB3"/>
    <w:rsid w:val="005D22CF"/>
    <w:rsid w:val="005D2A83"/>
    <w:rsid w:val="005D2E2B"/>
    <w:rsid w:val="005D310F"/>
    <w:rsid w:val="005D3691"/>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AEA"/>
    <w:rsid w:val="005E0C29"/>
    <w:rsid w:val="005E0E4B"/>
    <w:rsid w:val="005E0F95"/>
    <w:rsid w:val="005E131A"/>
    <w:rsid w:val="005E2235"/>
    <w:rsid w:val="005E2C85"/>
    <w:rsid w:val="005E2EFB"/>
    <w:rsid w:val="005E2FB6"/>
    <w:rsid w:val="005E307D"/>
    <w:rsid w:val="005E3253"/>
    <w:rsid w:val="005E387E"/>
    <w:rsid w:val="005E3F35"/>
    <w:rsid w:val="005E3F75"/>
    <w:rsid w:val="005E415F"/>
    <w:rsid w:val="005E4316"/>
    <w:rsid w:val="005E48AF"/>
    <w:rsid w:val="005E4A27"/>
    <w:rsid w:val="005E4BF7"/>
    <w:rsid w:val="005E4C39"/>
    <w:rsid w:val="005E5763"/>
    <w:rsid w:val="005E58C7"/>
    <w:rsid w:val="005E5BD3"/>
    <w:rsid w:val="005E5D53"/>
    <w:rsid w:val="005E5F44"/>
    <w:rsid w:val="005E5FF2"/>
    <w:rsid w:val="005E621E"/>
    <w:rsid w:val="005E6680"/>
    <w:rsid w:val="005E67C7"/>
    <w:rsid w:val="005E67D7"/>
    <w:rsid w:val="005E6A4C"/>
    <w:rsid w:val="005E6C52"/>
    <w:rsid w:val="005E70FA"/>
    <w:rsid w:val="005E723A"/>
    <w:rsid w:val="005E7CB6"/>
    <w:rsid w:val="005E7D38"/>
    <w:rsid w:val="005E7D54"/>
    <w:rsid w:val="005E7DC6"/>
    <w:rsid w:val="005E91A2"/>
    <w:rsid w:val="005F0BC4"/>
    <w:rsid w:val="005F0D38"/>
    <w:rsid w:val="005F0F9B"/>
    <w:rsid w:val="005F1474"/>
    <w:rsid w:val="005F1E3B"/>
    <w:rsid w:val="005F1F74"/>
    <w:rsid w:val="005F21B0"/>
    <w:rsid w:val="005F2BB7"/>
    <w:rsid w:val="005F3059"/>
    <w:rsid w:val="005F361C"/>
    <w:rsid w:val="005F3C03"/>
    <w:rsid w:val="005F40B0"/>
    <w:rsid w:val="005F43C7"/>
    <w:rsid w:val="005F4511"/>
    <w:rsid w:val="005F48F0"/>
    <w:rsid w:val="005F4E92"/>
    <w:rsid w:val="005F5593"/>
    <w:rsid w:val="005F588E"/>
    <w:rsid w:val="005F5C87"/>
    <w:rsid w:val="005F64EF"/>
    <w:rsid w:val="005F66F0"/>
    <w:rsid w:val="005F6724"/>
    <w:rsid w:val="005F678A"/>
    <w:rsid w:val="005F6B64"/>
    <w:rsid w:val="005F7194"/>
    <w:rsid w:val="005F71A6"/>
    <w:rsid w:val="005F7BE6"/>
    <w:rsid w:val="005F7C5D"/>
    <w:rsid w:val="005F7CDC"/>
    <w:rsid w:val="005F7FFB"/>
    <w:rsid w:val="0060024E"/>
    <w:rsid w:val="00600785"/>
    <w:rsid w:val="00600BD9"/>
    <w:rsid w:val="00600D83"/>
    <w:rsid w:val="00600DCA"/>
    <w:rsid w:val="00600E9F"/>
    <w:rsid w:val="0060133B"/>
    <w:rsid w:val="006015D1"/>
    <w:rsid w:val="00601727"/>
    <w:rsid w:val="00601FF7"/>
    <w:rsid w:val="00602175"/>
    <w:rsid w:val="00602B9E"/>
    <w:rsid w:val="0060314A"/>
    <w:rsid w:val="0060322E"/>
    <w:rsid w:val="00603627"/>
    <w:rsid w:val="00603756"/>
    <w:rsid w:val="006037CC"/>
    <w:rsid w:val="00604111"/>
    <w:rsid w:val="0060433F"/>
    <w:rsid w:val="006045FD"/>
    <w:rsid w:val="00604850"/>
    <w:rsid w:val="00604C7F"/>
    <w:rsid w:val="00604D94"/>
    <w:rsid w:val="00604E68"/>
    <w:rsid w:val="00605173"/>
    <w:rsid w:val="0060578D"/>
    <w:rsid w:val="00605ACC"/>
    <w:rsid w:val="00605B7A"/>
    <w:rsid w:val="00605B83"/>
    <w:rsid w:val="00605B9A"/>
    <w:rsid w:val="00605C30"/>
    <w:rsid w:val="00605C9B"/>
    <w:rsid w:val="006061AC"/>
    <w:rsid w:val="006062E8"/>
    <w:rsid w:val="00606858"/>
    <w:rsid w:val="00606B35"/>
    <w:rsid w:val="00606D49"/>
    <w:rsid w:val="00606F1A"/>
    <w:rsid w:val="00607019"/>
    <w:rsid w:val="006070AD"/>
    <w:rsid w:val="0060719F"/>
    <w:rsid w:val="00607B95"/>
    <w:rsid w:val="00607EE3"/>
    <w:rsid w:val="00610253"/>
    <w:rsid w:val="006106CC"/>
    <w:rsid w:val="00610882"/>
    <w:rsid w:val="0061090C"/>
    <w:rsid w:val="00610AE6"/>
    <w:rsid w:val="00610BD4"/>
    <w:rsid w:val="00610D42"/>
    <w:rsid w:val="00610F5A"/>
    <w:rsid w:val="00611122"/>
    <w:rsid w:val="006115F6"/>
    <w:rsid w:val="00611A9A"/>
    <w:rsid w:val="00611CE6"/>
    <w:rsid w:val="00611DDC"/>
    <w:rsid w:val="00611E30"/>
    <w:rsid w:val="00611E5F"/>
    <w:rsid w:val="00611F0A"/>
    <w:rsid w:val="00612163"/>
    <w:rsid w:val="006123DE"/>
    <w:rsid w:val="006126AD"/>
    <w:rsid w:val="006126DF"/>
    <w:rsid w:val="00612907"/>
    <w:rsid w:val="00612DFC"/>
    <w:rsid w:val="00612ECF"/>
    <w:rsid w:val="006133F5"/>
    <w:rsid w:val="00613627"/>
    <w:rsid w:val="00613D40"/>
    <w:rsid w:val="006145B9"/>
    <w:rsid w:val="0061467E"/>
    <w:rsid w:val="00614690"/>
    <w:rsid w:val="006147F7"/>
    <w:rsid w:val="00614977"/>
    <w:rsid w:val="00614BFD"/>
    <w:rsid w:val="00614C58"/>
    <w:rsid w:val="0061502E"/>
    <w:rsid w:val="006151DF"/>
    <w:rsid w:val="006155A6"/>
    <w:rsid w:val="006156A4"/>
    <w:rsid w:val="0061574A"/>
    <w:rsid w:val="00615750"/>
    <w:rsid w:val="00616087"/>
    <w:rsid w:val="00616273"/>
    <w:rsid w:val="006163E5"/>
    <w:rsid w:val="00616943"/>
    <w:rsid w:val="00617AF0"/>
    <w:rsid w:val="00617D63"/>
    <w:rsid w:val="006207D0"/>
    <w:rsid w:val="006209B9"/>
    <w:rsid w:val="00621106"/>
    <w:rsid w:val="00621AC4"/>
    <w:rsid w:val="00621BCB"/>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D46"/>
    <w:rsid w:val="00627D6B"/>
    <w:rsid w:val="00627E46"/>
    <w:rsid w:val="00627FF5"/>
    <w:rsid w:val="00630407"/>
    <w:rsid w:val="0063048D"/>
    <w:rsid w:val="0063172A"/>
    <w:rsid w:val="00631C18"/>
    <w:rsid w:val="00631DA6"/>
    <w:rsid w:val="00631E0E"/>
    <w:rsid w:val="00631FA6"/>
    <w:rsid w:val="00632866"/>
    <w:rsid w:val="00632C25"/>
    <w:rsid w:val="006332B5"/>
    <w:rsid w:val="0063335D"/>
    <w:rsid w:val="00633464"/>
    <w:rsid w:val="00633998"/>
    <w:rsid w:val="006339B7"/>
    <w:rsid w:val="00633C4F"/>
    <w:rsid w:val="00633CC4"/>
    <w:rsid w:val="00633FB4"/>
    <w:rsid w:val="006344E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4A6"/>
    <w:rsid w:val="00636693"/>
    <w:rsid w:val="006369AE"/>
    <w:rsid w:val="00636EB0"/>
    <w:rsid w:val="00636F60"/>
    <w:rsid w:val="0063703E"/>
    <w:rsid w:val="0063755A"/>
    <w:rsid w:val="0063784F"/>
    <w:rsid w:val="006379C3"/>
    <w:rsid w:val="006401EA"/>
    <w:rsid w:val="00640296"/>
    <w:rsid w:val="0064052B"/>
    <w:rsid w:val="006406B5"/>
    <w:rsid w:val="006406E0"/>
    <w:rsid w:val="0064071E"/>
    <w:rsid w:val="00640BBB"/>
    <w:rsid w:val="006414E8"/>
    <w:rsid w:val="006418AA"/>
    <w:rsid w:val="0064196D"/>
    <w:rsid w:val="00641ADC"/>
    <w:rsid w:val="00642623"/>
    <w:rsid w:val="00642963"/>
    <w:rsid w:val="00643058"/>
    <w:rsid w:val="0064319B"/>
    <w:rsid w:val="006436F0"/>
    <w:rsid w:val="00643C48"/>
    <w:rsid w:val="006440BC"/>
    <w:rsid w:val="006441B4"/>
    <w:rsid w:val="006449E3"/>
    <w:rsid w:val="006452EB"/>
    <w:rsid w:val="00646280"/>
    <w:rsid w:val="006463E9"/>
    <w:rsid w:val="00646401"/>
    <w:rsid w:val="00646C9C"/>
    <w:rsid w:val="00646F1A"/>
    <w:rsid w:val="00647178"/>
    <w:rsid w:val="0064762F"/>
    <w:rsid w:val="00647C04"/>
    <w:rsid w:val="00647D18"/>
    <w:rsid w:val="0064E24E"/>
    <w:rsid w:val="006504FB"/>
    <w:rsid w:val="0065067B"/>
    <w:rsid w:val="0065110D"/>
    <w:rsid w:val="006514A0"/>
    <w:rsid w:val="00651FAF"/>
    <w:rsid w:val="00652DDF"/>
    <w:rsid w:val="00652EA4"/>
    <w:rsid w:val="00652EB8"/>
    <w:rsid w:val="00652F6F"/>
    <w:rsid w:val="00653450"/>
    <w:rsid w:val="006534F7"/>
    <w:rsid w:val="00653829"/>
    <w:rsid w:val="00653CA6"/>
    <w:rsid w:val="00653F28"/>
    <w:rsid w:val="00653F46"/>
    <w:rsid w:val="006545D8"/>
    <w:rsid w:val="006548B3"/>
    <w:rsid w:val="00654A87"/>
    <w:rsid w:val="00654FD7"/>
    <w:rsid w:val="0065502E"/>
    <w:rsid w:val="0065586B"/>
    <w:rsid w:val="00655884"/>
    <w:rsid w:val="00655A82"/>
    <w:rsid w:val="00655FBA"/>
    <w:rsid w:val="006561F7"/>
    <w:rsid w:val="00656369"/>
    <w:rsid w:val="006569FB"/>
    <w:rsid w:val="00656A13"/>
    <w:rsid w:val="00656C6B"/>
    <w:rsid w:val="00657818"/>
    <w:rsid w:val="006578CB"/>
    <w:rsid w:val="00657E8C"/>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312"/>
    <w:rsid w:val="0066448E"/>
    <w:rsid w:val="0066466B"/>
    <w:rsid w:val="006646F3"/>
    <w:rsid w:val="006647B1"/>
    <w:rsid w:val="00664A9F"/>
    <w:rsid w:val="00665039"/>
    <w:rsid w:val="00665393"/>
    <w:rsid w:val="006658AB"/>
    <w:rsid w:val="006660F3"/>
    <w:rsid w:val="0066613A"/>
    <w:rsid w:val="00666600"/>
    <w:rsid w:val="006667A4"/>
    <w:rsid w:val="00666ADE"/>
    <w:rsid w:val="00666C5C"/>
    <w:rsid w:val="00666CF5"/>
    <w:rsid w:val="00666E11"/>
    <w:rsid w:val="0066704A"/>
    <w:rsid w:val="0066716B"/>
    <w:rsid w:val="00667285"/>
    <w:rsid w:val="00667326"/>
    <w:rsid w:val="006676C1"/>
    <w:rsid w:val="00667BBF"/>
    <w:rsid w:val="00667C57"/>
    <w:rsid w:val="00667CFE"/>
    <w:rsid w:val="00670031"/>
    <w:rsid w:val="0067009D"/>
    <w:rsid w:val="00670265"/>
    <w:rsid w:val="006702F7"/>
    <w:rsid w:val="00670871"/>
    <w:rsid w:val="006712C7"/>
    <w:rsid w:val="006713A8"/>
    <w:rsid w:val="006719B2"/>
    <w:rsid w:val="00671A2A"/>
    <w:rsid w:val="00671AC5"/>
    <w:rsid w:val="00671B59"/>
    <w:rsid w:val="006720E9"/>
    <w:rsid w:val="006722E3"/>
    <w:rsid w:val="006723C1"/>
    <w:rsid w:val="0067241C"/>
    <w:rsid w:val="00672913"/>
    <w:rsid w:val="00672A18"/>
    <w:rsid w:val="00672A5D"/>
    <w:rsid w:val="00672AC5"/>
    <w:rsid w:val="00673073"/>
    <w:rsid w:val="00673521"/>
    <w:rsid w:val="0067371E"/>
    <w:rsid w:val="006737F9"/>
    <w:rsid w:val="00673C41"/>
    <w:rsid w:val="00673EF3"/>
    <w:rsid w:val="006741EF"/>
    <w:rsid w:val="00674C70"/>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A5A"/>
    <w:rsid w:val="00677E3B"/>
    <w:rsid w:val="00677F3A"/>
    <w:rsid w:val="00677F89"/>
    <w:rsid w:val="0067C88F"/>
    <w:rsid w:val="0068010C"/>
    <w:rsid w:val="0068087C"/>
    <w:rsid w:val="00680E99"/>
    <w:rsid w:val="00680EB4"/>
    <w:rsid w:val="00681046"/>
    <w:rsid w:val="006812C4"/>
    <w:rsid w:val="0068167C"/>
    <w:rsid w:val="00681B58"/>
    <w:rsid w:val="00681F73"/>
    <w:rsid w:val="0068236A"/>
    <w:rsid w:val="00682E2D"/>
    <w:rsid w:val="006832AC"/>
    <w:rsid w:val="006832F5"/>
    <w:rsid w:val="006836F7"/>
    <w:rsid w:val="00683CFD"/>
    <w:rsid w:val="00683DAA"/>
    <w:rsid w:val="00683F46"/>
    <w:rsid w:val="00684091"/>
    <w:rsid w:val="0068452F"/>
    <w:rsid w:val="00684566"/>
    <w:rsid w:val="00684918"/>
    <w:rsid w:val="0068493E"/>
    <w:rsid w:val="00684B95"/>
    <w:rsid w:val="0068503B"/>
    <w:rsid w:val="006854C0"/>
    <w:rsid w:val="00685CA8"/>
    <w:rsid w:val="0068663E"/>
    <w:rsid w:val="0068701B"/>
    <w:rsid w:val="00687661"/>
    <w:rsid w:val="00687835"/>
    <w:rsid w:val="00687A2C"/>
    <w:rsid w:val="00687E9C"/>
    <w:rsid w:val="0069003A"/>
    <w:rsid w:val="0069086A"/>
    <w:rsid w:val="006909A4"/>
    <w:rsid w:val="00690E91"/>
    <w:rsid w:val="00691339"/>
    <w:rsid w:val="0069150E"/>
    <w:rsid w:val="00691701"/>
    <w:rsid w:val="006919DF"/>
    <w:rsid w:val="0069204A"/>
    <w:rsid w:val="00692603"/>
    <w:rsid w:val="00692D6E"/>
    <w:rsid w:val="006930C9"/>
    <w:rsid w:val="006936D7"/>
    <w:rsid w:val="0069388A"/>
    <w:rsid w:val="006939B2"/>
    <w:rsid w:val="00693A2D"/>
    <w:rsid w:val="00694233"/>
    <w:rsid w:val="00694237"/>
    <w:rsid w:val="006944F6"/>
    <w:rsid w:val="00694547"/>
    <w:rsid w:val="00694846"/>
    <w:rsid w:val="00694B87"/>
    <w:rsid w:val="00694DF4"/>
    <w:rsid w:val="006952DE"/>
    <w:rsid w:val="0069549E"/>
    <w:rsid w:val="006956AF"/>
    <w:rsid w:val="0069574F"/>
    <w:rsid w:val="0069599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81B"/>
    <w:rsid w:val="006A6A3D"/>
    <w:rsid w:val="006A6E2D"/>
    <w:rsid w:val="006A6F26"/>
    <w:rsid w:val="006A70E0"/>
    <w:rsid w:val="006A7314"/>
    <w:rsid w:val="006A79D1"/>
    <w:rsid w:val="006A7BA9"/>
    <w:rsid w:val="006A7CE6"/>
    <w:rsid w:val="006A7E0C"/>
    <w:rsid w:val="006B00EA"/>
    <w:rsid w:val="006B131D"/>
    <w:rsid w:val="006B134A"/>
    <w:rsid w:val="006B19AC"/>
    <w:rsid w:val="006B1AAC"/>
    <w:rsid w:val="006B21C1"/>
    <w:rsid w:val="006B2417"/>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D41"/>
    <w:rsid w:val="006B7AE0"/>
    <w:rsid w:val="006B7B8B"/>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67E"/>
    <w:rsid w:val="006C37C5"/>
    <w:rsid w:val="006C397B"/>
    <w:rsid w:val="006C3A92"/>
    <w:rsid w:val="006C3CD2"/>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C2A"/>
    <w:rsid w:val="006C7EDA"/>
    <w:rsid w:val="006D0023"/>
    <w:rsid w:val="006D0065"/>
    <w:rsid w:val="006D0496"/>
    <w:rsid w:val="006D0A14"/>
    <w:rsid w:val="006D0F7D"/>
    <w:rsid w:val="006D125D"/>
    <w:rsid w:val="006D1309"/>
    <w:rsid w:val="006D1536"/>
    <w:rsid w:val="006D1696"/>
    <w:rsid w:val="006D183A"/>
    <w:rsid w:val="006D1F77"/>
    <w:rsid w:val="006D2108"/>
    <w:rsid w:val="006D2662"/>
    <w:rsid w:val="006D27EA"/>
    <w:rsid w:val="006D29B5"/>
    <w:rsid w:val="006D2D75"/>
    <w:rsid w:val="006D30F5"/>
    <w:rsid w:val="006D3CDE"/>
    <w:rsid w:val="006D4503"/>
    <w:rsid w:val="006D4B6D"/>
    <w:rsid w:val="006D4D5A"/>
    <w:rsid w:val="006D5597"/>
    <w:rsid w:val="006D5E2C"/>
    <w:rsid w:val="006D60E9"/>
    <w:rsid w:val="006D64EB"/>
    <w:rsid w:val="006D691E"/>
    <w:rsid w:val="006D6940"/>
    <w:rsid w:val="006D6A6B"/>
    <w:rsid w:val="006D6CAA"/>
    <w:rsid w:val="006D75A3"/>
    <w:rsid w:val="006D770D"/>
    <w:rsid w:val="006D7A75"/>
    <w:rsid w:val="006D7BCE"/>
    <w:rsid w:val="006D7E73"/>
    <w:rsid w:val="006E00BF"/>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EC0"/>
    <w:rsid w:val="006E2054"/>
    <w:rsid w:val="006E2521"/>
    <w:rsid w:val="006E25A7"/>
    <w:rsid w:val="006E26ED"/>
    <w:rsid w:val="006E2702"/>
    <w:rsid w:val="006E2703"/>
    <w:rsid w:val="006E2DC0"/>
    <w:rsid w:val="006E344A"/>
    <w:rsid w:val="006E37C0"/>
    <w:rsid w:val="006E394E"/>
    <w:rsid w:val="006E3D82"/>
    <w:rsid w:val="006E3DC0"/>
    <w:rsid w:val="006E4447"/>
    <w:rsid w:val="006E445C"/>
    <w:rsid w:val="006E4BB1"/>
    <w:rsid w:val="006E520C"/>
    <w:rsid w:val="006E54A7"/>
    <w:rsid w:val="006E5E5D"/>
    <w:rsid w:val="006E6079"/>
    <w:rsid w:val="006E632F"/>
    <w:rsid w:val="006E6465"/>
    <w:rsid w:val="006E7327"/>
    <w:rsid w:val="006E7347"/>
    <w:rsid w:val="006E738E"/>
    <w:rsid w:val="006E73A7"/>
    <w:rsid w:val="006E73EC"/>
    <w:rsid w:val="006E78EA"/>
    <w:rsid w:val="006E7E14"/>
    <w:rsid w:val="006F0295"/>
    <w:rsid w:val="006F047F"/>
    <w:rsid w:val="006F0614"/>
    <w:rsid w:val="006F06D7"/>
    <w:rsid w:val="006F0751"/>
    <w:rsid w:val="006F0765"/>
    <w:rsid w:val="006F09FC"/>
    <w:rsid w:val="006F0C4E"/>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504"/>
    <w:rsid w:val="006F370B"/>
    <w:rsid w:val="006F37A9"/>
    <w:rsid w:val="006F4A86"/>
    <w:rsid w:val="006F4BBA"/>
    <w:rsid w:val="006F509E"/>
    <w:rsid w:val="006F5750"/>
    <w:rsid w:val="006F5CC4"/>
    <w:rsid w:val="006F5F42"/>
    <w:rsid w:val="006F60EB"/>
    <w:rsid w:val="006F63CF"/>
    <w:rsid w:val="006F683B"/>
    <w:rsid w:val="006F7001"/>
    <w:rsid w:val="006F713D"/>
    <w:rsid w:val="006F74AA"/>
    <w:rsid w:val="006F757A"/>
    <w:rsid w:val="006F76BD"/>
    <w:rsid w:val="006F7946"/>
    <w:rsid w:val="006F795D"/>
    <w:rsid w:val="006F7BA7"/>
    <w:rsid w:val="006F7E12"/>
    <w:rsid w:val="006F7F7D"/>
    <w:rsid w:val="00700569"/>
    <w:rsid w:val="007009D2"/>
    <w:rsid w:val="00700BB0"/>
    <w:rsid w:val="00700C31"/>
    <w:rsid w:val="00700C4B"/>
    <w:rsid w:val="00700FD0"/>
    <w:rsid w:val="007010F3"/>
    <w:rsid w:val="007016FA"/>
    <w:rsid w:val="00701D71"/>
    <w:rsid w:val="0070224E"/>
    <w:rsid w:val="007026E8"/>
    <w:rsid w:val="0070291C"/>
    <w:rsid w:val="00702FEB"/>
    <w:rsid w:val="00703576"/>
    <w:rsid w:val="007035D7"/>
    <w:rsid w:val="00703786"/>
    <w:rsid w:val="00703A8D"/>
    <w:rsid w:val="00703D44"/>
    <w:rsid w:val="00703DD3"/>
    <w:rsid w:val="00703E6B"/>
    <w:rsid w:val="007044F5"/>
    <w:rsid w:val="0070470E"/>
    <w:rsid w:val="00704791"/>
    <w:rsid w:val="00704AB1"/>
    <w:rsid w:val="00704C1C"/>
    <w:rsid w:val="00704E90"/>
    <w:rsid w:val="00705348"/>
    <w:rsid w:val="0070586F"/>
    <w:rsid w:val="00705A6B"/>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401D"/>
    <w:rsid w:val="007142DC"/>
    <w:rsid w:val="00714996"/>
    <w:rsid w:val="00714A0D"/>
    <w:rsid w:val="00714EFF"/>
    <w:rsid w:val="0071515D"/>
    <w:rsid w:val="0071536B"/>
    <w:rsid w:val="00715695"/>
    <w:rsid w:val="00715A27"/>
    <w:rsid w:val="00715BE6"/>
    <w:rsid w:val="00715C6D"/>
    <w:rsid w:val="00715F6B"/>
    <w:rsid w:val="00715FD8"/>
    <w:rsid w:val="0071666D"/>
    <w:rsid w:val="00716B09"/>
    <w:rsid w:val="00716B76"/>
    <w:rsid w:val="00717253"/>
    <w:rsid w:val="007174BC"/>
    <w:rsid w:val="007175DF"/>
    <w:rsid w:val="007178D6"/>
    <w:rsid w:val="00717D04"/>
    <w:rsid w:val="007200EC"/>
    <w:rsid w:val="007201EC"/>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77"/>
    <w:rsid w:val="00723EB5"/>
    <w:rsid w:val="00724020"/>
    <w:rsid w:val="0072409C"/>
    <w:rsid w:val="00724AEA"/>
    <w:rsid w:val="00724BB2"/>
    <w:rsid w:val="00724F79"/>
    <w:rsid w:val="007254E8"/>
    <w:rsid w:val="007255AD"/>
    <w:rsid w:val="00725727"/>
    <w:rsid w:val="007257B2"/>
    <w:rsid w:val="007260C0"/>
    <w:rsid w:val="0072618B"/>
    <w:rsid w:val="00726FF7"/>
    <w:rsid w:val="0072714E"/>
    <w:rsid w:val="00727A7B"/>
    <w:rsid w:val="00727DF2"/>
    <w:rsid w:val="00730619"/>
    <w:rsid w:val="0073082C"/>
    <w:rsid w:val="0073085D"/>
    <w:rsid w:val="00730B2C"/>
    <w:rsid w:val="00731061"/>
    <w:rsid w:val="00731079"/>
    <w:rsid w:val="007313D6"/>
    <w:rsid w:val="007314B0"/>
    <w:rsid w:val="00731D30"/>
    <w:rsid w:val="00731E30"/>
    <w:rsid w:val="00731ED2"/>
    <w:rsid w:val="0073204C"/>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73A"/>
    <w:rsid w:val="00735933"/>
    <w:rsid w:val="00735944"/>
    <w:rsid w:val="0073599D"/>
    <w:rsid w:val="00735AD9"/>
    <w:rsid w:val="00735B37"/>
    <w:rsid w:val="007364D3"/>
    <w:rsid w:val="007369BC"/>
    <w:rsid w:val="00736C5F"/>
    <w:rsid w:val="00736CBB"/>
    <w:rsid w:val="00736D93"/>
    <w:rsid w:val="007370C1"/>
    <w:rsid w:val="00737B0B"/>
    <w:rsid w:val="00737DF2"/>
    <w:rsid w:val="00737F55"/>
    <w:rsid w:val="00737FB5"/>
    <w:rsid w:val="00740329"/>
    <w:rsid w:val="0074068B"/>
    <w:rsid w:val="00740789"/>
    <w:rsid w:val="007408FB"/>
    <w:rsid w:val="00740EC4"/>
    <w:rsid w:val="00741065"/>
    <w:rsid w:val="007410A7"/>
    <w:rsid w:val="0074177E"/>
    <w:rsid w:val="00741CFA"/>
    <w:rsid w:val="00741E9F"/>
    <w:rsid w:val="007423E4"/>
    <w:rsid w:val="00742C59"/>
    <w:rsid w:val="0074331E"/>
    <w:rsid w:val="007433D3"/>
    <w:rsid w:val="007433EE"/>
    <w:rsid w:val="00743645"/>
    <w:rsid w:val="00743881"/>
    <w:rsid w:val="00743998"/>
    <w:rsid w:val="00743F8B"/>
    <w:rsid w:val="0074413F"/>
    <w:rsid w:val="00744883"/>
    <w:rsid w:val="00744B1D"/>
    <w:rsid w:val="00744D45"/>
    <w:rsid w:val="00744E5E"/>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C01"/>
    <w:rsid w:val="007536AF"/>
    <w:rsid w:val="007537CD"/>
    <w:rsid w:val="00753821"/>
    <w:rsid w:val="00753920"/>
    <w:rsid w:val="00753FC4"/>
    <w:rsid w:val="00754135"/>
    <w:rsid w:val="00754656"/>
    <w:rsid w:val="007547C8"/>
    <w:rsid w:val="00754E85"/>
    <w:rsid w:val="00754F1C"/>
    <w:rsid w:val="00755008"/>
    <w:rsid w:val="007550B8"/>
    <w:rsid w:val="007555FC"/>
    <w:rsid w:val="0075587A"/>
    <w:rsid w:val="007567AB"/>
    <w:rsid w:val="007567E7"/>
    <w:rsid w:val="0075697A"/>
    <w:rsid w:val="00756A56"/>
    <w:rsid w:val="00757027"/>
    <w:rsid w:val="007570EC"/>
    <w:rsid w:val="0075724F"/>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2039"/>
    <w:rsid w:val="007620B5"/>
    <w:rsid w:val="00762194"/>
    <w:rsid w:val="00762253"/>
    <w:rsid w:val="007622EB"/>
    <w:rsid w:val="007623A3"/>
    <w:rsid w:val="0076295F"/>
    <w:rsid w:val="00762DA8"/>
    <w:rsid w:val="00762FDA"/>
    <w:rsid w:val="00763263"/>
    <w:rsid w:val="00763542"/>
    <w:rsid w:val="0076373B"/>
    <w:rsid w:val="00763DBD"/>
    <w:rsid w:val="00764001"/>
    <w:rsid w:val="00764305"/>
    <w:rsid w:val="007643F7"/>
    <w:rsid w:val="0076445D"/>
    <w:rsid w:val="00764769"/>
    <w:rsid w:val="007647CB"/>
    <w:rsid w:val="00764E74"/>
    <w:rsid w:val="007653AB"/>
    <w:rsid w:val="00765AF8"/>
    <w:rsid w:val="00765D94"/>
    <w:rsid w:val="00765EFC"/>
    <w:rsid w:val="00765F4A"/>
    <w:rsid w:val="00765FC5"/>
    <w:rsid w:val="0076620C"/>
    <w:rsid w:val="00766B6C"/>
    <w:rsid w:val="00766E11"/>
    <w:rsid w:val="00767053"/>
    <w:rsid w:val="00767537"/>
    <w:rsid w:val="0077064B"/>
    <w:rsid w:val="0077087C"/>
    <w:rsid w:val="0077093C"/>
    <w:rsid w:val="0077100A"/>
    <w:rsid w:val="00771322"/>
    <w:rsid w:val="0077146F"/>
    <w:rsid w:val="00771579"/>
    <w:rsid w:val="0077167C"/>
    <w:rsid w:val="007717C7"/>
    <w:rsid w:val="00771817"/>
    <w:rsid w:val="007722C0"/>
    <w:rsid w:val="00772651"/>
    <w:rsid w:val="00772741"/>
    <w:rsid w:val="00772985"/>
    <w:rsid w:val="00772B2B"/>
    <w:rsid w:val="00772D03"/>
    <w:rsid w:val="00772FD6"/>
    <w:rsid w:val="00773262"/>
    <w:rsid w:val="0077332D"/>
    <w:rsid w:val="00773CC4"/>
    <w:rsid w:val="00773FC7"/>
    <w:rsid w:val="007740B4"/>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59A"/>
    <w:rsid w:val="00777611"/>
    <w:rsid w:val="0077774C"/>
    <w:rsid w:val="00777ABF"/>
    <w:rsid w:val="00777DB3"/>
    <w:rsid w:val="00780054"/>
    <w:rsid w:val="00780988"/>
    <w:rsid w:val="0078163D"/>
    <w:rsid w:val="007819C2"/>
    <w:rsid w:val="007819C4"/>
    <w:rsid w:val="00781DCF"/>
    <w:rsid w:val="00781E4C"/>
    <w:rsid w:val="00782578"/>
    <w:rsid w:val="0078284A"/>
    <w:rsid w:val="007829F4"/>
    <w:rsid w:val="00782A89"/>
    <w:rsid w:val="00783241"/>
    <w:rsid w:val="00783445"/>
    <w:rsid w:val="00783511"/>
    <w:rsid w:val="00783B2C"/>
    <w:rsid w:val="00783BF0"/>
    <w:rsid w:val="00783BFF"/>
    <w:rsid w:val="00783F63"/>
    <w:rsid w:val="0078445B"/>
    <w:rsid w:val="00784784"/>
    <w:rsid w:val="00785908"/>
    <w:rsid w:val="00785E94"/>
    <w:rsid w:val="00785F2A"/>
    <w:rsid w:val="00786133"/>
    <w:rsid w:val="00786458"/>
    <w:rsid w:val="00786488"/>
    <w:rsid w:val="00786493"/>
    <w:rsid w:val="00786599"/>
    <w:rsid w:val="00786CCD"/>
    <w:rsid w:val="00787097"/>
    <w:rsid w:val="007874C4"/>
    <w:rsid w:val="007875B9"/>
    <w:rsid w:val="00787B24"/>
    <w:rsid w:val="00787B4F"/>
    <w:rsid w:val="00787D55"/>
    <w:rsid w:val="00787DD0"/>
    <w:rsid w:val="00787E87"/>
    <w:rsid w:val="00790455"/>
    <w:rsid w:val="007906BE"/>
    <w:rsid w:val="00790F1A"/>
    <w:rsid w:val="00790FE7"/>
    <w:rsid w:val="007913E6"/>
    <w:rsid w:val="00791695"/>
    <w:rsid w:val="0079178A"/>
    <w:rsid w:val="00791DD1"/>
    <w:rsid w:val="0079203A"/>
    <w:rsid w:val="0079266C"/>
    <w:rsid w:val="00792723"/>
    <w:rsid w:val="00792B94"/>
    <w:rsid w:val="00792C11"/>
    <w:rsid w:val="007931C9"/>
    <w:rsid w:val="00793227"/>
    <w:rsid w:val="007932DE"/>
    <w:rsid w:val="00793ACC"/>
    <w:rsid w:val="00793D18"/>
    <w:rsid w:val="00793D3D"/>
    <w:rsid w:val="00793F55"/>
    <w:rsid w:val="00793FA2"/>
    <w:rsid w:val="00793FDD"/>
    <w:rsid w:val="007941FE"/>
    <w:rsid w:val="00794AAB"/>
    <w:rsid w:val="00795058"/>
    <w:rsid w:val="0079549C"/>
    <w:rsid w:val="00795616"/>
    <w:rsid w:val="00795873"/>
    <w:rsid w:val="00795897"/>
    <w:rsid w:val="00796366"/>
    <w:rsid w:val="007966AA"/>
    <w:rsid w:val="007968E6"/>
    <w:rsid w:val="00796C3C"/>
    <w:rsid w:val="00796ECF"/>
    <w:rsid w:val="00797438"/>
    <w:rsid w:val="0079779A"/>
    <w:rsid w:val="00797996"/>
    <w:rsid w:val="00797DC1"/>
    <w:rsid w:val="00797E63"/>
    <w:rsid w:val="00799C8D"/>
    <w:rsid w:val="007A07C0"/>
    <w:rsid w:val="007A080C"/>
    <w:rsid w:val="007A0858"/>
    <w:rsid w:val="007A0B05"/>
    <w:rsid w:val="007A0DE8"/>
    <w:rsid w:val="007A0E99"/>
    <w:rsid w:val="007A17C3"/>
    <w:rsid w:val="007A1809"/>
    <w:rsid w:val="007A2372"/>
    <w:rsid w:val="007A24C3"/>
    <w:rsid w:val="007A2CA0"/>
    <w:rsid w:val="007A2D7E"/>
    <w:rsid w:val="007A3074"/>
    <w:rsid w:val="007A3184"/>
    <w:rsid w:val="007A3218"/>
    <w:rsid w:val="007A35A0"/>
    <w:rsid w:val="007A3936"/>
    <w:rsid w:val="007A43C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E18"/>
    <w:rsid w:val="007A6E2F"/>
    <w:rsid w:val="007A738D"/>
    <w:rsid w:val="007A747C"/>
    <w:rsid w:val="007A77E0"/>
    <w:rsid w:val="007A7865"/>
    <w:rsid w:val="007A7E7A"/>
    <w:rsid w:val="007B03E0"/>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30B1"/>
    <w:rsid w:val="007B324B"/>
    <w:rsid w:val="007B381F"/>
    <w:rsid w:val="007B44ED"/>
    <w:rsid w:val="007B4595"/>
    <w:rsid w:val="007B4710"/>
    <w:rsid w:val="007B5115"/>
    <w:rsid w:val="007B54D9"/>
    <w:rsid w:val="007B5A67"/>
    <w:rsid w:val="007B6032"/>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6E"/>
    <w:rsid w:val="007C4CD8"/>
    <w:rsid w:val="007C528C"/>
    <w:rsid w:val="007C53F6"/>
    <w:rsid w:val="007C56ED"/>
    <w:rsid w:val="007C5787"/>
    <w:rsid w:val="007C5D7E"/>
    <w:rsid w:val="007C5EF7"/>
    <w:rsid w:val="007C5F1F"/>
    <w:rsid w:val="007C60D8"/>
    <w:rsid w:val="007C61A2"/>
    <w:rsid w:val="007C628F"/>
    <w:rsid w:val="007C6418"/>
    <w:rsid w:val="007C645E"/>
    <w:rsid w:val="007C6810"/>
    <w:rsid w:val="007C6914"/>
    <w:rsid w:val="007C6BC1"/>
    <w:rsid w:val="007C6F89"/>
    <w:rsid w:val="007C7225"/>
    <w:rsid w:val="007C7821"/>
    <w:rsid w:val="007C7B57"/>
    <w:rsid w:val="007CEA00"/>
    <w:rsid w:val="007CFAE5"/>
    <w:rsid w:val="007D03B3"/>
    <w:rsid w:val="007D056F"/>
    <w:rsid w:val="007D0AA3"/>
    <w:rsid w:val="007D0FF8"/>
    <w:rsid w:val="007D1C67"/>
    <w:rsid w:val="007D23B4"/>
    <w:rsid w:val="007D24F8"/>
    <w:rsid w:val="007D2BF7"/>
    <w:rsid w:val="007D2D1A"/>
    <w:rsid w:val="007D3127"/>
    <w:rsid w:val="007D341A"/>
    <w:rsid w:val="007D3942"/>
    <w:rsid w:val="007D39BD"/>
    <w:rsid w:val="007D39DA"/>
    <w:rsid w:val="007D3AC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2B6"/>
    <w:rsid w:val="007E253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CA5"/>
    <w:rsid w:val="007E4E9A"/>
    <w:rsid w:val="007E5339"/>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EF1"/>
    <w:rsid w:val="007E7FCA"/>
    <w:rsid w:val="007F040A"/>
    <w:rsid w:val="007F04CB"/>
    <w:rsid w:val="007F07AF"/>
    <w:rsid w:val="007F085B"/>
    <w:rsid w:val="007F0A1C"/>
    <w:rsid w:val="007F0A25"/>
    <w:rsid w:val="007F0C10"/>
    <w:rsid w:val="007F0C4B"/>
    <w:rsid w:val="007F0F4F"/>
    <w:rsid w:val="007F1015"/>
    <w:rsid w:val="007F10AB"/>
    <w:rsid w:val="007F1420"/>
    <w:rsid w:val="007F2D33"/>
    <w:rsid w:val="007F301B"/>
    <w:rsid w:val="007F30B7"/>
    <w:rsid w:val="007F3577"/>
    <w:rsid w:val="007F3A1A"/>
    <w:rsid w:val="007F3C31"/>
    <w:rsid w:val="007F3CB7"/>
    <w:rsid w:val="007F4102"/>
    <w:rsid w:val="007F41C3"/>
    <w:rsid w:val="007F4307"/>
    <w:rsid w:val="007F439D"/>
    <w:rsid w:val="007F45FF"/>
    <w:rsid w:val="007F47FD"/>
    <w:rsid w:val="007F4D44"/>
    <w:rsid w:val="007F5610"/>
    <w:rsid w:val="007F568D"/>
    <w:rsid w:val="007F5DF8"/>
    <w:rsid w:val="007F5FF0"/>
    <w:rsid w:val="007F6141"/>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4DF"/>
    <w:rsid w:val="0080276F"/>
    <w:rsid w:val="00802B53"/>
    <w:rsid w:val="008033FC"/>
    <w:rsid w:val="008039A6"/>
    <w:rsid w:val="00803AAD"/>
    <w:rsid w:val="00803DB7"/>
    <w:rsid w:val="008040EE"/>
    <w:rsid w:val="0080433B"/>
    <w:rsid w:val="00804348"/>
    <w:rsid w:val="008043F4"/>
    <w:rsid w:val="00804407"/>
    <w:rsid w:val="008049D6"/>
    <w:rsid w:val="00804AE3"/>
    <w:rsid w:val="00804FD5"/>
    <w:rsid w:val="008057B7"/>
    <w:rsid w:val="008059FE"/>
    <w:rsid w:val="00805F97"/>
    <w:rsid w:val="008061E2"/>
    <w:rsid w:val="00806270"/>
    <w:rsid w:val="00806952"/>
    <w:rsid w:val="008069D1"/>
    <w:rsid w:val="00806C70"/>
    <w:rsid w:val="00806F43"/>
    <w:rsid w:val="0080711C"/>
    <w:rsid w:val="00807157"/>
    <w:rsid w:val="008078E8"/>
    <w:rsid w:val="008100ED"/>
    <w:rsid w:val="0081013C"/>
    <w:rsid w:val="0081022D"/>
    <w:rsid w:val="008102D4"/>
    <w:rsid w:val="008102E6"/>
    <w:rsid w:val="00810310"/>
    <w:rsid w:val="008103E2"/>
    <w:rsid w:val="0081083A"/>
    <w:rsid w:val="00810FD3"/>
    <w:rsid w:val="00811826"/>
    <w:rsid w:val="00811C94"/>
    <w:rsid w:val="00811E29"/>
    <w:rsid w:val="008123D4"/>
    <w:rsid w:val="008126F0"/>
    <w:rsid w:val="00812844"/>
    <w:rsid w:val="00812AF6"/>
    <w:rsid w:val="00812F11"/>
    <w:rsid w:val="0081392A"/>
    <w:rsid w:val="00814036"/>
    <w:rsid w:val="00814342"/>
    <w:rsid w:val="008144CC"/>
    <w:rsid w:val="00814678"/>
    <w:rsid w:val="00814F82"/>
    <w:rsid w:val="0081528A"/>
    <w:rsid w:val="00815CE5"/>
    <w:rsid w:val="00815D13"/>
    <w:rsid w:val="00815ECE"/>
    <w:rsid w:val="00816483"/>
    <w:rsid w:val="00816970"/>
    <w:rsid w:val="00817228"/>
    <w:rsid w:val="00817414"/>
    <w:rsid w:val="00817855"/>
    <w:rsid w:val="00817DA3"/>
    <w:rsid w:val="00817DE7"/>
    <w:rsid w:val="00820645"/>
    <w:rsid w:val="00820844"/>
    <w:rsid w:val="0082095D"/>
    <w:rsid w:val="00820A89"/>
    <w:rsid w:val="00820AB4"/>
    <w:rsid w:val="00820EEF"/>
    <w:rsid w:val="008212BB"/>
    <w:rsid w:val="0082150B"/>
    <w:rsid w:val="00822109"/>
    <w:rsid w:val="0082217D"/>
    <w:rsid w:val="0082284D"/>
    <w:rsid w:val="00822895"/>
    <w:rsid w:val="00822DC9"/>
    <w:rsid w:val="00823097"/>
    <w:rsid w:val="00823446"/>
    <w:rsid w:val="008238BF"/>
    <w:rsid w:val="00823D95"/>
    <w:rsid w:val="008241FF"/>
    <w:rsid w:val="008243F3"/>
    <w:rsid w:val="00824D3D"/>
    <w:rsid w:val="00824F52"/>
    <w:rsid w:val="00824FC3"/>
    <w:rsid w:val="00824FEE"/>
    <w:rsid w:val="00825E1F"/>
    <w:rsid w:val="008261F7"/>
    <w:rsid w:val="008264D7"/>
    <w:rsid w:val="0082660B"/>
    <w:rsid w:val="00826776"/>
    <w:rsid w:val="008267ED"/>
    <w:rsid w:val="00826855"/>
    <w:rsid w:val="0082697A"/>
    <w:rsid w:val="008269D6"/>
    <w:rsid w:val="00827205"/>
    <w:rsid w:val="008274C1"/>
    <w:rsid w:val="0082791F"/>
    <w:rsid w:val="008301C9"/>
    <w:rsid w:val="00830999"/>
    <w:rsid w:val="00831250"/>
    <w:rsid w:val="008313B5"/>
    <w:rsid w:val="00831521"/>
    <w:rsid w:val="00831F62"/>
    <w:rsid w:val="008322AE"/>
    <w:rsid w:val="008323FB"/>
    <w:rsid w:val="00832602"/>
    <w:rsid w:val="00832620"/>
    <w:rsid w:val="0083262A"/>
    <w:rsid w:val="00833871"/>
    <w:rsid w:val="008346CD"/>
    <w:rsid w:val="00834B45"/>
    <w:rsid w:val="008352D3"/>
    <w:rsid w:val="008353E9"/>
    <w:rsid w:val="00835784"/>
    <w:rsid w:val="0083597B"/>
    <w:rsid w:val="0083602A"/>
    <w:rsid w:val="00836103"/>
    <w:rsid w:val="008364AF"/>
    <w:rsid w:val="00836837"/>
    <w:rsid w:val="008369F9"/>
    <w:rsid w:val="00836D9D"/>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2103"/>
    <w:rsid w:val="00842174"/>
    <w:rsid w:val="00842594"/>
    <w:rsid w:val="008426F9"/>
    <w:rsid w:val="008428ED"/>
    <w:rsid w:val="008429A5"/>
    <w:rsid w:val="00842A9A"/>
    <w:rsid w:val="008432C7"/>
    <w:rsid w:val="00843365"/>
    <w:rsid w:val="008435BF"/>
    <w:rsid w:val="0084370A"/>
    <w:rsid w:val="00843853"/>
    <w:rsid w:val="00843D44"/>
    <w:rsid w:val="0084426C"/>
    <w:rsid w:val="008449E1"/>
    <w:rsid w:val="00844D6A"/>
    <w:rsid w:val="008450B2"/>
    <w:rsid w:val="008455F3"/>
    <w:rsid w:val="00845FE6"/>
    <w:rsid w:val="00846100"/>
    <w:rsid w:val="0084621D"/>
    <w:rsid w:val="00846268"/>
    <w:rsid w:val="0084627C"/>
    <w:rsid w:val="008468F7"/>
    <w:rsid w:val="0084708F"/>
    <w:rsid w:val="008470DD"/>
    <w:rsid w:val="00847193"/>
    <w:rsid w:val="008473CF"/>
    <w:rsid w:val="008475F7"/>
    <w:rsid w:val="00847808"/>
    <w:rsid w:val="008479C4"/>
    <w:rsid w:val="0085008D"/>
    <w:rsid w:val="00850952"/>
    <w:rsid w:val="008511F5"/>
    <w:rsid w:val="0085124E"/>
    <w:rsid w:val="0085135B"/>
    <w:rsid w:val="008515D9"/>
    <w:rsid w:val="0085173B"/>
    <w:rsid w:val="00851A97"/>
    <w:rsid w:val="008523F3"/>
    <w:rsid w:val="008525FA"/>
    <w:rsid w:val="008529FB"/>
    <w:rsid w:val="00852AA0"/>
    <w:rsid w:val="00852C17"/>
    <w:rsid w:val="00852E57"/>
    <w:rsid w:val="00853128"/>
    <w:rsid w:val="00853671"/>
    <w:rsid w:val="0085414A"/>
    <w:rsid w:val="00854523"/>
    <w:rsid w:val="00854A90"/>
    <w:rsid w:val="0085584B"/>
    <w:rsid w:val="00855918"/>
    <w:rsid w:val="008562A2"/>
    <w:rsid w:val="0085689C"/>
    <w:rsid w:val="00856E51"/>
    <w:rsid w:val="00856E89"/>
    <w:rsid w:val="00857297"/>
    <w:rsid w:val="00857AD4"/>
    <w:rsid w:val="00857D4F"/>
    <w:rsid w:val="00857DEF"/>
    <w:rsid w:val="008607CC"/>
    <w:rsid w:val="00860B4E"/>
    <w:rsid w:val="00860EB2"/>
    <w:rsid w:val="008610EB"/>
    <w:rsid w:val="008611BD"/>
    <w:rsid w:val="00861B4D"/>
    <w:rsid w:val="00861BA5"/>
    <w:rsid w:val="00861D1F"/>
    <w:rsid w:val="00862E5A"/>
    <w:rsid w:val="00862EF0"/>
    <w:rsid w:val="00862F08"/>
    <w:rsid w:val="00862FB8"/>
    <w:rsid w:val="008635CA"/>
    <w:rsid w:val="008636F9"/>
    <w:rsid w:val="00863953"/>
    <w:rsid w:val="0086406F"/>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ECC"/>
    <w:rsid w:val="00867FBE"/>
    <w:rsid w:val="00870E54"/>
    <w:rsid w:val="008710D4"/>
    <w:rsid w:val="0087179F"/>
    <w:rsid w:val="008717EC"/>
    <w:rsid w:val="00871997"/>
    <w:rsid w:val="00871A28"/>
    <w:rsid w:val="008725B1"/>
    <w:rsid w:val="008729B8"/>
    <w:rsid w:val="00872E28"/>
    <w:rsid w:val="0087324E"/>
    <w:rsid w:val="008737A1"/>
    <w:rsid w:val="008737FB"/>
    <w:rsid w:val="0087387F"/>
    <w:rsid w:val="00873AD3"/>
    <w:rsid w:val="00873C5A"/>
    <w:rsid w:val="00873C71"/>
    <w:rsid w:val="00873C85"/>
    <w:rsid w:val="008744EB"/>
    <w:rsid w:val="00874873"/>
    <w:rsid w:val="008750AA"/>
    <w:rsid w:val="00875211"/>
    <w:rsid w:val="008752EA"/>
    <w:rsid w:val="00875314"/>
    <w:rsid w:val="008754BE"/>
    <w:rsid w:val="0087567E"/>
    <w:rsid w:val="00875691"/>
    <w:rsid w:val="008760C0"/>
    <w:rsid w:val="008762FD"/>
    <w:rsid w:val="00876382"/>
    <w:rsid w:val="0087642B"/>
    <w:rsid w:val="00876D34"/>
    <w:rsid w:val="0087754E"/>
    <w:rsid w:val="00877B6F"/>
    <w:rsid w:val="00880435"/>
    <w:rsid w:val="00880849"/>
    <w:rsid w:val="00880ECB"/>
    <w:rsid w:val="00881798"/>
    <w:rsid w:val="00881889"/>
    <w:rsid w:val="00881DE6"/>
    <w:rsid w:val="00881FEA"/>
    <w:rsid w:val="0088215A"/>
    <w:rsid w:val="00882969"/>
    <w:rsid w:val="00882A5C"/>
    <w:rsid w:val="00883252"/>
    <w:rsid w:val="0088352B"/>
    <w:rsid w:val="00883689"/>
    <w:rsid w:val="00883AE7"/>
    <w:rsid w:val="00883D0D"/>
    <w:rsid w:val="00884A55"/>
    <w:rsid w:val="00884A7C"/>
    <w:rsid w:val="00884D45"/>
    <w:rsid w:val="00884DF2"/>
    <w:rsid w:val="00884FDE"/>
    <w:rsid w:val="00885326"/>
    <w:rsid w:val="00885FDB"/>
    <w:rsid w:val="008868D5"/>
    <w:rsid w:val="00886911"/>
    <w:rsid w:val="00886A2F"/>
    <w:rsid w:val="00886C34"/>
    <w:rsid w:val="00887080"/>
    <w:rsid w:val="00890151"/>
    <w:rsid w:val="0089015C"/>
    <w:rsid w:val="008902CD"/>
    <w:rsid w:val="008904C0"/>
    <w:rsid w:val="00890D82"/>
    <w:rsid w:val="008911CB"/>
    <w:rsid w:val="00891263"/>
    <w:rsid w:val="00891BA3"/>
    <w:rsid w:val="00891E73"/>
    <w:rsid w:val="00892013"/>
    <w:rsid w:val="00892290"/>
    <w:rsid w:val="0089264A"/>
    <w:rsid w:val="008928D4"/>
    <w:rsid w:val="00892A16"/>
    <w:rsid w:val="00892A80"/>
    <w:rsid w:val="008939C4"/>
    <w:rsid w:val="00893D37"/>
    <w:rsid w:val="008943FD"/>
    <w:rsid w:val="00894706"/>
    <w:rsid w:val="0089478E"/>
    <w:rsid w:val="00894BC4"/>
    <w:rsid w:val="00894DD1"/>
    <w:rsid w:val="0089524D"/>
    <w:rsid w:val="0089567B"/>
    <w:rsid w:val="00895B27"/>
    <w:rsid w:val="00895DEE"/>
    <w:rsid w:val="00895FC9"/>
    <w:rsid w:val="008960D5"/>
    <w:rsid w:val="0089682C"/>
    <w:rsid w:val="00896A02"/>
    <w:rsid w:val="00896AFA"/>
    <w:rsid w:val="008977F8"/>
    <w:rsid w:val="0089780F"/>
    <w:rsid w:val="00897915"/>
    <w:rsid w:val="008A06DE"/>
    <w:rsid w:val="008A0C7D"/>
    <w:rsid w:val="008A0EF2"/>
    <w:rsid w:val="008A1206"/>
    <w:rsid w:val="008A124E"/>
    <w:rsid w:val="008A168E"/>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EC2"/>
    <w:rsid w:val="008B02BE"/>
    <w:rsid w:val="008B0512"/>
    <w:rsid w:val="008B09AC"/>
    <w:rsid w:val="008B0FE6"/>
    <w:rsid w:val="008B1194"/>
    <w:rsid w:val="008B160A"/>
    <w:rsid w:val="008B16EF"/>
    <w:rsid w:val="008B1743"/>
    <w:rsid w:val="008B1C35"/>
    <w:rsid w:val="008B1D75"/>
    <w:rsid w:val="008B1E22"/>
    <w:rsid w:val="008B204D"/>
    <w:rsid w:val="008B218B"/>
    <w:rsid w:val="008B247D"/>
    <w:rsid w:val="008B255A"/>
    <w:rsid w:val="008B2A22"/>
    <w:rsid w:val="008B37E1"/>
    <w:rsid w:val="008B3898"/>
    <w:rsid w:val="008B3C01"/>
    <w:rsid w:val="008B3FC9"/>
    <w:rsid w:val="008B4026"/>
    <w:rsid w:val="008B40C9"/>
    <w:rsid w:val="008B43A1"/>
    <w:rsid w:val="008B4553"/>
    <w:rsid w:val="008B47F4"/>
    <w:rsid w:val="008B4EB9"/>
    <w:rsid w:val="008B51FA"/>
    <w:rsid w:val="008B544A"/>
    <w:rsid w:val="008B5915"/>
    <w:rsid w:val="008B5B69"/>
    <w:rsid w:val="008B5DB7"/>
    <w:rsid w:val="008B69E8"/>
    <w:rsid w:val="008B6C59"/>
    <w:rsid w:val="008B6F13"/>
    <w:rsid w:val="008B7122"/>
    <w:rsid w:val="008B74C9"/>
    <w:rsid w:val="008B7572"/>
    <w:rsid w:val="008B7725"/>
    <w:rsid w:val="008B7B94"/>
    <w:rsid w:val="008C0274"/>
    <w:rsid w:val="008C04F8"/>
    <w:rsid w:val="008C073B"/>
    <w:rsid w:val="008C0842"/>
    <w:rsid w:val="008C1047"/>
    <w:rsid w:val="008C13D7"/>
    <w:rsid w:val="008C13DF"/>
    <w:rsid w:val="008C16E6"/>
    <w:rsid w:val="008C18D8"/>
    <w:rsid w:val="008C1922"/>
    <w:rsid w:val="008C1A13"/>
    <w:rsid w:val="008C1FB9"/>
    <w:rsid w:val="008C1FCE"/>
    <w:rsid w:val="008C2151"/>
    <w:rsid w:val="008C2280"/>
    <w:rsid w:val="008C22F1"/>
    <w:rsid w:val="008C2319"/>
    <w:rsid w:val="008C26BB"/>
    <w:rsid w:val="008C2740"/>
    <w:rsid w:val="008C27B4"/>
    <w:rsid w:val="008C27E9"/>
    <w:rsid w:val="008C2BA5"/>
    <w:rsid w:val="008C3009"/>
    <w:rsid w:val="008C3334"/>
    <w:rsid w:val="008C3796"/>
    <w:rsid w:val="008C3A02"/>
    <w:rsid w:val="008C3E20"/>
    <w:rsid w:val="008C43E3"/>
    <w:rsid w:val="008C443D"/>
    <w:rsid w:val="008C4F7F"/>
    <w:rsid w:val="008C50A5"/>
    <w:rsid w:val="008C5439"/>
    <w:rsid w:val="008C5B0C"/>
    <w:rsid w:val="008C5B8D"/>
    <w:rsid w:val="008C5D97"/>
    <w:rsid w:val="008C6097"/>
    <w:rsid w:val="008C67EB"/>
    <w:rsid w:val="008C6A1D"/>
    <w:rsid w:val="008C6D29"/>
    <w:rsid w:val="008C7195"/>
    <w:rsid w:val="008C7199"/>
    <w:rsid w:val="008C72DB"/>
    <w:rsid w:val="008C7727"/>
    <w:rsid w:val="008C7AAE"/>
    <w:rsid w:val="008C7ACD"/>
    <w:rsid w:val="008D011C"/>
    <w:rsid w:val="008D0373"/>
    <w:rsid w:val="008D05E1"/>
    <w:rsid w:val="008D0EAF"/>
    <w:rsid w:val="008D16BE"/>
    <w:rsid w:val="008D1922"/>
    <w:rsid w:val="008D19DB"/>
    <w:rsid w:val="008D1F8F"/>
    <w:rsid w:val="008D2321"/>
    <w:rsid w:val="008D2859"/>
    <w:rsid w:val="008D28FD"/>
    <w:rsid w:val="008D2E24"/>
    <w:rsid w:val="008D2F77"/>
    <w:rsid w:val="008D30C9"/>
    <w:rsid w:val="008D311C"/>
    <w:rsid w:val="008D35BB"/>
    <w:rsid w:val="008D3608"/>
    <w:rsid w:val="008D370A"/>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D22"/>
    <w:rsid w:val="008E101D"/>
    <w:rsid w:val="008E1198"/>
    <w:rsid w:val="008E125E"/>
    <w:rsid w:val="008E1539"/>
    <w:rsid w:val="008E1863"/>
    <w:rsid w:val="008E1A94"/>
    <w:rsid w:val="008E1C55"/>
    <w:rsid w:val="008E1C94"/>
    <w:rsid w:val="008E1D1A"/>
    <w:rsid w:val="008E1F35"/>
    <w:rsid w:val="008E2034"/>
    <w:rsid w:val="008E206D"/>
    <w:rsid w:val="008E25BA"/>
    <w:rsid w:val="008E29DF"/>
    <w:rsid w:val="008E3234"/>
    <w:rsid w:val="008E3A33"/>
    <w:rsid w:val="008E3C42"/>
    <w:rsid w:val="008E40C4"/>
    <w:rsid w:val="008E41BE"/>
    <w:rsid w:val="008E47E4"/>
    <w:rsid w:val="008E4845"/>
    <w:rsid w:val="008E4C75"/>
    <w:rsid w:val="008E53FE"/>
    <w:rsid w:val="008E58F6"/>
    <w:rsid w:val="008E5D37"/>
    <w:rsid w:val="008E5DD0"/>
    <w:rsid w:val="008E5FAC"/>
    <w:rsid w:val="008E6295"/>
    <w:rsid w:val="008E696F"/>
    <w:rsid w:val="008E6A3C"/>
    <w:rsid w:val="008E71F6"/>
    <w:rsid w:val="008E787E"/>
    <w:rsid w:val="008E7E70"/>
    <w:rsid w:val="008E7FA8"/>
    <w:rsid w:val="008F0085"/>
    <w:rsid w:val="008F019D"/>
    <w:rsid w:val="008F02C6"/>
    <w:rsid w:val="008F04DF"/>
    <w:rsid w:val="008F08F1"/>
    <w:rsid w:val="008F0975"/>
    <w:rsid w:val="008F0B4C"/>
    <w:rsid w:val="008F1002"/>
    <w:rsid w:val="008F1281"/>
    <w:rsid w:val="008F14A1"/>
    <w:rsid w:val="008F160E"/>
    <w:rsid w:val="008F183F"/>
    <w:rsid w:val="008F1B29"/>
    <w:rsid w:val="008F2081"/>
    <w:rsid w:val="008F20AC"/>
    <w:rsid w:val="008F2155"/>
    <w:rsid w:val="008F22B7"/>
    <w:rsid w:val="008F2386"/>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9006DA"/>
    <w:rsid w:val="00900840"/>
    <w:rsid w:val="00900D29"/>
    <w:rsid w:val="00900ECA"/>
    <w:rsid w:val="00900FBD"/>
    <w:rsid w:val="00901969"/>
    <w:rsid w:val="00901C1F"/>
    <w:rsid w:val="00901CA7"/>
    <w:rsid w:val="00901FA7"/>
    <w:rsid w:val="00902007"/>
    <w:rsid w:val="00902081"/>
    <w:rsid w:val="00902116"/>
    <w:rsid w:val="009022DC"/>
    <w:rsid w:val="00902373"/>
    <w:rsid w:val="009026CB"/>
    <w:rsid w:val="00902768"/>
    <w:rsid w:val="0090297B"/>
    <w:rsid w:val="00902FB7"/>
    <w:rsid w:val="00903028"/>
    <w:rsid w:val="0090366B"/>
    <w:rsid w:val="0090375F"/>
    <w:rsid w:val="00903C22"/>
    <w:rsid w:val="00903C95"/>
    <w:rsid w:val="00903ECB"/>
    <w:rsid w:val="009045C4"/>
    <w:rsid w:val="00904877"/>
    <w:rsid w:val="00904C14"/>
    <w:rsid w:val="00904CAB"/>
    <w:rsid w:val="00904CC2"/>
    <w:rsid w:val="00904E03"/>
    <w:rsid w:val="009050B8"/>
    <w:rsid w:val="00905161"/>
    <w:rsid w:val="009053B0"/>
    <w:rsid w:val="0090566B"/>
    <w:rsid w:val="009058AF"/>
    <w:rsid w:val="00906044"/>
    <w:rsid w:val="00906283"/>
    <w:rsid w:val="00906B3C"/>
    <w:rsid w:val="00906D70"/>
    <w:rsid w:val="0090739C"/>
    <w:rsid w:val="0090748F"/>
    <w:rsid w:val="00907577"/>
    <w:rsid w:val="00907939"/>
    <w:rsid w:val="00907B33"/>
    <w:rsid w:val="00907DCE"/>
    <w:rsid w:val="00910196"/>
    <w:rsid w:val="009103D8"/>
    <w:rsid w:val="00910628"/>
    <w:rsid w:val="00910A61"/>
    <w:rsid w:val="00910BDD"/>
    <w:rsid w:val="00910E8E"/>
    <w:rsid w:val="00910FC4"/>
    <w:rsid w:val="0091100E"/>
    <w:rsid w:val="00911010"/>
    <w:rsid w:val="009110C7"/>
    <w:rsid w:val="009113C9"/>
    <w:rsid w:val="00911827"/>
    <w:rsid w:val="00911E42"/>
    <w:rsid w:val="0091350F"/>
    <w:rsid w:val="0091353C"/>
    <w:rsid w:val="00913655"/>
    <w:rsid w:val="00913794"/>
    <w:rsid w:val="009139D2"/>
    <w:rsid w:val="00913C52"/>
    <w:rsid w:val="00914291"/>
    <w:rsid w:val="00914487"/>
    <w:rsid w:val="009147B0"/>
    <w:rsid w:val="00915545"/>
    <w:rsid w:val="00915949"/>
    <w:rsid w:val="00915A0B"/>
    <w:rsid w:val="00915A29"/>
    <w:rsid w:val="00915B15"/>
    <w:rsid w:val="00915C3F"/>
    <w:rsid w:val="00915E9F"/>
    <w:rsid w:val="00915F51"/>
    <w:rsid w:val="0091678F"/>
    <w:rsid w:val="009169B9"/>
    <w:rsid w:val="00916C5D"/>
    <w:rsid w:val="00917097"/>
    <w:rsid w:val="00917200"/>
    <w:rsid w:val="0091723A"/>
    <w:rsid w:val="009179A5"/>
    <w:rsid w:val="00920964"/>
    <w:rsid w:val="00920BC5"/>
    <w:rsid w:val="00920F01"/>
    <w:rsid w:val="00921802"/>
    <w:rsid w:val="00921DB5"/>
    <w:rsid w:val="00921DBA"/>
    <w:rsid w:val="00922372"/>
    <w:rsid w:val="00922A68"/>
    <w:rsid w:val="00922BF5"/>
    <w:rsid w:val="00923348"/>
    <w:rsid w:val="00923598"/>
    <w:rsid w:val="00923C68"/>
    <w:rsid w:val="00923D11"/>
    <w:rsid w:val="00923D42"/>
    <w:rsid w:val="009242E4"/>
    <w:rsid w:val="009244D3"/>
    <w:rsid w:val="00924F65"/>
    <w:rsid w:val="009251AD"/>
    <w:rsid w:val="009254CF"/>
    <w:rsid w:val="00925536"/>
    <w:rsid w:val="00925C26"/>
    <w:rsid w:val="00926767"/>
    <w:rsid w:val="00926C73"/>
    <w:rsid w:val="00926F1E"/>
    <w:rsid w:val="009274B3"/>
    <w:rsid w:val="00927746"/>
    <w:rsid w:val="00927829"/>
    <w:rsid w:val="0092791D"/>
    <w:rsid w:val="00927D72"/>
    <w:rsid w:val="009303C7"/>
    <w:rsid w:val="00930508"/>
    <w:rsid w:val="00930757"/>
    <w:rsid w:val="0093085B"/>
    <w:rsid w:val="009308D6"/>
    <w:rsid w:val="009312D7"/>
    <w:rsid w:val="009315DE"/>
    <w:rsid w:val="00931CBD"/>
    <w:rsid w:val="00931D96"/>
    <w:rsid w:val="00932510"/>
    <w:rsid w:val="00932F92"/>
    <w:rsid w:val="009335B8"/>
    <w:rsid w:val="009335F3"/>
    <w:rsid w:val="009336C7"/>
    <w:rsid w:val="00933742"/>
    <w:rsid w:val="00933AB1"/>
    <w:rsid w:val="00933B02"/>
    <w:rsid w:val="00933E28"/>
    <w:rsid w:val="00934A06"/>
    <w:rsid w:val="00934C55"/>
    <w:rsid w:val="0093526E"/>
    <w:rsid w:val="00935F67"/>
    <w:rsid w:val="00936563"/>
    <w:rsid w:val="00936BE6"/>
    <w:rsid w:val="00936D02"/>
    <w:rsid w:val="00936D4B"/>
    <w:rsid w:val="009377B6"/>
    <w:rsid w:val="00937D28"/>
    <w:rsid w:val="00937F7B"/>
    <w:rsid w:val="009402A9"/>
    <w:rsid w:val="00940945"/>
    <w:rsid w:val="00940955"/>
    <w:rsid w:val="00940DE6"/>
    <w:rsid w:val="0094135A"/>
    <w:rsid w:val="00941377"/>
    <w:rsid w:val="00941510"/>
    <w:rsid w:val="0094196F"/>
    <w:rsid w:val="00941BB5"/>
    <w:rsid w:val="00941FBB"/>
    <w:rsid w:val="009426DD"/>
    <w:rsid w:val="00943428"/>
    <w:rsid w:val="00943550"/>
    <w:rsid w:val="00943A12"/>
    <w:rsid w:val="00943D0E"/>
    <w:rsid w:val="00943DC6"/>
    <w:rsid w:val="00943E1B"/>
    <w:rsid w:val="00943E4E"/>
    <w:rsid w:val="00943FC8"/>
    <w:rsid w:val="00944DC3"/>
    <w:rsid w:val="00945957"/>
    <w:rsid w:val="00945BD6"/>
    <w:rsid w:val="0094623A"/>
    <w:rsid w:val="0094681A"/>
    <w:rsid w:val="00946D41"/>
    <w:rsid w:val="009470DD"/>
    <w:rsid w:val="00947111"/>
    <w:rsid w:val="00947716"/>
    <w:rsid w:val="00947821"/>
    <w:rsid w:val="009478AF"/>
    <w:rsid w:val="009478CA"/>
    <w:rsid w:val="00947928"/>
    <w:rsid w:val="00947942"/>
    <w:rsid w:val="00947B4B"/>
    <w:rsid w:val="009506CC"/>
    <w:rsid w:val="00950BED"/>
    <w:rsid w:val="009518B9"/>
    <w:rsid w:val="00951C56"/>
    <w:rsid w:val="00951D39"/>
    <w:rsid w:val="0095221B"/>
    <w:rsid w:val="009522F0"/>
    <w:rsid w:val="00952623"/>
    <w:rsid w:val="0095287D"/>
    <w:rsid w:val="00952C86"/>
    <w:rsid w:val="0095371F"/>
    <w:rsid w:val="00953AD0"/>
    <w:rsid w:val="00953AE1"/>
    <w:rsid w:val="00953D26"/>
    <w:rsid w:val="00954E42"/>
    <w:rsid w:val="00955266"/>
    <w:rsid w:val="009556C5"/>
    <w:rsid w:val="0095587D"/>
    <w:rsid w:val="00955893"/>
    <w:rsid w:val="009558B7"/>
    <w:rsid w:val="0095593D"/>
    <w:rsid w:val="0095642E"/>
    <w:rsid w:val="0095670B"/>
    <w:rsid w:val="0095672F"/>
    <w:rsid w:val="00957156"/>
    <w:rsid w:val="00957310"/>
    <w:rsid w:val="00957339"/>
    <w:rsid w:val="0095758D"/>
    <w:rsid w:val="0095787B"/>
    <w:rsid w:val="009600A7"/>
    <w:rsid w:val="00960634"/>
    <w:rsid w:val="00960645"/>
    <w:rsid w:val="00960B0B"/>
    <w:rsid w:val="00961485"/>
    <w:rsid w:val="009617D3"/>
    <w:rsid w:val="00961BDB"/>
    <w:rsid w:val="00962397"/>
    <w:rsid w:val="009624A0"/>
    <w:rsid w:val="0096257E"/>
    <w:rsid w:val="00962FA8"/>
    <w:rsid w:val="0096305A"/>
    <w:rsid w:val="009631C4"/>
    <w:rsid w:val="009634A1"/>
    <w:rsid w:val="0096358E"/>
    <w:rsid w:val="00963C5D"/>
    <w:rsid w:val="00963FA5"/>
    <w:rsid w:val="00964033"/>
    <w:rsid w:val="00964173"/>
    <w:rsid w:val="00964300"/>
    <w:rsid w:val="009644C6"/>
    <w:rsid w:val="00964571"/>
    <w:rsid w:val="00964606"/>
    <w:rsid w:val="009649EE"/>
    <w:rsid w:val="00964CB1"/>
    <w:rsid w:val="00964CF2"/>
    <w:rsid w:val="00964EDC"/>
    <w:rsid w:val="009651DA"/>
    <w:rsid w:val="0096537C"/>
    <w:rsid w:val="009653A4"/>
    <w:rsid w:val="00965688"/>
    <w:rsid w:val="009657E3"/>
    <w:rsid w:val="0096596E"/>
    <w:rsid w:val="00965E44"/>
    <w:rsid w:val="00965ED7"/>
    <w:rsid w:val="00965EF6"/>
    <w:rsid w:val="00965F65"/>
    <w:rsid w:val="009664BF"/>
    <w:rsid w:val="00966698"/>
    <w:rsid w:val="00966A12"/>
    <w:rsid w:val="00967440"/>
    <w:rsid w:val="00967479"/>
    <w:rsid w:val="00970740"/>
    <w:rsid w:val="00970791"/>
    <w:rsid w:val="0097139C"/>
    <w:rsid w:val="00971592"/>
    <w:rsid w:val="0097167D"/>
    <w:rsid w:val="00971890"/>
    <w:rsid w:val="0097193F"/>
    <w:rsid w:val="00971AD6"/>
    <w:rsid w:val="00971CA4"/>
    <w:rsid w:val="009722AB"/>
    <w:rsid w:val="00972830"/>
    <w:rsid w:val="009733FC"/>
    <w:rsid w:val="00973C25"/>
    <w:rsid w:val="00973CE1"/>
    <w:rsid w:val="00973E0A"/>
    <w:rsid w:val="00973EDD"/>
    <w:rsid w:val="0097407B"/>
    <w:rsid w:val="009740E5"/>
    <w:rsid w:val="009740FF"/>
    <w:rsid w:val="00974539"/>
    <w:rsid w:val="009747B5"/>
    <w:rsid w:val="0097491F"/>
    <w:rsid w:val="00974D4A"/>
    <w:rsid w:val="00975870"/>
    <w:rsid w:val="00975C79"/>
    <w:rsid w:val="00975FBC"/>
    <w:rsid w:val="00976197"/>
    <w:rsid w:val="00976892"/>
    <w:rsid w:val="00976A8E"/>
    <w:rsid w:val="00976E8A"/>
    <w:rsid w:val="0097727A"/>
    <w:rsid w:val="0097732C"/>
    <w:rsid w:val="00977362"/>
    <w:rsid w:val="00977776"/>
    <w:rsid w:val="00977E84"/>
    <w:rsid w:val="00977FC3"/>
    <w:rsid w:val="00980432"/>
    <w:rsid w:val="00980481"/>
    <w:rsid w:val="0098049A"/>
    <w:rsid w:val="009804C0"/>
    <w:rsid w:val="00980572"/>
    <w:rsid w:val="00980839"/>
    <w:rsid w:val="00980FA8"/>
    <w:rsid w:val="009811C7"/>
    <w:rsid w:val="0098148A"/>
    <w:rsid w:val="009816D1"/>
    <w:rsid w:val="00982520"/>
    <w:rsid w:val="0098258D"/>
    <w:rsid w:val="00982829"/>
    <w:rsid w:val="00982948"/>
    <w:rsid w:val="00982AD5"/>
    <w:rsid w:val="0098333A"/>
    <w:rsid w:val="00983432"/>
    <w:rsid w:val="009838A6"/>
    <w:rsid w:val="0098392C"/>
    <w:rsid w:val="0098464E"/>
    <w:rsid w:val="00984AA5"/>
    <w:rsid w:val="00984BCC"/>
    <w:rsid w:val="009850B0"/>
    <w:rsid w:val="0098524F"/>
    <w:rsid w:val="00985380"/>
    <w:rsid w:val="0098548B"/>
    <w:rsid w:val="00985D47"/>
    <w:rsid w:val="00985E02"/>
    <w:rsid w:val="00985E86"/>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85B"/>
    <w:rsid w:val="00991909"/>
    <w:rsid w:val="00991AE6"/>
    <w:rsid w:val="009920D3"/>
    <w:rsid w:val="009924CE"/>
    <w:rsid w:val="00992724"/>
    <w:rsid w:val="00992A23"/>
    <w:rsid w:val="00992AEA"/>
    <w:rsid w:val="00992D78"/>
    <w:rsid w:val="00993026"/>
    <w:rsid w:val="0099375A"/>
    <w:rsid w:val="00993806"/>
    <w:rsid w:val="00993D77"/>
    <w:rsid w:val="00994223"/>
    <w:rsid w:val="009946D7"/>
    <w:rsid w:val="00994E5F"/>
    <w:rsid w:val="00995222"/>
    <w:rsid w:val="0099567B"/>
    <w:rsid w:val="00995936"/>
    <w:rsid w:val="00995BA9"/>
    <w:rsid w:val="0099646A"/>
    <w:rsid w:val="0099654F"/>
    <w:rsid w:val="00996697"/>
    <w:rsid w:val="00996982"/>
    <w:rsid w:val="00996A54"/>
    <w:rsid w:val="00996D47"/>
    <w:rsid w:val="009971A7"/>
    <w:rsid w:val="00997963"/>
    <w:rsid w:val="009979CE"/>
    <w:rsid w:val="00997B4C"/>
    <w:rsid w:val="00997FB8"/>
    <w:rsid w:val="009A00B2"/>
    <w:rsid w:val="009A053E"/>
    <w:rsid w:val="009A0A65"/>
    <w:rsid w:val="009A0EC4"/>
    <w:rsid w:val="009A1392"/>
    <w:rsid w:val="009A15CD"/>
    <w:rsid w:val="009A170A"/>
    <w:rsid w:val="009A1B2A"/>
    <w:rsid w:val="009A1CEA"/>
    <w:rsid w:val="009A1E46"/>
    <w:rsid w:val="009A2338"/>
    <w:rsid w:val="009A2561"/>
    <w:rsid w:val="009A2DC9"/>
    <w:rsid w:val="009A2E36"/>
    <w:rsid w:val="009A2FC6"/>
    <w:rsid w:val="009A383C"/>
    <w:rsid w:val="009A3A6F"/>
    <w:rsid w:val="009A3BEE"/>
    <w:rsid w:val="009A3C9C"/>
    <w:rsid w:val="009A40E1"/>
    <w:rsid w:val="009A42B5"/>
    <w:rsid w:val="009A4502"/>
    <w:rsid w:val="009A4862"/>
    <w:rsid w:val="009A5663"/>
    <w:rsid w:val="009A5DAE"/>
    <w:rsid w:val="009A5FE8"/>
    <w:rsid w:val="009A62A1"/>
    <w:rsid w:val="009A62CA"/>
    <w:rsid w:val="009A66DE"/>
    <w:rsid w:val="009A67E1"/>
    <w:rsid w:val="009A6887"/>
    <w:rsid w:val="009A6C8F"/>
    <w:rsid w:val="009A6E57"/>
    <w:rsid w:val="009A75EF"/>
    <w:rsid w:val="009B0038"/>
    <w:rsid w:val="009B054E"/>
    <w:rsid w:val="009B0A30"/>
    <w:rsid w:val="009B0BBA"/>
    <w:rsid w:val="009B0E9A"/>
    <w:rsid w:val="009B0FE6"/>
    <w:rsid w:val="009B1147"/>
    <w:rsid w:val="009B136F"/>
    <w:rsid w:val="009B1BD4"/>
    <w:rsid w:val="009B1CC6"/>
    <w:rsid w:val="009B1F58"/>
    <w:rsid w:val="009B2035"/>
    <w:rsid w:val="009B2546"/>
    <w:rsid w:val="009B2689"/>
    <w:rsid w:val="009B2890"/>
    <w:rsid w:val="009B28CB"/>
    <w:rsid w:val="009B2C49"/>
    <w:rsid w:val="009B2C84"/>
    <w:rsid w:val="009B2FA4"/>
    <w:rsid w:val="009B3450"/>
    <w:rsid w:val="009B3611"/>
    <w:rsid w:val="009B39E1"/>
    <w:rsid w:val="009B3BAD"/>
    <w:rsid w:val="009B3E36"/>
    <w:rsid w:val="009B43E0"/>
    <w:rsid w:val="009B440F"/>
    <w:rsid w:val="009B4B6E"/>
    <w:rsid w:val="009B4C4D"/>
    <w:rsid w:val="009B4F35"/>
    <w:rsid w:val="009B5295"/>
    <w:rsid w:val="009B541A"/>
    <w:rsid w:val="009B5473"/>
    <w:rsid w:val="009B5850"/>
    <w:rsid w:val="009B61E9"/>
    <w:rsid w:val="009B665B"/>
    <w:rsid w:val="009B6EB2"/>
    <w:rsid w:val="009B6ED0"/>
    <w:rsid w:val="009B71A8"/>
    <w:rsid w:val="009B7243"/>
    <w:rsid w:val="009B72A5"/>
    <w:rsid w:val="009B7402"/>
    <w:rsid w:val="009B75DC"/>
    <w:rsid w:val="009B7767"/>
    <w:rsid w:val="009C0264"/>
    <w:rsid w:val="009C02DA"/>
    <w:rsid w:val="009C0547"/>
    <w:rsid w:val="009C05E5"/>
    <w:rsid w:val="009C0837"/>
    <w:rsid w:val="009C0C11"/>
    <w:rsid w:val="009C148E"/>
    <w:rsid w:val="009C1DB9"/>
    <w:rsid w:val="009C20D4"/>
    <w:rsid w:val="009C250E"/>
    <w:rsid w:val="009C29A7"/>
    <w:rsid w:val="009C29D9"/>
    <w:rsid w:val="009C2F78"/>
    <w:rsid w:val="009C2FAB"/>
    <w:rsid w:val="009C3063"/>
    <w:rsid w:val="009C382D"/>
    <w:rsid w:val="009C39A6"/>
    <w:rsid w:val="009C3A52"/>
    <w:rsid w:val="009C3CC4"/>
    <w:rsid w:val="009C3DF5"/>
    <w:rsid w:val="009C3E0F"/>
    <w:rsid w:val="009C4B2E"/>
    <w:rsid w:val="009C4CFF"/>
    <w:rsid w:val="009C4F88"/>
    <w:rsid w:val="009C5215"/>
    <w:rsid w:val="009C538C"/>
    <w:rsid w:val="009C54E0"/>
    <w:rsid w:val="009C5534"/>
    <w:rsid w:val="009C5B01"/>
    <w:rsid w:val="009C5C75"/>
    <w:rsid w:val="009C5CB8"/>
    <w:rsid w:val="009C5DDC"/>
    <w:rsid w:val="009C6243"/>
    <w:rsid w:val="009C6335"/>
    <w:rsid w:val="009C6A9C"/>
    <w:rsid w:val="009C6BB4"/>
    <w:rsid w:val="009C7445"/>
    <w:rsid w:val="009C792A"/>
    <w:rsid w:val="009D00A4"/>
    <w:rsid w:val="009D0381"/>
    <w:rsid w:val="009D0EC2"/>
    <w:rsid w:val="009D1762"/>
    <w:rsid w:val="009D1C1C"/>
    <w:rsid w:val="009D1DDF"/>
    <w:rsid w:val="009D21F9"/>
    <w:rsid w:val="009D27F0"/>
    <w:rsid w:val="009D318B"/>
    <w:rsid w:val="009D342E"/>
    <w:rsid w:val="009D3996"/>
    <w:rsid w:val="009D3B78"/>
    <w:rsid w:val="009D3EAA"/>
    <w:rsid w:val="009D3FDE"/>
    <w:rsid w:val="009D413B"/>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F7D"/>
    <w:rsid w:val="009D7268"/>
    <w:rsid w:val="009D743E"/>
    <w:rsid w:val="009D745E"/>
    <w:rsid w:val="009D766B"/>
    <w:rsid w:val="009D773A"/>
    <w:rsid w:val="009E05B8"/>
    <w:rsid w:val="009E0990"/>
    <w:rsid w:val="009E0AF9"/>
    <w:rsid w:val="009E0E1F"/>
    <w:rsid w:val="009E1095"/>
    <w:rsid w:val="009E13F8"/>
    <w:rsid w:val="009E1733"/>
    <w:rsid w:val="009E1A4B"/>
    <w:rsid w:val="009E1DFF"/>
    <w:rsid w:val="009E201F"/>
    <w:rsid w:val="009E251D"/>
    <w:rsid w:val="009E252B"/>
    <w:rsid w:val="009E2CB8"/>
    <w:rsid w:val="009E2FAB"/>
    <w:rsid w:val="009E315D"/>
    <w:rsid w:val="009E3347"/>
    <w:rsid w:val="009E364A"/>
    <w:rsid w:val="009E3A71"/>
    <w:rsid w:val="009E3B66"/>
    <w:rsid w:val="009E3E87"/>
    <w:rsid w:val="009E3FED"/>
    <w:rsid w:val="009E40F0"/>
    <w:rsid w:val="009E4226"/>
    <w:rsid w:val="009E43A6"/>
    <w:rsid w:val="009E4483"/>
    <w:rsid w:val="009E4520"/>
    <w:rsid w:val="009E465B"/>
    <w:rsid w:val="009E4A00"/>
    <w:rsid w:val="009E4CA4"/>
    <w:rsid w:val="009E52E0"/>
    <w:rsid w:val="009E55EF"/>
    <w:rsid w:val="009E581A"/>
    <w:rsid w:val="009E58A2"/>
    <w:rsid w:val="009E5A68"/>
    <w:rsid w:val="009E5FAD"/>
    <w:rsid w:val="009E66BF"/>
    <w:rsid w:val="009E695E"/>
    <w:rsid w:val="009E6A05"/>
    <w:rsid w:val="009E6E52"/>
    <w:rsid w:val="009E7098"/>
    <w:rsid w:val="009E7550"/>
    <w:rsid w:val="009E78CC"/>
    <w:rsid w:val="009E79F5"/>
    <w:rsid w:val="009E7C96"/>
    <w:rsid w:val="009F02EB"/>
    <w:rsid w:val="009F05B0"/>
    <w:rsid w:val="009F05EB"/>
    <w:rsid w:val="009F063A"/>
    <w:rsid w:val="009F0C4B"/>
    <w:rsid w:val="009F0D33"/>
    <w:rsid w:val="009F0EFA"/>
    <w:rsid w:val="009F0F44"/>
    <w:rsid w:val="009F14E7"/>
    <w:rsid w:val="009F171A"/>
    <w:rsid w:val="009F2AE2"/>
    <w:rsid w:val="009F2B35"/>
    <w:rsid w:val="009F2D0E"/>
    <w:rsid w:val="009F300C"/>
    <w:rsid w:val="009F3621"/>
    <w:rsid w:val="009F38C7"/>
    <w:rsid w:val="009F3B5D"/>
    <w:rsid w:val="009F3B67"/>
    <w:rsid w:val="009F3DF0"/>
    <w:rsid w:val="009F3FE2"/>
    <w:rsid w:val="009F431E"/>
    <w:rsid w:val="009F473A"/>
    <w:rsid w:val="009F4AA1"/>
    <w:rsid w:val="009F4F26"/>
    <w:rsid w:val="009F544D"/>
    <w:rsid w:val="009F54EB"/>
    <w:rsid w:val="009F5D97"/>
    <w:rsid w:val="009F6004"/>
    <w:rsid w:val="009F632D"/>
    <w:rsid w:val="009F6C45"/>
    <w:rsid w:val="009F7347"/>
    <w:rsid w:val="009F7592"/>
    <w:rsid w:val="009F7893"/>
    <w:rsid w:val="00A001BC"/>
    <w:rsid w:val="00A0031C"/>
    <w:rsid w:val="00A00577"/>
    <w:rsid w:val="00A00686"/>
    <w:rsid w:val="00A008A4"/>
    <w:rsid w:val="00A009AA"/>
    <w:rsid w:val="00A00D94"/>
    <w:rsid w:val="00A00F89"/>
    <w:rsid w:val="00A0101D"/>
    <w:rsid w:val="00A010D4"/>
    <w:rsid w:val="00A01233"/>
    <w:rsid w:val="00A01296"/>
    <w:rsid w:val="00A01313"/>
    <w:rsid w:val="00A01979"/>
    <w:rsid w:val="00A01AF7"/>
    <w:rsid w:val="00A01DCE"/>
    <w:rsid w:val="00A01F44"/>
    <w:rsid w:val="00A02184"/>
    <w:rsid w:val="00A022D6"/>
    <w:rsid w:val="00A0244F"/>
    <w:rsid w:val="00A02DC5"/>
    <w:rsid w:val="00A03233"/>
    <w:rsid w:val="00A03482"/>
    <w:rsid w:val="00A034B4"/>
    <w:rsid w:val="00A03C15"/>
    <w:rsid w:val="00A0406F"/>
    <w:rsid w:val="00A0440D"/>
    <w:rsid w:val="00A04444"/>
    <w:rsid w:val="00A04615"/>
    <w:rsid w:val="00A0481C"/>
    <w:rsid w:val="00A0497C"/>
    <w:rsid w:val="00A04A68"/>
    <w:rsid w:val="00A0541D"/>
    <w:rsid w:val="00A05D9C"/>
    <w:rsid w:val="00A0657F"/>
    <w:rsid w:val="00A067CA"/>
    <w:rsid w:val="00A0698C"/>
    <w:rsid w:val="00A06A5D"/>
    <w:rsid w:val="00A06AA8"/>
    <w:rsid w:val="00A06E96"/>
    <w:rsid w:val="00A070D7"/>
    <w:rsid w:val="00A07476"/>
    <w:rsid w:val="00A077A9"/>
    <w:rsid w:val="00A07AEF"/>
    <w:rsid w:val="00A07B45"/>
    <w:rsid w:val="00A07C99"/>
    <w:rsid w:val="00A07DF2"/>
    <w:rsid w:val="00A07F70"/>
    <w:rsid w:val="00A10713"/>
    <w:rsid w:val="00A10971"/>
    <w:rsid w:val="00A10EAB"/>
    <w:rsid w:val="00A1115A"/>
    <w:rsid w:val="00A113B4"/>
    <w:rsid w:val="00A1190D"/>
    <w:rsid w:val="00A11C35"/>
    <w:rsid w:val="00A11FA3"/>
    <w:rsid w:val="00A12B4E"/>
    <w:rsid w:val="00A12C92"/>
    <w:rsid w:val="00A12D96"/>
    <w:rsid w:val="00A13689"/>
    <w:rsid w:val="00A13952"/>
    <w:rsid w:val="00A13C9B"/>
    <w:rsid w:val="00A13D73"/>
    <w:rsid w:val="00A13DDF"/>
    <w:rsid w:val="00A13F85"/>
    <w:rsid w:val="00A14238"/>
    <w:rsid w:val="00A1475D"/>
    <w:rsid w:val="00A14823"/>
    <w:rsid w:val="00A14E5A"/>
    <w:rsid w:val="00A157E8"/>
    <w:rsid w:val="00A15B01"/>
    <w:rsid w:val="00A160F6"/>
    <w:rsid w:val="00A1665E"/>
    <w:rsid w:val="00A167C6"/>
    <w:rsid w:val="00A167DC"/>
    <w:rsid w:val="00A16C76"/>
    <w:rsid w:val="00A16D78"/>
    <w:rsid w:val="00A176F5"/>
    <w:rsid w:val="00A177B6"/>
    <w:rsid w:val="00A178AC"/>
    <w:rsid w:val="00A178C4"/>
    <w:rsid w:val="00A17ACE"/>
    <w:rsid w:val="00A17E47"/>
    <w:rsid w:val="00A20821"/>
    <w:rsid w:val="00A208D2"/>
    <w:rsid w:val="00A209AC"/>
    <w:rsid w:val="00A20A4C"/>
    <w:rsid w:val="00A2146A"/>
    <w:rsid w:val="00A21579"/>
    <w:rsid w:val="00A217DD"/>
    <w:rsid w:val="00A21A34"/>
    <w:rsid w:val="00A21B24"/>
    <w:rsid w:val="00A21B5A"/>
    <w:rsid w:val="00A21B8F"/>
    <w:rsid w:val="00A21D67"/>
    <w:rsid w:val="00A21D70"/>
    <w:rsid w:val="00A21EA2"/>
    <w:rsid w:val="00A223C3"/>
    <w:rsid w:val="00A2317B"/>
    <w:rsid w:val="00A232ED"/>
    <w:rsid w:val="00A23316"/>
    <w:rsid w:val="00A239C2"/>
    <w:rsid w:val="00A243ED"/>
    <w:rsid w:val="00A2458D"/>
    <w:rsid w:val="00A245EF"/>
    <w:rsid w:val="00A2462F"/>
    <w:rsid w:val="00A24D77"/>
    <w:rsid w:val="00A24DC2"/>
    <w:rsid w:val="00A24F8D"/>
    <w:rsid w:val="00A25342"/>
    <w:rsid w:val="00A25A76"/>
    <w:rsid w:val="00A25D62"/>
    <w:rsid w:val="00A26204"/>
    <w:rsid w:val="00A26400"/>
    <w:rsid w:val="00A2696B"/>
    <w:rsid w:val="00A26A82"/>
    <w:rsid w:val="00A26AF3"/>
    <w:rsid w:val="00A26D42"/>
    <w:rsid w:val="00A272B0"/>
    <w:rsid w:val="00A272CC"/>
    <w:rsid w:val="00A27882"/>
    <w:rsid w:val="00A278E9"/>
    <w:rsid w:val="00A27B30"/>
    <w:rsid w:val="00A302AD"/>
    <w:rsid w:val="00A30693"/>
    <w:rsid w:val="00A30A44"/>
    <w:rsid w:val="00A310F8"/>
    <w:rsid w:val="00A3123A"/>
    <w:rsid w:val="00A318A3"/>
    <w:rsid w:val="00A31B93"/>
    <w:rsid w:val="00A32244"/>
    <w:rsid w:val="00A3226A"/>
    <w:rsid w:val="00A32420"/>
    <w:rsid w:val="00A324C4"/>
    <w:rsid w:val="00A336F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DF"/>
    <w:rsid w:val="00A43439"/>
    <w:rsid w:val="00A438C5"/>
    <w:rsid w:val="00A438E7"/>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DD9"/>
    <w:rsid w:val="00A50020"/>
    <w:rsid w:val="00A50478"/>
    <w:rsid w:val="00A5096C"/>
    <w:rsid w:val="00A50D33"/>
    <w:rsid w:val="00A51145"/>
    <w:rsid w:val="00A513CD"/>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CDE"/>
    <w:rsid w:val="00A53CE9"/>
    <w:rsid w:val="00A53D7E"/>
    <w:rsid w:val="00A54095"/>
    <w:rsid w:val="00A5415C"/>
    <w:rsid w:val="00A543D7"/>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451"/>
    <w:rsid w:val="00A5745E"/>
    <w:rsid w:val="00A577D7"/>
    <w:rsid w:val="00A57836"/>
    <w:rsid w:val="00A57904"/>
    <w:rsid w:val="00A579D7"/>
    <w:rsid w:val="00A57B11"/>
    <w:rsid w:val="00A57D89"/>
    <w:rsid w:val="00A57F45"/>
    <w:rsid w:val="00A6063E"/>
    <w:rsid w:val="00A6083C"/>
    <w:rsid w:val="00A60B02"/>
    <w:rsid w:val="00A60C85"/>
    <w:rsid w:val="00A60E73"/>
    <w:rsid w:val="00A61114"/>
    <w:rsid w:val="00A611C0"/>
    <w:rsid w:val="00A611E6"/>
    <w:rsid w:val="00A614BB"/>
    <w:rsid w:val="00A61697"/>
    <w:rsid w:val="00A618D7"/>
    <w:rsid w:val="00A61D21"/>
    <w:rsid w:val="00A61FF8"/>
    <w:rsid w:val="00A62153"/>
    <w:rsid w:val="00A621E4"/>
    <w:rsid w:val="00A624FC"/>
    <w:rsid w:val="00A62865"/>
    <w:rsid w:val="00A634B6"/>
    <w:rsid w:val="00A63582"/>
    <w:rsid w:val="00A63BB3"/>
    <w:rsid w:val="00A644B9"/>
    <w:rsid w:val="00A645F7"/>
    <w:rsid w:val="00A64960"/>
    <w:rsid w:val="00A64F5E"/>
    <w:rsid w:val="00A64F61"/>
    <w:rsid w:val="00A64FA2"/>
    <w:rsid w:val="00A6507F"/>
    <w:rsid w:val="00A652ED"/>
    <w:rsid w:val="00A653F6"/>
    <w:rsid w:val="00A6556A"/>
    <w:rsid w:val="00A6589A"/>
    <w:rsid w:val="00A66228"/>
    <w:rsid w:val="00A6629E"/>
    <w:rsid w:val="00A66E09"/>
    <w:rsid w:val="00A67010"/>
    <w:rsid w:val="00A676DC"/>
    <w:rsid w:val="00A67C0E"/>
    <w:rsid w:val="00A67F71"/>
    <w:rsid w:val="00A70271"/>
    <w:rsid w:val="00A70CB7"/>
    <w:rsid w:val="00A70EB6"/>
    <w:rsid w:val="00A70ED1"/>
    <w:rsid w:val="00A70FA9"/>
    <w:rsid w:val="00A713EF"/>
    <w:rsid w:val="00A7155B"/>
    <w:rsid w:val="00A7160C"/>
    <w:rsid w:val="00A71828"/>
    <w:rsid w:val="00A7217E"/>
    <w:rsid w:val="00A724ED"/>
    <w:rsid w:val="00A72CEA"/>
    <w:rsid w:val="00A72DC9"/>
    <w:rsid w:val="00A73100"/>
    <w:rsid w:val="00A7313F"/>
    <w:rsid w:val="00A734D8"/>
    <w:rsid w:val="00A7371E"/>
    <w:rsid w:val="00A7377C"/>
    <w:rsid w:val="00A73D42"/>
    <w:rsid w:val="00A74340"/>
    <w:rsid w:val="00A745B4"/>
    <w:rsid w:val="00A746A1"/>
    <w:rsid w:val="00A74AA8"/>
    <w:rsid w:val="00A74B81"/>
    <w:rsid w:val="00A754B7"/>
    <w:rsid w:val="00A7555C"/>
    <w:rsid w:val="00A76090"/>
    <w:rsid w:val="00A761B4"/>
    <w:rsid w:val="00A7649A"/>
    <w:rsid w:val="00A76914"/>
    <w:rsid w:val="00A76C3E"/>
    <w:rsid w:val="00A76EDC"/>
    <w:rsid w:val="00A76FE7"/>
    <w:rsid w:val="00A770CD"/>
    <w:rsid w:val="00A772AE"/>
    <w:rsid w:val="00A775CD"/>
    <w:rsid w:val="00A7770E"/>
    <w:rsid w:val="00A77F62"/>
    <w:rsid w:val="00A801C5"/>
    <w:rsid w:val="00A8026B"/>
    <w:rsid w:val="00A802B5"/>
    <w:rsid w:val="00A80875"/>
    <w:rsid w:val="00A8169E"/>
    <w:rsid w:val="00A8171B"/>
    <w:rsid w:val="00A819FE"/>
    <w:rsid w:val="00A81C7B"/>
    <w:rsid w:val="00A8200F"/>
    <w:rsid w:val="00A825BD"/>
    <w:rsid w:val="00A826B7"/>
    <w:rsid w:val="00A82A78"/>
    <w:rsid w:val="00A82BA4"/>
    <w:rsid w:val="00A837AD"/>
    <w:rsid w:val="00A83A29"/>
    <w:rsid w:val="00A83DA3"/>
    <w:rsid w:val="00A84005"/>
    <w:rsid w:val="00A840D0"/>
    <w:rsid w:val="00A8432B"/>
    <w:rsid w:val="00A844C7"/>
    <w:rsid w:val="00A8472F"/>
    <w:rsid w:val="00A853AF"/>
    <w:rsid w:val="00A85700"/>
    <w:rsid w:val="00A857A5"/>
    <w:rsid w:val="00A85A5B"/>
    <w:rsid w:val="00A85A63"/>
    <w:rsid w:val="00A85A87"/>
    <w:rsid w:val="00A85CC3"/>
    <w:rsid w:val="00A85E32"/>
    <w:rsid w:val="00A861A9"/>
    <w:rsid w:val="00A8621B"/>
    <w:rsid w:val="00A862F5"/>
    <w:rsid w:val="00A863AD"/>
    <w:rsid w:val="00A86506"/>
    <w:rsid w:val="00A86613"/>
    <w:rsid w:val="00A86801"/>
    <w:rsid w:val="00A86E6B"/>
    <w:rsid w:val="00A870E4"/>
    <w:rsid w:val="00A8714D"/>
    <w:rsid w:val="00A874D7"/>
    <w:rsid w:val="00A87745"/>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D7"/>
    <w:rsid w:val="00AA08A5"/>
    <w:rsid w:val="00AA0DD5"/>
    <w:rsid w:val="00AA106C"/>
    <w:rsid w:val="00AA116D"/>
    <w:rsid w:val="00AA122E"/>
    <w:rsid w:val="00AA13EC"/>
    <w:rsid w:val="00AA1705"/>
    <w:rsid w:val="00AA1B56"/>
    <w:rsid w:val="00AA1F4F"/>
    <w:rsid w:val="00AA2442"/>
    <w:rsid w:val="00AA2860"/>
    <w:rsid w:val="00AA36EC"/>
    <w:rsid w:val="00AA37C6"/>
    <w:rsid w:val="00AA3A56"/>
    <w:rsid w:val="00AA3B0F"/>
    <w:rsid w:val="00AA3D68"/>
    <w:rsid w:val="00AA3DD5"/>
    <w:rsid w:val="00AA3E4B"/>
    <w:rsid w:val="00AA3FB6"/>
    <w:rsid w:val="00AA4789"/>
    <w:rsid w:val="00AA478B"/>
    <w:rsid w:val="00AA4C69"/>
    <w:rsid w:val="00AA5207"/>
    <w:rsid w:val="00AA56C2"/>
    <w:rsid w:val="00AA56C3"/>
    <w:rsid w:val="00AA570D"/>
    <w:rsid w:val="00AA5D61"/>
    <w:rsid w:val="00AA5F06"/>
    <w:rsid w:val="00AA6166"/>
    <w:rsid w:val="00AA66BF"/>
    <w:rsid w:val="00AA6D8B"/>
    <w:rsid w:val="00AA6DF1"/>
    <w:rsid w:val="00AA6DFA"/>
    <w:rsid w:val="00AA6FEE"/>
    <w:rsid w:val="00AA73E2"/>
    <w:rsid w:val="00AA7773"/>
    <w:rsid w:val="00AA79B2"/>
    <w:rsid w:val="00AB00E4"/>
    <w:rsid w:val="00AB01F2"/>
    <w:rsid w:val="00AB0451"/>
    <w:rsid w:val="00AB0EBE"/>
    <w:rsid w:val="00AB0FB2"/>
    <w:rsid w:val="00AB11DB"/>
    <w:rsid w:val="00AB18D9"/>
    <w:rsid w:val="00AB1C3D"/>
    <w:rsid w:val="00AB1C4E"/>
    <w:rsid w:val="00AB2233"/>
    <w:rsid w:val="00AB22CB"/>
    <w:rsid w:val="00AB262E"/>
    <w:rsid w:val="00AB2736"/>
    <w:rsid w:val="00AB2BBF"/>
    <w:rsid w:val="00AB30DD"/>
    <w:rsid w:val="00AB3253"/>
    <w:rsid w:val="00AB3A0A"/>
    <w:rsid w:val="00AB3F0A"/>
    <w:rsid w:val="00AB3FF0"/>
    <w:rsid w:val="00AB42D8"/>
    <w:rsid w:val="00AB4867"/>
    <w:rsid w:val="00AB4983"/>
    <w:rsid w:val="00AB4A26"/>
    <w:rsid w:val="00AB4F3F"/>
    <w:rsid w:val="00AB4FA8"/>
    <w:rsid w:val="00AB57C9"/>
    <w:rsid w:val="00AB590A"/>
    <w:rsid w:val="00AB5B25"/>
    <w:rsid w:val="00AB5C99"/>
    <w:rsid w:val="00AB642C"/>
    <w:rsid w:val="00AB65AD"/>
    <w:rsid w:val="00AB706B"/>
    <w:rsid w:val="00AB7259"/>
    <w:rsid w:val="00AB7261"/>
    <w:rsid w:val="00AB7407"/>
    <w:rsid w:val="00AB75F9"/>
    <w:rsid w:val="00AB7EB9"/>
    <w:rsid w:val="00AB7FB9"/>
    <w:rsid w:val="00AC0940"/>
    <w:rsid w:val="00AC0A52"/>
    <w:rsid w:val="00AC0AD9"/>
    <w:rsid w:val="00AC1008"/>
    <w:rsid w:val="00AC116B"/>
    <w:rsid w:val="00AC11C1"/>
    <w:rsid w:val="00AC1233"/>
    <w:rsid w:val="00AC163C"/>
    <w:rsid w:val="00AC185E"/>
    <w:rsid w:val="00AC1C31"/>
    <w:rsid w:val="00AC1D8E"/>
    <w:rsid w:val="00AC1E67"/>
    <w:rsid w:val="00AC2CB9"/>
    <w:rsid w:val="00AC2FD0"/>
    <w:rsid w:val="00AC3364"/>
    <w:rsid w:val="00AC358D"/>
    <w:rsid w:val="00AC38DA"/>
    <w:rsid w:val="00AC3A3C"/>
    <w:rsid w:val="00AC3C2C"/>
    <w:rsid w:val="00AC3F2A"/>
    <w:rsid w:val="00AC44A6"/>
    <w:rsid w:val="00AC4677"/>
    <w:rsid w:val="00AC4795"/>
    <w:rsid w:val="00AC47C9"/>
    <w:rsid w:val="00AC4AFA"/>
    <w:rsid w:val="00AC4B7E"/>
    <w:rsid w:val="00AC5322"/>
    <w:rsid w:val="00AC5443"/>
    <w:rsid w:val="00AC55CC"/>
    <w:rsid w:val="00AC5791"/>
    <w:rsid w:val="00AC5972"/>
    <w:rsid w:val="00AC5A69"/>
    <w:rsid w:val="00AC5B18"/>
    <w:rsid w:val="00AC5C93"/>
    <w:rsid w:val="00AC6019"/>
    <w:rsid w:val="00AC65D3"/>
    <w:rsid w:val="00AC6929"/>
    <w:rsid w:val="00AC6EE5"/>
    <w:rsid w:val="00AC70BA"/>
    <w:rsid w:val="00AC73AC"/>
    <w:rsid w:val="00AC776F"/>
    <w:rsid w:val="00AC78B1"/>
    <w:rsid w:val="00AC7C93"/>
    <w:rsid w:val="00AC7CC7"/>
    <w:rsid w:val="00AC7E21"/>
    <w:rsid w:val="00AC7F27"/>
    <w:rsid w:val="00AC7F6A"/>
    <w:rsid w:val="00AD0055"/>
    <w:rsid w:val="00AD02C3"/>
    <w:rsid w:val="00AD0FC3"/>
    <w:rsid w:val="00AD1007"/>
    <w:rsid w:val="00AD1140"/>
    <w:rsid w:val="00AD1B1F"/>
    <w:rsid w:val="00AD1BC1"/>
    <w:rsid w:val="00AD1BFE"/>
    <w:rsid w:val="00AD1E0F"/>
    <w:rsid w:val="00AD2D66"/>
    <w:rsid w:val="00AD2DF3"/>
    <w:rsid w:val="00AD3201"/>
    <w:rsid w:val="00AD39BB"/>
    <w:rsid w:val="00AD3B76"/>
    <w:rsid w:val="00AD3D87"/>
    <w:rsid w:val="00AD3DDF"/>
    <w:rsid w:val="00AD3EBD"/>
    <w:rsid w:val="00AD3F9E"/>
    <w:rsid w:val="00AD4039"/>
    <w:rsid w:val="00AD4204"/>
    <w:rsid w:val="00AD46B7"/>
    <w:rsid w:val="00AD48D6"/>
    <w:rsid w:val="00AD49DC"/>
    <w:rsid w:val="00AD4B20"/>
    <w:rsid w:val="00AD517A"/>
    <w:rsid w:val="00AD590E"/>
    <w:rsid w:val="00AD601F"/>
    <w:rsid w:val="00AD6158"/>
    <w:rsid w:val="00AD63F8"/>
    <w:rsid w:val="00AD6ABA"/>
    <w:rsid w:val="00AD6DD1"/>
    <w:rsid w:val="00AD6FF4"/>
    <w:rsid w:val="00AD7079"/>
    <w:rsid w:val="00AD7084"/>
    <w:rsid w:val="00AD74A6"/>
    <w:rsid w:val="00AD7688"/>
    <w:rsid w:val="00AD7B35"/>
    <w:rsid w:val="00AD7C3B"/>
    <w:rsid w:val="00AD7D96"/>
    <w:rsid w:val="00AD7FE1"/>
    <w:rsid w:val="00AE01B8"/>
    <w:rsid w:val="00AE02B1"/>
    <w:rsid w:val="00AE04DF"/>
    <w:rsid w:val="00AE0A8E"/>
    <w:rsid w:val="00AE1065"/>
    <w:rsid w:val="00AE1393"/>
    <w:rsid w:val="00AE1F55"/>
    <w:rsid w:val="00AE1F62"/>
    <w:rsid w:val="00AE201B"/>
    <w:rsid w:val="00AE2530"/>
    <w:rsid w:val="00AE29AD"/>
    <w:rsid w:val="00AE2B83"/>
    <w:rsid w:val="00AE3031"/>
    <w:rsid w:val="00AE355A"/>
    <w:rsid w:val="00AE39C2"/>
    <w:rsid w:val="00AE3B12"/>
    <w:rsid w:val="00AE4676"/>
    <w:rsid w:val="00AE46FF"/>
    <w:rsid w:val="00AE472C"/>
    <w:rsid w:val="00AE47BA"/>
    <w:rsid w:val="00AE4F51"/>
    <w:rsid w:val="00AE5494"/>
    <w:rsid w:val="00AE5558"/>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D20"/>
    <w:rsid w:val="00AF1F86"/>
    <w:rsid w:val="00AF2447"/>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C7"/>
    <w:rsid w:val="00AF5AA1"/>
    <w:rsid w:val="00AF65F6"/>
    <w:rsid w:val="00AF669B"/>
    <w:rsid w:val="00AF6AC5"/>
    <w:rsid w:val="00AF711A"/>
    <w:rsid w:val="00AF71F6"/>
    <w:rsid w:val="00AF79BD"/>
    <w:rsid w:val="00AF7A2F"/>
    <w:rsid w:val="00AF7AD4"/>
    <w:rsid w:val="00B0005E"/>
    <w:rsid w:val="00B005DE"/>
    <w:rsid w:val="00B00A77"/>
    <w:rsid w:val="00B00E62"/>
    <w:rsid w:val="00B00E87"/>
    <w:rsid w:val="00B011CB"/>
    <w:rsid w:val="00B01449"/>
    <w:rsid w:val="00B01AE2"/>
    <w:rsid w:val="00B01FD0"/>
    <w:rsid w:val="00B02479"/>
    <w:rsid w:val="00B02C5C"/>
    <w:rsid w:val="00B02F4F"/>
    <w:rsid w:val="00B03167"/>
    <w:rsid w:val="00B03427"/>
    <w:rsid w:val="00B035F2"/>
    <w:rsid w:val="00B03635"/>
    <w:rsid w:val="00B03AD4"/>
    <w:rsid w:val="00B03BE8"/>
    <w:rsid w:val="00B03E1D"/>
    <w:rsid w:val="00B0429A"/>
    <w:rsid w:val="00B04422"/>
    <w:rsid w:val="00B045A6"/>
    <w:rsid w:val="00B0470A"/>
    <w:rsid w:val="00B04868"/>
    <w:rsid w:val="00B048BE"/>
    <w:rsid w:val="00B04D95"/>
    <w:rsid w:val="00B04F62"/>
    <w:rsid w:val="00B051EB"/>
    <w:rsid w:val="00B062E0"/>
    <w:rsid w:val="00B068A5"/>
    <w:rsid w:val="00B06A71"/>
    <w:rsid w:val="00B06F62"/>
    <w:rsid w:val="00B07414"/>
    <w:rsid w:val="00B0797D"/>
    <w:rsid w:val="00B07E81"/>
    <w:rsid w:val="00B07ED5"/>
    <w:rsid w:val="00B0C3C7"/>
    <w:rsid w:val="00B101AF"/>
    <w:rsid w:val="00B101E2"/>
    <w:rsid w:val="00B10771"/>
    <w:rsid w:val="00B1081D"/>
    <w:rsid w:val="00B10B2F"/>
    <w:rsid w:val="00B10E12"/>
    <w:rsid w:val="00B10E36"/>
    <w:rsid w:val="00B11910"/>
    <w:rsid w:val="00B11CD7"/>
    <w:rsid w:val="00B1211A"/>
    <w:rsid w:val="00B1228E"/>
    <w:rsid w:val="00B12559"/>
    <w:rsid w:val="00B12848"/>
    <w:rsid w:val="00B12BD5"/>
    <w:rsid w:val="00B12C3D"/>
    <w:rsid w:val="00B12FD7"/>
    <w:rsid w:val="00B133BE"/>
    <w:rsid w:val="00B13561"/>
    <w:rsid w:val="00B1360D"/>
    <w:rsid w:val="00B13690"/>
    <w:rsid w:val="00B13862"/>
    <w:rsid w:val="00B13F69"/>
    <w:rsid w:val="00B14067"/>
    <w:rsid w:val="00B144E9"/>
    <w:rsid w:val="00B1461B"/>
    <w:rsid w:val="00B149ED"/>
    <w:rsid w:val="00B14B9F"/>
    <w:rsid w:val="00B14C13"/>
    <w:rsid w:val="00B154CF"/>
    <w:rsid w:val="00B15634"/>
    <w:rsid w:val="00B1577A"/>
    <w:rsid w:val="00B15C21"/>
    <w:rsid w:val="00B15DBF"/>
    <w:rsid w:val="00B163D5"/>
    <w:rsid w:val="00B16AE9"/>
    <w:rsid w:val="00B16D93"/>
    <w:rsid w:val="00B17273"/>
    <w:rsid w:val="00B20092"/>
    <w:rsid w:val="00B200F2"/>
    <w:rsid w:val="00B20134"/>
    <w:rsid w:val="00B20339"/>
    <w:rsid w:val="00B20B84"/>
    <w:rsid w:val="00B215C6"/>
    <w:rsid w:val="00B21695"/>
    <w:rsid w:val="00B227CD"/>
    <w:rsid w:val="00B227E2"/>
    <w:rsid w:val="00B22A24"/>
    <w:rsid w:val="00B22AF1"/>
    <w:rsid w:val="00B23051"/>
    <w:rsid w:val="00B236AD"/>
    <w:rsid w:val="00B23716"/>
    <w:rsid w:val="00B23954"/>
    <w:rsid w:val="00B239B6"/>
    <w:rsid w:val="00B23CE7"/>
    <w:rsid w:val="00B23F3C"/>
    <w:rsid w:val="00B2488D"/>
    <w:rsid w:val="00B24A4A"/>
    <w:rsid w:val="00B24B12"/>
    <w:rsid w:val="00B24B84"/>
    <w:rsid w:val="00B24CAC"/>
    <w:rsid w:val="00B25379"/>
    <w:rsid w:val="00B25741"/>
    <w:rsid w:val="00B25FF6"/>
    <w:rsid w:val="00B26552"/>
    <w:rsid w:val="00B269D1"/>
    <w:rsid w:val="00B26B25"/>
    <w:rsid w:val="00B27155"/>
    <w:rsid w:val="00B27DB4"/>
    <w:rsid w:val="00B30102"/>
    <w:rsid w:val="00B31230"/>
    <w:rsid w:val="00B31E38"/>
    <w:rsid w:val="00B3224A"/>
    <w:rsid w:val="00B328FE"/>
    <w:rsid w:val="00B32987"/>
    <w:rsid w:val="00B329B5"/>
    <w:rsid w:val="00B32CFC"/>
    <w:rsid w:val="00B32D36"/>
    <w:rsid w:val="00B33353"/>
    <w:rsid w:val="00B3388A"/>
    <w:rsid w:val="00B33D2B"/>
    <w:rsid w:val="00B33F15"/>
    <w:rsid w:val="00B342A4"/>
    <w:rsid w:val="00B3433F"/>
    <w:rsid w:val="00B34A6A"/>
    <w:rsid w:val="00B34ADE"/>
    <w:rsid w:val="00B34BCD"/>
    <w:rsid w:val="00B34ECD"/>
    <w:rsid w:val="00B35225"/>
    <w:rsid w:val="00B35523"/>
    <w:rsid w:val="00B35674"/>
    <w:rsid w:val="00B358C7"/>
    <w:rsid w:val="00B35917"/>
    <w:rsid w:val="00B35CC2"/>
    <w:rsid w:val="00B36087"/>
    <w:rsid w:val="00B361F1"/>
    <w:rsid w:val="00B363A2"/>
    <w:rsid w:val="00B3681E"/>
    <w:rsid w:val="00B36BD7"/>
    <w:rsid w:val="00B36E4A"/>
    <w:rsid w:val="00B36E96"/>
    <w:rsid w:val="00B372C4"/>
    <w:rsid w:val="00B375D0"/>
    <w:rsid w:val="00B37637"/>
    <w:rsid w:val="00B3778D"/>
    <w:rsid w:val="00B377A5"/>
    <w:rsid w:val="00B37E59"/>
    <w:rsid w:val="00B37FFB"/>
    <w:rsid w:val="00B4003B"/>
    <w:rsid w:val="00B408C0"/>
    <w:rsid w:val="00B408FA"/>
    <w:rsid w:val="00B409C9"/>
    <w:rsid w:val="00B40CA6"/>
    <w:rsid w:val="00B40D20"/>
    <w:rsid w:val="00B411FF"/>
    <w:rsid w:val="00B41506"/>
    <w:rsid w:val="00B41969"/>
    <w:rsid w:val="00B41A8D"/>
    <w:rsid w:val="00B424FC"/>
    <w:rsid w:val="00B425E0"/>
    <w:rsid w:val="00B42C30"/>
    <w:rsid w:val="00B43038"/>
    <w:rsid w:val="00B432DC"/>
    <w:rsid w:val="00B434D6"/>
    <w:rsid w:val="00B435AC"/>
    <w:rsid w:val="00B43700"/>
    <w:rsid w:val="00B43CA8"/>
    <w:rsid w:val="00B43F1D"/>
    <w:rsid w:val="00B442DA"/>
    <w:rsid w:val="00B44A8F"/>
    <w:rsid w:val="00B44B74"/>
    <w:rsid w:val="00B44CAD"/>
    <w:rsid w:val="00B44DBD"/>
    <w:rsid w:val="00B44EDC"/>
    <w:rsid w:val="00B45540"/>
    <w:rsid w:val="00B4599C"/>
    <w:rsid w:val="00B459D9"/>
    <w:rsid w:val="00B45B70"/>
    <w:rsid w:val="00B45D72"/>
    <w:rsid w:val="00B46435"/>
    <w:rsid w:val="00B46504"/>
    <w:rsid w:val="00B465EA"/>
    <w:rsid w:val="00B46610"/>
    <w:rsid w:val="00B46780"/>
    <w:rsid w:val="00B468BC"/>
    <w:rsid w:val="00B47011"/>
    <w:rsid w:val="00B474EE"/>
    <w:rsid w:val="00B477AC"/>
    <w:rsid w:val="00B47AE7"/>
    <w:rsid w:val="00B50384"/>
    <w:rsid w:val="00B50BD2"/>
    <w:rsid w:val="00B50F76"/>
    <w:rsid w:val="00B51055"/>
    <w:rsid w:val="00B51245"/>
    <w:rsid w:val="00B515BB"/>
    <w:rsid w:val="00B515E8"/>
    <w:rsid w:val="00B520F1"/>
    <w:rsid w:val="00B525A0"/>
    <w:rsid w:val="00B52AEB"/>
    <w:rsid w:val="00B53081"/>
    <w:rsid w:val="00B53C6F"/>
    <w:rsid w:val="00B54010"/>
    <w:rsid w:val="00B5410B"/>
    <w:rsid w:val="00B54179"/>
    <w:rsid w:val="00B541F9"/>
    <w:rsid w:val="00B544C7"/>
    <w:rsid w:val="00B5497C"/>
    <w:rsid w:val="00B54985"/>
    <w:rsid w:val="00B5532E"/>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E0B"/>
    <w:rsid w:val="00B66383"/>
    <w:rsid w:val="00B6638E"/>
    <w:rsid w:val="00B66B20"/>
    <w:rsid w:val="00B671FC"/>
    <w:rsid w:val="00B67686"/>
    <w:rsid w:val="00B67C67"/>
    <w:rsid w:val="00B67F45"/>
    <w:rsid w:val="00B70055"/>
    <w:rsid w:val="00B703D9"/>
    <w:rsid w:val="00B70482"/>
    <w:rsid w:val="00B7056A"/>
    <w:rsid w:val="00B708CC"/>
    <w:rsid w:val="00B70A82"/>
    <w:rsid w:val="00B70AE5"/>
    <w:rsid w:val="00B70CD4"/>
    <w:rsid w:val="00B70EBE"/>
    <w:rsid w:val="00B71682"/>
    <w:rsid w:val="00B71786"/>
    <w:rsid w:val="00B7182E"/>
    <w:rsid w:val="00B71860"/>
    <w:rsid w:val="00B7191F"/>
    <w:rsid w:val="00B719B5"/>
    <w:rsid w:val="00B71CE7"/>
    <w:rsid w:val="00B71D73"/>
    <w:rsid w:val="00B721DE"/>
    <w:rsid w:val="00B72244"/>
    <w:rsid w:val="00B72CAF"/>
    <w:rsid w:val="00B72EAA"/>
    <w:rsid w:val="00B73571"/>
    <w:rsid w:val="00B74057"/>
    <w:rsid w:val="00B7406E"/>
    <w:rsid w:val="00B740FF"/>
    <w:rsid w:val="00B74237"/>
    <w:rsid w:val="00B744BD"/>
    <w:rsid w:val="00B744D1"/>
    <w:rsid w:val="00B748C8"/>
    <w:rsid w:val="00B74B70"/>
    <w:rsid w:val="00B75042"/>
    <w:rsid w:val="00B75112"/>
    <w:rsid w:val="00B75ADC"/>
    <w:rsid w:val="00B75DA3"/>
    <w:rsid w:val="00B75DFC"/>
    <w:rsid w:val="00B7622E"/>
    <w:rsid w:val="00B767D3"/>
    <w:rsid w:val="00B770B8"/>
    <w:rsid w:val="00B7722A"/>
    <w:rsid w:val="00B775FF"/>
    <w:rsid w:val="00B77726"/>
    <w:rsid w:val="00B77CAA"/>
    <w:rsid w:val="00B77D16"/>
    <w:rsid w:val="00B77E34"/>
    <w:rsid w:val="00B80124"/>
    <w:rsid w:val="00B80876"/>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2D9D"/>
    <w:rsid w:val="00B8302F"/>
    <w:rsid w:val="00B83049"/>
    <w:rsid w:val="00B834A9"/>
    <w:rsid w:val="00B8355A"/>
    <w:rsid w:val="00B83A22"/>
    <w:rsid w:val="00B84012"/>
    <w:rsid w:val="00B84447"/>
    <w:rsid w:val="00B8448F"/>
    <w:rsid w:val="00B845D1"/>
    <w:rsid w:val="00B851EA"/>
    <w:rsid w:val="00B8568E"/>
    <w:rsid w:val="00B857E8"/>
    <w:rsid w:val="00B85AEA"/>
    <w:rsid w:val="00B8623C"/>
    <w:rsid w:val="00B86644"/>
    <w:rsid w:val="00B866DD"/>
    <w:rsid w:val="00B86D7B"/>
    <w:rsid w:val="00B87387"/>
    <w:rsid w:val="00B876EB"/>
    <w:rsid w:val="00B87B90"/>
    <w:rsid w:val="00B87C2C"/>
    <w:rsid w:val="00B87E36"/>
    <w:rsid w:val="00B87E6A"/>
    <w:rsid w:val="00B87FA0"/>
    <w:rsid w:val="00B901EC"/>
    <w:rsid w:val="00B9035E"/>
    <w:rsid w:val="00B903D2"/>
    <w:rsid w:val="00B9070E"/>
    <w:rsid w:val="00B90837"/>
    <w:rsid w:val="00B90925"/>
    <w:rsid w:val="00B9092E"/>
    <w:rsid w:val="00B911AB"/>
    <w:rsid w:val="00B913BD"/>
    <w:rsid w:val="00B91948"/>
    <w:rsid w:val="00B91AF4"/>
    <w:rsid w:val="00B91C4D"/>
    <w:rsid w:val="00B91F02"/>
    <w:rsid w:val="00B91F9E"/>
    <w:rsid w:val="00B92892"/>
    <w:rsid w:val="00B928A9"/>
    <w:rsid w:val="00B92908"/>
    <w:rsid w:val="00B92BDA"/>
    <w:rsid w:val="00B92D6B"/>
    <w:rsid w:val="00B92E6D"/>
    <w:rsid w:val="00B92EB5"/>
    <w:rsid w:val="00B93A24"/>
    <w:rsid w:val="00B9472B"/>
    <w:rsid w:val="00B9473E"/>
    <w:rsid w:val="00B94902"/>
    <w:rsid w:val="00B94994"/>
    <w:rsid w:val="00B95013"/>
    <w:rsid w:val="00B9575E"/>
    <w:rsid w:val="00B95C84"/>
    <w:rsid w:val="00B9629D"/>
    <w:rsid w:val="00B962B3"/>
    <w:rsid w:val="00B96911"/>
    <w:rsid w:val="00B969B2"/>
    <w:rsid w:val="00B9728B"/>
    <w:rsid w:val="00B976E7"/>
    <w:rsid w:val="00B97AF4"/>
    <w:rsid w:val="00B9AA5F"/>
    <w:rsid w:val="00BA02AC"/>
    <w:rsid w:val="00BA0388"/>
    <w:rsid w:val="00BA03F7"/>
    <w:rsid w:val="00BA0436"/>
    <w:rsid w:val="00BA0466"/>
    <w:rsid w:val="00BA08B1"/>
    <w:rsid w:val="00BA0B41"/>
    <w:rsid w:val="00BA0BCD"/>
    <w:rsid w:val="00BA0CAC"/>
    <w:rsid w:val="00BA1254"/>
    <w:rsid w:val="00BA1595"/>
    <w:rsid w:val="00BA15E3"/>
    <w:rsid w:val="00BA22E0"/>
    <w:rsid w:val="00BA27D7"/>
    <w:rsid w:val="00BA2FBF"/>
    <w:rsid w:val="00BA3685"/>
    <w:rsid w:val="00BA387D"/>
    <w:rsid w:val="00BA3A11"/>
    <w:rsid w:val="00BA3F68"/>
    <w:rsid w:val="00BA42C1"/>
    <w:rsid w:val="00BA46EB"/>
    <w:rsid w:val="00BA4800"/>
    <w:rsid w:val="00BA4835"/>
    <w:rsid w:val="00BA4966"/>
    <w:rsid w:val="00BA4A78"/>
    <w:rsid w:val="00BA5085"/>
    <w:rsid w:val="00BA50D3"/>
    <w:rsid w:val="00BA5381"/>
    <w:rsid w:val="00BA56D0"/>
    <w:rsid w:val="00BA5713"/>
    <w:rsid w:val="00BA5789"/>
    <w:rsid w:val="00BA5948"/>
    <w:rsid w:val="00BA5EB1"/>
    <w:rsid w:val="00BA6AC4"/>
    <w:rsid w:val="00BA6C0E"/>
    <w:rsid w:val="00BA74DC"/>
    <w:rsid w:val="00BA7928"/>
    <w:rsid w:val="00BA7A3B"/>
    <w:rsid w:val="00BA7B24"/>
    <w:rsid w:val="00BA7C20"/>
    <w:rsid w:val="00BA7D30"/>
    <w:rsid w:val="00BA7F78"/>
    <w:rsid w:val="00BB000A"/>
    <w:rsid w:val="00BB0633"/>
    <w:rsid w:val="00BB0911"/>
    <w:rsid w:val="00BB0F43"/>
    <w:rsid w:val="00BB0F93"/>
    <w:rsid w:val="00BB1027"/>
    <w:rsid w:val="00BB10F3"/>
    <w:rsid w:val="00BB17F4"/>
    <w:rsid w:val="00BB1BA5"/>
    <w:rsid w:val="00BB209C"/>
    <w:rsid w:val="00BB20A3"/>
    <w:rsid w:val="00BB2325"/>
    <w:rsid w:val="00BB24C7"/>
    <w:rsid w:val="00BB270E"/>
    <w:rsid w:val="00BB3677"/>
    <w:rsid w:val="00BB3756"/>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DA3"/>
    <w:rsid w:val="00BB70FA"/>
    <w:rsid w:val="00BB71CE"/>
    <w:rsid w:val="00BB75ED"/>
    <w:rsid w:val="00BB76DB"/>
    <w:rsid w:val="00BB7755"/>
    <w:rsid w:val="00BB7969"/>
    <w:rsid w:val="00BB7A3B"/>
    <w:rsid w:val="00BB7B7E"/>
    <w:rsid w:val="00BB7FE6"/>
    <w:rsid w:val="00BC0252"/>
    <w:rsid w:val="00BC050B"/>
    <w:rsid w:val="00BC0A18"/>
    <w:rsid w:val="00BC0BA8"/>
    <w:rsid w:val="00BC0E8A"/>
    <w:rsid w:val="00BC1426"/>
    <w:rsid w:val="00BC19D1"/>
    <w:rsid w:val="00BC1B7B"/>
    <w:rsid w:val="00BC1D21"/>
    <w:rsid w:val="00BC20B7"/>
    <w:rsid w:val="00BC2A93"/>
    <w:rsid w:val="00BC2B01"/>
    <w:rsid w:val="00BC2B19"/>
    <w:rsid w:val="00BC3324"/>
    <w:rsid w:val="00BC39AB"/>
    <w:rsid w:val="00BC3DE3"/>
    <w:rsid w:val="00BC3E10"/>
    <w:rsid w:val="00BC43F8"/>
    <w:rsid w:val="00BC447F"/>
    <w:rsid w:val="00BC46F6"/>
    <w:rsid w:val="00BC49C7"/>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3DA"/>
    <w:rsid w:val="00BD2569"/>
    <w:rsid w:val="00BD2A93"/>
    <w:rsid w:val="00BD2D36"/>
    <w:rsid w:val="00BD2E61"/>
    <w:rsid w:val="00BD3067"/>
    <w:rsid w:val="00BD356D"/>
    <w:rsid w:val="00BD3676"/>
    <w:rsid w:val="00BD3B07"/>
    <w:rsid w:val="00BD4012"/>
    <w:rsid w:val="00BD4299"/>
    <w:rsid w:val="00BD49EC"/>
    <w:rsid w:val="00BD4A49"/>
    <w:rsid w:val="00BD4F45"/>
    <w:rsid w:val="00BD5058"/>
    <w:rsid w:val="00BD5135"/>
    <w:rsid w:val="00BD5276"/>
    <w:rsid w:val="00BD5280"/>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763"/>
    <w:rsid w:val="00BE1AB9"/>
    <w:rsid w:val="00BE240A"/>
    <w:rsid w:val="00BE242F"/>
    <w:rsid w:val="00BE2B02"/>
    <w:rsid w:val="00BE2B17"/>
    <w:rsid w:val="00BE2CF4"/>
    <w:rsid w:val="00BE2E71"/>
    <w:rsid w:val="00BE331F"/>
    <w:rsid w:val="00BE397A"/>
    <w:rsid w:val="00BE3998"/>
    <w:rsid w:val="00BE3AB9"/>
    <w:rsid w:val="00BE3BC1"/>
    <w:rsid w:val="00BE445E"/>
    <w:rsid w:val="00BE46FB"/>
    <w:rsid w:val="00BE491F"/>
    <w:rsid w:val="00BE549E"/>
    <w:rsid w:val="00BE56CF"/>
    <w:rsid w:val="00BE5A7D"/>
    <w:rsid w:val="00BE5B80"/>
    <w:rsid w:val="00BE5B84"/>
    <w:rsid w:val="00BE60AF"/>
    <w:rsid w:val="00BE6461"/>
    <w:rsid w:val="00BE6BE6"/>
    <w:rsid w:val="00BE7E49"/>
    <w:rsid w:val="00BF00F9"/>
    <w:rsid w:val="00BF02BF"/>
    <w:rsid w:val="00BF0CAC"/>
    <w:rsid w:val="00BF12CD"/>
    <w:rsid w:val="00BF1597"/>
    <w:rsid w:val="00BF15C7"/>
    <w:rsid w:val="00BF290B"/>
    <w:rsid w:val="00BF29DD"/>
    <w:rsid w:val="00BF2A69"/>
    <w:rsid w:val="00BF2F92"/>
    <w:rsid w:val="00BF3227"/>
    <w:rsid w:val="00BF35D5"/>
    <w:rsid w:val="00BF389E"/>
    <w:rsid w:val="00BF3910"/>
    <w:rsid w:val="00BF3A95"/>
    <w:rsid w:val="00BF3ED4"/>
    <w:rsid w:val="00BF3F97"/>
    <w:rsid w:val="00BF4243"/>
    <w:rsid w:val="00BF44EE"/>
    <w:rsid w:val="00BF4BA2"/>
    <w:rsid w:val="00BF4C42"/>
    <w:rsid w:val="00BF4CE9"/>
    <w:rsid w:val="00BF4DE1"/>
    <w:rsid w:val="00BF50E9"/>
    <w:rsid w:val="00BF512A"/>
    <w:rsid w:val="00BF5A2C"/>
    <w:rsid w:val="00BF5A5C"/>
    <w:rsid w:val="00BF5BB3"/>
    <w:rsid w:val="00BF5DAF"/>
    <w:rsid w:val="00BF5FF5"/>
    <w:rsid w:val="00BF615F"/>
    <w:rsid w:val="00BF61D0"/>
    <w:rsid w:val="00BF61DF"/>
    <w:rsid w:val="00BF62EB"/>
    <w:rsid w:val="00BF686D"/>
    <w:rsid w:val="00BF68F6"/>
    <w:rsid w:val="00BF70BD"/>
    <w:rsid w:val="00BF7130"/>
    <w:rsid w:val="00BF7153"/>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2D3"/>
    <w:rsid w:val="00C0338A"/>
    <w:rsid w:val="00C036ED"/>
    <w:rsid w:val="00C037D0"/>
    <w:rsid w:val="00C03A4D"/>
    <w:rsid w:val="00C0412D"/>
    <w:rsid w:val="00C04250"/>
    <w:rsid w:val="00C04674"/>
    <w:rsid w:val="00C04F62"/>
    <w:rsid w:val="00C05091"/>
    <w:rsid w:val="00C052D4"/>
    <w:rsid w:val="00C052DD"/>
    <w:rsid w:val="00C055E7"/>
    <w:rsid w:val="00C05A96"/>
    <w:rsid w:val="00C05B28"/>
    <w:rsid w:val="00C05F9D"/>
    <w:rsid w:val="00C06C6F"/>
    <w:rsid w:val="00C07107"/>
    <w:rsid w:val="00C072BC"/>
    <w:rsid w:val="00C0784C"/>
    <w:rsid w:val="00C07C3D"/>
    <w:rsid w:val="00C10598"/>
    <w:rsid w:val="00C10608"/>
    <w:rsid w:val="00C107DD"/>
    <w:rsid w:val="00C10D5A"/>
    <w:rsid w:val="00C10DF1"/>
    <w:rsid w:val="00C119D3"/>
    <w:rsid w:val="00C11A4A"/>
    <w:rsid w:val="00C11ED6"/>
    <w:rsid w:val="00C12151"/>
    <w:rsid w:val="00C125B1"/>
    <w:rsid w:val="00C126FC"/>
    <w:rsid w:val="00C12B1D"/>
    <w:rsid w:val="00C130BA"/>
    <w:rsid w:val="00C13784"/>
    <w:rsid w:val="00C13ACF"/>
    <w:rsid w:val="00C1401F"/>
    <w:rsid w:val="00C142C1"/>
    <w:rsid w:val="00C14404"/>
    <w:rsid w:val="00C14663"/>
    <w:rsid w:val="00C14EE4"/>
    <w:rsid w:val="00C14FA8"/>
    <w:rsid w:val="00C14FAA"/>
    <w:rsid w:val="00C1568F"/>
    <w:rsid w:val="00C157DE"/>
    <w:rsid w:val="00C15F31"/>
    <w:rsid w:val="00C1617D"/>
    <w:rsid w:val="00C162E9"/>
    <w:rsid w:val="00C1650A"/>
    <w:rsid w:val="00C16729"/>
    <w:rsid w:val="00C16A47"/>
    <w:rsid w:val="00C16C56"/>
    <w:rsid w:val="00C16F33"/>
    <w:rsid w:val="00C16FB8"/>
    <w:rsid w:val="00C17246"/>
    <w:rsid w:val="00C17A42"/>
    <w:rsid w:val="00C200EA"/>
    <w:rsid w:val="00C20121"/>
    <w:rsid w:val="00C20137"/>
    <w:rsid w:val="00C2034D"/>
    <w:rsid w:val="00C20C13"/>
    <w:rsid w:val="00C211EE"/>
    <w:rsid w:val="00C21B53"/>
    <w:rsid w:val="00C21E5B"/>
    <w:rsid w:val="00C21F46"/>
    <w:rsid w:val="00C22168"/>
    <w:rsid w:val="00C22915"/>
    <w:rsid w:val="00C22CBF"/>
    <w:rsid w:val="00C23020"/>
    <w:rsid w:val="00C2317B"/>
    <w:rsid w:val="00C23484"/>
    <w:rsid w:val="00C234A8"/>
    <w:rsid w:val="00C23EC9"/>
    <w:rsid w:val="00C2433B"/>
    <w:rsid w:val="00C24685"/>
    <w:rsid w:val="00C24741"/>
    <w:rsid w:val="00C24917"/>
    <w:rsid w:val="00C24985"/>
    <w:rsid w:val="00C24CE7"/>
    <w:rsid w:val="00C24EDC"/>
    <w:rsid w:val="00C252B0"/>
    <w:rsid w:val="00C25B67"/>
    <w:rsid w:val="00C25CB7"/>
    <w:rsid w:val="00C26325"/>
    <w:rsid w:val="00C26494"/>
    <w:rsid w:val="00C26959"/>
    <w:rsid w:val="00C26C6C"/>
    <w:rsid w:val="00C26E1C"/>
    <w:rsid w:val="00C26F6E"/>
    <w:rsid w:val="00C2743A"/>
    <w:rsid w:val="00C2772E"/>
    <w:rsid w:val="00C27936"/>
    <w:rsid w:val="00C27AD6"/>
    <w:rsid w:val="00C27D97"/>
    <w:rsid w:val="00C303E2"/>
    <w:rsid w:val="00C306B6"/>
    <w:rsid w:val="00C309C0"/>
    <w:rsid w:val="00C30A58"/>
    <w:rsid w:val="00C30DA3"/>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A2"/>
    <w:rsid w:val="00C3478E"/>
    <w:rsid w:val="00C348B8"/>
    <w:rsid w:val="00C34CA5"/>
    <w:rsid w:val="00C34E90"/>
    <w:rsid w:val="00C34F25"/>
    <w:rsid w:val="00C34FD5"/>
    <w:rsid w:val="00C353D2"/>
    <w:rsid w:val="00C35A9A"/>
    <w:rsid w:val="00C35E93"/>
    <w:rsid w:val="00C35FDA"/>
    <w:rsid w:val="00C367FB"/>
    <w:rsid w:val="00C3732F"/>
    <w:rsid w:val="00C373FC"/>
    <w:rsid w:val="00C37436"/>
    <w:rsid w:val="00C374E8"/>
    <w:rsid w:val="00C37869"/>
    <w:rsid w:val="00C3791A"/>
    <w:rsid w:val="00C400D7"/>
    <w:rsid w:val="00C402D7"/>
    <w:rsid w:val="00C4041A"/>
    <w:rsid w:val="00C405CC"/>
    <w:rsid w:val="00C40732"/>
    <w:rsid w:val="00C407EC"/>
    <w:rsid w:val="00C40B9A"/>
    <w:rsid w:val="00C40E9B"/>
    <w:rsid w:val="00C40FEC"/>
    <w:rsid w:val="00C4102D"/>
    <w:rsid w:val="00C4116C"/>
    <w:rsid w:val="00C4147F"/>
    <w:rsid w:val="00C41738"/>
    <w:rsid w:val="00C4183C"/>
    <w:rsid w:val="00C41AD2"/>
    <w:rsid w:val="00C41ADE"/>
    <w:rsid w:val="00C41BC7"/>
    <w:rsid w:val="00C4229A"/>
    <w:rsid w:val="00C426CF"/>
    <w:rsid w:val="00C42C10"/>
    <w:rsid w:val="00C43690"/>
    <w:rsid w:val="00C43F14"/>
    <w:rsid w:val="00C43FAE"/>
    <w:rsid w:val="00C43FB1"/>
    <w:rsid w:val="00C44062"/>
    <w:rsid w:val="00C44229"/>
    <w:rsid w:val="00C44242"/>
    <w:rsid w:val="00C4477F"/>
    <w:rsid w:val="00C44B7D"/>
    <w:rsid w:val="00C44F61"/>
    <w:rsid w:val="00C45062"/>
    <w:rsid w:val="00C45452"/>
    <w:rsid w:val="00C454C9"/>
    <w:rsid w:val="00C45560"/>
    <w:rsid w:val="00C45B6D"/>
    <w:rsid w:val="00C45BAD"/>
    <w:rsid w:val="00C45BE3"/>
    <w:rsid w:val="00C45F10"/>
    <w:rsid w:val="00C45FF7"/>
    <w:rsid w:val="00C4621E"/>
    <w:rsid w:val="00C46648"/>
    <w:rsid w:val="00C466EF"/>
    <w:rsid w:val="00C467A8"/>
    <w:rsid w:val="00C46FE6"/>
    <w:rsid w:val="00C47058"/>
    <w:rsid w:val="00C47246"/>
    <w:rsid w:val="00C473A4"/>
    <w:rsid w:val="00C47C30"/>
    <w:rsid w:val="00C47C95"/>
    <w:rsid w:val="00C500C7"/>
    <w:rsid w:val="00C506D9"/>
    <w:rsid w:val="00C5082D"/>
    <w:rsid w:val="00C50BC0"/>
    <w:rsid w:val="00C50DCA"/>
    <w:rsid w:val="00C510AC"/>
    <w:rsid w:val="00C511A6"/>
    <w:rsid w:val="00C51259"/>
    <w:rsid w:val="00C512CC"/>
    <w:rsid w:val="00C5138E"/>
    <w:rsid w:val="00C516AD"/>
    <w:rsid w:val="00C51CF1"/>
    <w:rsid w:val="00C51F98"/>
    <w:rsid w:val="00C520B9"/>
    <w:rsid w:val="00C52262"/>
    <w:rsid w:val="00C523FC"/>
    <w:rsid w:val="00C52640"/>
    <w:rsid w:val="00C52B54"/>
    <w:rsid w:val="00C52BD4"/>
    <w:rsid w:val="00C52E10"/>
    <w:rsid w:val="00C52E93"/>
    <w:rsid w:val="00C5310F"/>
    <w:rsid w:val="00C533FF"/>
    <w:rsid w:val="00C538BA"/>
    <w:rsid w:val="00C53A7F"/>
    <w:rsid w:val="00C53C8F"/>
    <w:rsid w:val="00C5467C"/>
    <w:rsid w:val="00C5497F"/>
    <w:rsid w:val="00C5498C"/>
    <w:rsid w:val="00C54C74"/>
    <w:rsid w:val="00C54D5F"/>
    <w:rsid w:val="00C54EF2"/>
    <w:rsid w:val="00C55331"/>
    <w:rsid w:val="00C5577C"/>
    <w:rsid w:val="00C558C8"/>
    <w:rsid w:val="00C55D79"/>
    <w:rsid w:val="00C560BC"/>
    <w:rsid w:val="00C56253"/>
    <w:rsid w:val="00C562AF"/>
    <w:rsid w:val="00C564F8"/>
    <w:rsid w:val="00C564FD"/>
    <w:rsid w:val="00C569E1"/>
    <w:rsid w:val="00C5715B"/>
    <w:rsid w:val="00C57947"/>
    <w:rsid w:val="00C57DFB"/>
    <w:rsid w:val="00C604D2"/>
    <w:rsid w:val="00C608AF"/>
    <w:rsid w:val="00C60E6B"/>
    <w:rsid w:val="00C61043"/>
    <w:rsid w:val="00C610B5"/>
    <w:rsid w:val="00C61C6A"/>
    <w:rsid w:val="00C61FB9"/>
    <w:rsid w:val="00C622C6"/>
    <w:rsid w:val="00C62448"/>
    <w:rsid w:val="00C62542"/>
    <w:rsid w:val="00C627ED"/>
    <w:rsid w:val="00C62C49"/>
    <w:rsid w:val="00C630B6"/>
    <w:rsid w:val="00C63387"/>
    <w:rsid w:val="00C63792"/>
    <w:rsid w:val="00C63EE1"/>
    <w:rsid w:val="00C63EE9"/>
    <w:rsid w:val="00C64F7F"/>
    <w:rsid w:val="00C65532"/>
    <w:rsid w:val="00C6578B"/>
    <w:rsid w:val="00C658F7"/>
    <w:rsid w:val="00C65B45"/>
    <w:rsid w:val="00C65D93"/>
    <w:rsid w:val="00C663DA"/>
    <w:rsid w:val="00C66F18"/>
    <w:rsid w:val="00C674B1"/>
    <w:rsid w:val="00C6771D"/>
    <w:rsid w:val="00C701B4"/>
    <w:rsid w:val="00C70320"/>
    <w:rsid w:val="00C70452"/>
    <w:rsid w:val="00C7056F"/>
    <w:rsid w:val="00C708F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AE1"/>
    <w:rsid w:val="00C74CBE"/>
    <w:rsid w:val="00C750C6"/>
    <w:rsid w:val="00C754AB"/>
    <w:rsid w:val="00C759BA"/>
    <w:rsid w:val="00C75E24"/>
    <w:rsid w:val="00C76862"/>
    <w:rsid w:val="00C76AD7"/>
    <w:rsid w:val="00C76BA1"/>
    <w:rsid w:val="00C76D5C"/>
    <w:rsid w:val="00C772D8"/>
    <w:rsid w:val="00C77650"/>
    <w:rsid w:val="00C77858"/>
    <w:rsid w:val="00C77BE0"/>
    <w:rsid w:val="00C77D60"/>
    <w:rsid w:val="00C77F6A"/>
    <w:rsid w:val="00C803BC"/>
    <w:rsid w:val="00C8060A"/>
    <w:rsid w:val="00C808CA"/>
    <w:rsid w:val="00C809F4"/>
    <w:rsid w:val="00C80A20"/>
    <w:rsid w:val="00C814B1"/>
    <w:rsid w:val="00C81832"/>
    <w:rsid w:val="00C8185E"/>
    <w:rsid w:val="00C8190E"/>
    <w:rsid w:val="00C8192D"/>
    <w:rsid w:val="00C81A79"/>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2278"/>
    <w:rsid w:val="00C924EF"/>
    <w:rsid w:val="00C9294B"/>
    <w:rsid w:val="00C92A42"/>
    <w:rsid w:val="00C932B8"/>
    <w:rsid w:val="00C93380"/>
    <w:rsid w:val="00C9366E"/>
    <w:rsid w:val="00C9381A"/>
    <w:rsid w:val="00C93A5E"/>
    <w:rsid w:val="00C93A71"/>
    <w:rsid w:val="00C93C03"/>
    <w:rsid w:val="00C93D2F"/>
    <w:rsid w:val="00C941BC"/>
    <w:rsid w:val="00C94238"/>
    <w:rsid w:val="00C947E1"/>
    <w:rsid w:val="00C949D6"/>
    <w:rsid w:val="00C9511F"/>
    <w:rsid w:val="00C95343"/>
    <w:rsid w:val="00C953B9"/>
    <w:rsid w:val="00C958EC"/>
    <w:rsid w:val="00C95B12"/>
    <w:rsid w:val="00C95CA6"/>
    <w:rsid w:val="00C9601D"/>
    <w:rsid w:val="00C96180"/>
    <w:rsid w:val="00C961E8"/>
    <w:rsid w:val="00C96671"/>
    <w:rsid w:val="00C968F8"/>
    <w:rsid w:val="00C96986"/>
    <w:rsid w:val="00C96991"/>
    <w:rsid w:val="00C96E61"/>
    <w:rsid w:val="00C97008"/>
    <w:rsid w:val="00C976C5"/>
    <w:rsid w:val="00C97862"/>
    <w:rsid w:val="00C97D5D"/>
    <w:rsid w:val="00CA0163"/>
    <w:rsid w:val="00CA102B"/>
    <w:rsid w:val="00CA19A4"/>
    <w:rsid w:val="00CA1AEE"/>
    <w:rsid w:val="00CA1BA8"/>
    <w:rsid w:val="00CA2151"/>
    <w:rsid w:val="00CA2449"/>
    <w:rsid w:val="00CA2634"/>
    <w:rsid w:val="00CA286C"/>
    <w:rsid w:val="00CA29A2"/>
    <w:rsid w:val="00CA2E2F"/>
    <w:rsid w:val="00CA3985"/>
    <w:rsid w:val="00CA3D14"/>
    <w:rsid w:val="00CA41CF"/>
    <w:rsid w:val="00CA42DD"/>
    <w:rsid w:val="00CA4868"/>
    <w:rsid w:val="00CA5102"/>
    <w:rsid w:val="00CA52F3"/>
    <w:rsid w:val="00CA5692"/>
    <w:rsid w:val="00CA5F7F"/>
    <w:rsid w:val="00CA601A"/>
    <w:rsid w:val="00CA687E"/>
    <w:rsid w:val="00CA689A"/>
    <w:rsid w:val="00CA6A9E"/>
    <w:rsid w:val="00CA6BC0"/>
    <w:rsid w:val="00CA71AA"/>
    <w:rsid w:val="00CA7295"/>
    <w:rsid w:val="00CB031D"/>
    <w:rsid w:val="00CB1136"/>
    <w:rsid w:val="00CB1361"/>
    <w:rsid w:val="00CB15BB"/>
    <w:rsid w:val="00CB17B6"/>
    <w:rsid w:val="00CB1A5D"/>
    <w:rsid w:val="00CB1AA3"/>
    <w:rsid w:val="00CB1BE8"/>
    <w:rsid w:val="00CB2D70"/>
    <w:rsid w:val="00CB2F3B"/>
    <w:rsid w:val="00CB3182"/>
    <w:rsid w:val="00CB3D93"/>
    <w:rsid w:val="00CB4301"/>
    <w:rsid w:val="00CB4678"/>
    <w:rsid w:val="00CB4D8F"/>
    <w:rsid w:val="00CB5303"/>
    <w:rsid w:val="00CB552D"/>
    <w:rsid w:val="00CB5DF0"/>
    <w:rsid w:val="00CB68C1"/>
    <w:rsid w:val="00CB6C21"/>
    <w:rsid w:val="00CB7A03"/>
    <w:rsid w:val="00CB7AC3"/>
    <w:rsid w:val="00CB7CF6"/>
    <w:rsid w:val="00CBBF16"/>
    <w:rsid w:val="00CC00E0"/>
    <w:rsid w:val="00CC0176"/>
    <w:rsid w:val="00CC0256"/>
    <w:rsid w:val="00CC041C"/>
    <w:rsid w:val="00CC0535"/>
    <w:rsid w:val="00CC06C0"/>
    <w:rsid w:val="00CC0913"/>
    <w:rsid w:val="00CC0DCE"/>
    <w:rsid w:val="00CC0E50"/>
    <w:rsid w:val="00CC0E63"/>
    <w:rsid w:val="00CC1115"/>
    <w:rsid w:val="00CC1206"/>
    <w:rsid w:val="00CC133A"/>
    <w:rsid w:val="00CC1429"/>
    <w:rsid w:val="00CC1700"/>
    <w:rsid w:val="00CC1903"/>
    <w:rsid w:val="00CC1D09"/>
    <w:rsid w:val="00CC1F24"/>
    <w:rsid w:val="00CC1F65"/>
    <w:rsid w:val="00CC2520"/>
    <w:rsid w:val="00CC2740"/>
    <w:rsid w:val="00CC288A"/>
    <w:rsid w:val="00CC2AD0"/>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D0130"/>
    <w:rsid w:val="00CD0237"/>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AD2"/>
    <w:rsid w:val="00CD43A6"/>
    <w:rsid w:val="00CD4480"/>
    <w:rsid w:val="00CD4E18"/>
    <w:rsid w:val="00CD526C"/>
    <w:rsid w:val="00CD548B"/>
    <w:rsid w:val="00CD5706"/>
    <w:rsid w:val="00CD5CAF"/>
    <w:rsid w:val="00CD5E9D"/>
    <w:rsid w:val="00CD5F4E"/>
    <w:rsid w:val="00CD65B3"/>
    <w:rsid w:val="00CD677E"/>
    <w:rsid w:val="00CD6819"/>
    <w:rsid w:val="00CD6C70"/>
    <w:rsid w:val="00CD6D31"/>
    <w:rsid w:val="00CD6F58"/>
    <w:rsid w:val="00CD7A51"/>
    <w:rsid w:val="00CD7A8A"/>
    <w:rsid w:val="00CD7D7B"/>
    <w:rsid w:val="00CD7E2A"/>
    <w:rsid w:val="00CE04BB"/>
    <w:rsid w:val="00CE0786"/>
    <w:rsid w:val="00CE093B"/>
    <w:rsid w:val="00CE0A2F"/>
    <w:rsid w:val="00CE0C18"/>
    <w:rsid w:val="00CE0C20"/>
    <w:rsid w:val="00CE0DCA"/>
    <w:rsid w:val="00CE12A7"/>
    <w:rsid w:val="00CE13A2"/>
    <w:rsid w:val="00CE15CB"/>
    <w:rsid w:val="00CE1BD4"/>
    <w:rsid w:val="00CE1C16"/>
    <w:rsid w:val="00CE1F36"/>
    <w:rsid w:val="00CE239E"/>
    <w:rsid w:val="00CE24F6"/>
    <w:rsid w:val="00CE2780"/>
    <w:rsid w:val="00CE2949"/>
    <w:rsid w:val="00CE29E5"/>
    <w:rsid w:val="00CE2B98"/>
    <w:rsid w:val="00CE2E44"/>
    <w:rsid w:val="00CE3525"/>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C68"/>
    <w:rsid w:val="00CE7032"/>
    <w:rsid w:val="00CE7681"/>
    <w:rsid w:val="00CE776B"/>
    <w:rsid w:val="00CE788B"/>
    <w:rsid w:val="00CE7F3F"/>
    <w:rsid w:val="00CE7FA4"/>
    <w:rsid w:val="00CF0284"/>
    <w:rsid w:val="00CF0728"/>
    <w:rsid w:val="00CF0B70"/>
    <w:rsid w:val="00CF0C28"/>
    <w:rsid w:val="00CF0D99"/>
    <w:rsid w:val="00CF101D"/>
    <w:rsid w:val="00CF1113"/>
    <w:rsid w:val="00CF1438"/>
    <w:rsid w:val="00CF159F"/>
    <w:rsid w:val="00CF1C7A"/>
    <w:rsid w:val="00CF2564"/>
    <w:rsid w:val="00CF27CF"/>
    <w:rsid w:val="00CF2AA8"/>
    <w:rsid w:val="00CF2B83"/>
    <w:rsid w:val="00CF2E35"/>
    <w:rsid w:val="00CF338A"/>
    <w:rsid w:val="00CF3612"/>
    <w:rsid w:val="00CF362C"/>
    <w:rsid w:val="00CF36D6"/>
    <w:rsid w:val="00CF393F"/>
    <w:rsid w:val="00CF39BC"/>
    <w:rsid w:val="00CF3C4B"/>
    <w:rsid w:val="00CF3E22"/>
    <w:rsid w:val="00CF41A3"/>
    <w:rsid w:val="00CF41C3"/>
    <w:rsid w:val="00CF44A5"/>
    <w:rsid w:val="00CF4C15"/>
    <w:rsid w:val="00CF4C1A"/>
    <w:rsid w:val="00CF4EE6"/>
    <w:rsid w:val="00CF525A"/>
    <w:rsid w:val="00CF571B"/>
    <w:rsid w:val="00CF6D7E"/>
    <w:rsid w:val="00CF74EF"/>
    <w:rsid w:val="00CF7536"/>
    <w:rsid w:val="00CF7656"/>
    <w:rsid w:val="00CF7A5E"/>
    <w:rsid w:val="00CF7DB4"/>
    <w:rsid w:val="00D00C6E"/>
    <w:rsid w:val="00D00E59"/>
    <w:rsid w:val="00D00F03"/>
    <w:rsid w:val="00D01555"/>
    <w:rsid w:val="00D01A72"/>
    <w:rsid w:val="00D01C6A"/>
    <w:rsid w:val="00D02212"/>
    <w:rsid w:val="00D02477"/>
    <w:rsid w:val="00D027ED"/>
    <w:rsid w:val="00D02D4A"/>
    <w:rsid w:val="00D02E7B"/>
    <w:rsid w:val="00D03549"/>
    <w:rsid w:val="00D0390F"/>
    <w:rsid w:val="00D039A6"/>
    <w:rsid w:val="00D04167"/>
    <w:rsid w:val="00D042E6"/>
    <w:rsid w:val="00D046E1"/>
    <w:rsid w:val="00D04F0C"/>
    <w:rsid w:val="00D059B6"/>
    <w:rsid w:val="00D05B69"/>
    <w:rsid w:val="00D05B73"/>
    <w:rsid w:val="00D05C79"/>
    <w:rsid w:val="00D0602B"/>
    <w:rsid w:val="00D06095"/>
    <w:rsid w:val="00D0612B"/>
    <w:rsid w:val="00D061E3"/>
    <w:rsid w:val="00D06242"/>
    <w:rsid w:val="00D06299"/>
    <w:rsid w:val="00D062B7"/>
    <w:rsid w:val="00D062F5"/>
    <w:rsid w:val="00D0698F"/>
    <w:rsid w:val="00D07118"/>
    <w:rsid w:val="00D07212"/>
    <w:rsid w:val="00D0796B"/>
    <w:rsid w:val="00D07C5B"/>
    <w:rsid w:val="00D07F3A"/>
    <w:rsid w:val="00D07FE9"/>
    <w:rsid w:val="00D102A6"/>
    <w:rsid w:val="00D102DC"/>
    <w:rsid w:val="00D11178"/>
    <w:rsid w:val="00D11530"/>
    <w:rsid w:val="00D116C0"/>
    <w:rsid w:val="00D1183F"/>
    <w:rsid w:val="00D11A7C"/>
    <w:rsid w:val="00D11CC2"/>
    <w:rsid w:val="00D1218F"/>
    <w:rsid w:val="00D125C1"/>
    <w:rsid w:val="00D125D2"/>
    <w:rsid w:val="00D125E1"/>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7F2"/>
    <w:rsid w:val="00D219F5"/>
    <w:rsid w:val="00D21B96"/>
    <w:rsid w:val="00D226D7"/>
    <w:rsid w:val="00D22C45"/>
    <w:rsid w:val="00D236B6"/>
    <w:rsid w:val="00D23722"/>
    <w:rsid w:val="00D23904"/>
    <w:rsid w:val="00D23B17"/>
    <w:rsid w:val="00D23F13"/>
    <w:rsid w:val="00D23FD7"/>
    <w:rsid w:val="00D24119"/>
    <w:rsid w:val="00D2423B"/>
    <w:rsid w:val="00D24381"/>
    <w:rsid w:val="00D24551"/>
    <w:rsid w:val="00D24DFE"/>
    <w:rsid w:val="00D24FE9"/>
    <w:rsid w:val="00D25061"/>
    <w:rsid w:val="00D251FE"/>
    <w:rsid w:val="00D25524"/>
    <w:rsid w:val="00D2585A"/>
    <w:rsid w:val="00D25C5C"/>
    <w:rsid w:val="00D25DF0"/>
    <w:rsid w:val="00D25EDD"/>
    <w:rsid w:val="00D25F0D"/>
    <w:rsid w:val="00D263B0"/>
    <w:rsid w:val="00D267E8"/>
    <w:rsid w:val="00D2686E"/>
    <w:rsid w:val="00D26A0C"/>
    <w:rsid w:val="00D26CBB"/>
    <w:rsid w:val="00D27217"/>
    <w:rsid w:val="00D27C06"/>
    <w:rsid w:val="00D30028"/>
    <w:rsid w:val="00D3017E"/>
    <w:rsid w:val="00D3038F"/>
    <w:rsid w:val="00D3059D"/>
    <w:rsid w:val="00D30864"/>
    <w:rsid w:val="00D30FB6"/>
    <w:rsid w:val="00D3104C"/>
    <w:rsid w:val="00D31169"/>
    <w:rsid w:val="00D313B8"/>
    <w:rsid w:val="00D31692"/>
    <w:rsid w:val="00D317F9"/>
    <w:rsid w:val="00D318E6"/>
    <w:rsid w:val="00D31E65"/>
    <w:rsid w:val="00D31F24"/>
    <w:rsid w:val="00D31FC3"/>
    <w:rsid w:val="00D321B5"/>
    <w:rsid w:val="00D32ED8"/>
    <w:rsid w:val="00D32FA4"/>
    <w:rsid w:val="00D3336F"/>
    <w:rsid w:val="00D333D0"/>
    <w:rsid w:val="00D33482"/>
    <w:rsid w:val="00D335E2"/>
    <w:rsid w:val="00D336B8"/>
    <w:rsid w:val="00D3397E"/>
    <w:rsid w:val="00D33AF8"/>
    <w:rsid w:val="00D33E69"/>
    <w:rsid w:val="00D34700"/>
    <w:rsid w:val="00D34AEA"/>
    <w:rsid w:val="00D34F09"/>
    <w:rsid w:val="00D352D2"/>
    <w:rsid w:val="00D35388"/>
    <w:rsid w:val="00D35570"/>
    <w:rsid w:val="00D35AC3"/>
    <w:rsid w:val="00D360B4"/>
    <w:rsid w:val="00D361F6"/>
    <w:rsid w:val="00D3623A"/>
    <w:rsid w:val="00D362AD"/>
    <w:rsid w:val="00D364DF"/>
    <w:rsid w:val="00D365D5"/>
    <w:rsid w:val="00D36991"/>
    <w:rsid w:val="00D36EDE"/>
    <w:rsid w:val="00D375F1"/>
    <w:rsid w:val="00D37D95"/>
    <w:rsid w:val="00D407E1"/>
    <w:rsid w:val="00D40F7A"/>
    <w:rsid w:val="00D412FE"/>
    <w:rsid w:val="00D413EF"/>
    <w:rsid w:val="00D4140C"/>
    <w:rsid w:val="00D416AB"/>
    <w:rsid w:val="00D4187A"/>
    <w:rsid w:val="00D41A12"/>
    <w:rsid w:val="00D420AA"/>
    <w:rsid w:val="00D4222B"/>
    <w:rsid w:val="00D42643"/>
    <w:rsid w:val="00D42782"/>
    <w:rsid w:val="00D42938"/>
    <w:rsid w:val="00D42A50"/>
    <w:rsid w:val="00D4339F"/>
    <w:rsid w:val="00D43607"/>
    <w:rsid w:val="00D43D53"/>
    <w:rsid w:val="00D43EC9"/>
    <w:rsid w:val="00D44224"/>
    <w:rsid w:val="00D4441F"/>
    <w:rsid w:val="00D4589C"/>
    <w:rsid w:val="00D45D5B"/>
    <w:rsid w:val="00D460EA"/>
    <w:rsid w:val="00D462F1"/>
    <w:rsid w:val="00D464AB"/>
    <w:rsid w:val="00D46F71"/>
    <w:rsid w:val="00D4716B"/>
    <w:rsid w:val="00D4738F"/>
    <w:rsid w:val="00D47A76"/>
    <w:rsid w:val="00D47C9A"/>
    <w:rsid w:val="00D508F7"/>
    <w:rsid w:val="00D50E12"/>
    <w:rsid w:val="00D50FE7"/>
    <w:rsid w:val="00D512A2"/>
    <w:rsid w:val="00D515BD"/>
    <w:rsid w:val="00D518B1"/>
    <w:rsid w:val="00D518DD"/>
    <w:rsid w:val="00D518FE"/>
    <w:rsid w:val="00D51A4E"/>
    <w:rsid w:val="00D51F45"/>
    <w:rsid w:val="00D5260B"/>
    <w:rsid w:val="00D52F0F"/>
    <w:rsid w:val="00D5323E"/>
    <w:rsid w:val="00D532AF"/>
    <w:rsid w:val="00D539FD"/>
    <w:rsid w:val="00D53E5C"/>
    <w:rsid w:val="00D54521"/>
    <w:rsid w:val="00D54A0A"/>
    <w:rsid w:val="00D54F26"/>
    <w:rsid w:val="00D54F97"/>
    <w:rsid w:val="00D5517B"/>
    <w:rsid w:val="00D55273"/>
    <w:rsid w:val="00D5532D"/>
    <w:rsid w:val="00D55628"/>
    <w:rsid w:val="00D55866"/>
    <w:rsid w:val="00D5612E"/>
    <w:rsid w:val="00D561A5"/>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308"/>
    <w:rsid w:val="00D659DD"/>
    <w:rsid w:val="00D65C9D"/>
    <w:rsid w:val="00D65CBB"/>
    <w:rsid w:val="00D65E18"/>
    <w:rsid w:val="00D662EA"/>
    <w:rsid w:val="00D66396"/>
    <w:rsid w:val="00D66A1A"/>
    <w:rsid w:val="00D66D81"/>
    <w:rsid w:val="00D66F9B"/>
    <w:rsid w:val="00D671F6"/>
    <w:rsid w:val="00D673B5"/>
    <w:rsid w:val="00D676D7"/>
    <w:rsid w:val="00D6781E"/>
    <w:rsid w:val="00D678DE"/>
    <w:rsid w:val="00D67E5F"/>
    <w:rsid w:val="00D67EF2"/>
    <w:rsid w:val="00D70293"/>
    <w:rsid w:val="00D7034C"/>
    <w:rsid w:val="00D70394"/>
    <w:rsid w:val="00D706BE"/>
    <w:rsid w:val="00D70CB4"/>
    <w:rsid w:val="00D711F0"/>
    <w:rsid w:val="00D715F4"/>
    <w:rsid w:val="00D71622"/>
    <w:rsid w:val="00D719B6"/>
    <w:rsid w:val="00D71F99"/>
    <w:rsid w:val="00D72339"/>
    <w:rsid w:val="00D7236B"/>
    <w:rsid w:val="00D728AD"/>
    <w:rsid w:val="00D729EF"/>
    <w:rsid w:val="00D72D44"/>
    <w:rsid w:val="00D72F0D"/>
    <w:rsid w:val="00D730CB"/>
    <w:rsid w:val="00D73807"/>
    <w:rsid w:val="00D73AA6"/>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64D"/>
    <w:rsid w:val="00D80668"/>
    <w:rsid w:val="00D80C08"/>
    <w:rsid w:val="00D80EDA"/>
    <w:rsid w:val="00D8124A"/>
    <w:rsid w:val="00D817AC"/>
    <w:rsid w:val="00D81B9C"/>
    <w:rsid w:val="00D821AF"/>
    <w:rsid w:val="00D8230D"/>
    <w:rsid w:val="00D82402"/>
    <w:rsid w:val="00D826A8"/>
    <w:rsid w:val="00D827A1"/>
    <w:rsid w:val="00D827A6"/>
    <w:rsid w:val="00D83733"/>
    <w:rsid w:val="00D83859"/>
    <w:rsid w:val="00D83905"/>
    <w:rsid w:val="00D83E27"/>
    <w:rsid w:val="00D8431F"/>
    <w:rsid w:val="00D84520"/>
    <w:rsid w:val="00D845B1"/>
    <w:rsid w:val="00D84735"/>
    <w:rsid w:val="00D848A0"/>
    <w:rsid w:val="00D849D9"/>
    <w:rsid w:val="00D84C2D"/>
    <w:rsid w:val="00D84E71"/>
    <w:rsid w:val="00D84E88"/>
    <w:rsid w:val="00D84EB6"/>
    <w:rsid w:val="00D852EB"/>
    <w:rsid w:val="00D85334"/>
    <w:rsid w:val="00D856C1"/>
    <w:rsid w:val="00D8575D"/>
    <w:rsid w:val="00D85D54"/>
    <w:rsid w:val="00D85EF7"/>
    <w:rsid w:val="00D86060"/>
    <w:rsid w:val="00D862DF"/>
    <w:rsid w:val="00D862EC"/>
    <w:rsid w:val="00D865A9"/>
    <w:rsid w:val="00D8697F"/>
    <w:rsid w:val="00D86A14"/>
    <w:rsid w:val="00D86B26"/>
    <w:rsid w:val="00D86D1E"/>
    <w:rsid w:val="00D87168"/>
    <w:rsid w:val="00D875A3"/>
    <w:rsid w:val="00D875C6"/>
    <w:rsid w:val="00D87BB4"/>
    <w:rsid w:val="00D8CDF3"/>
    <w:rsid w:val="00D902F1"/>
    <w:rsid w:val="00D907B5"/>
    <w:rsid w:val="00D908BD"/>
    <w:rsid w:val="00D90920"/>
    <w:rsid w:val="00D90A07"/>
    <w:rsid w:val="00D9111A"/>
    <w:rsid w:val="00D9145C"/>
    <w:rsid w:val="00D91858"/>
    <w:rsid w:val="00D922FC"/>
    <w:rsid w:val="00D925AC"/>
    <w:rsid w:val="00D92E2D"/>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63DB"/>
    <w:rsid w:val="00D96400"/>
    <w:rsid w:val="00D964F2"/>
    <w:rsid w:val="00D967E1"/>
    <w:rsid w:val="00D96E07"/>
    <w:rsid w:val="00D97301"/>
    <w:rsid w:val="00D97610"/>
    <w:rsid w:val="00D97841"/>
    <w:rsid w:val="00D97A9C"/>
    <w:rsid w:val="00D97CF5"/>
    <w:rsid w:val="00D97CFC"/>
    <w:rsid w:val="00DA03E9"/>
    <w:rsid w:val="00DA0B9B"/>
    <w:rsid w:val="00DA0C0B"/>
    <w:rsid w:val="00DA0F2B"/>
    <w:rsid w:val="00DA0F3C"/>
    <w:rsid w:val="00DA116C"/>
    <w:rsid w:val="00DA1487"/>
    <w:rsid w:val="00DA14C6"/>
    <w:rsid w:val="00DA19C3"/>
    <w:rsid w:val="00DA1DE9"/>
    <w:rsid w:val="00DA1FC7"/>
    <w:rsid w:val="00DA221F"/>
    <w:rsid w:val="00DA22BD"/>
    <w:rsid w:val="00DA2B00"/>
    <w:rsid w:val="00DA2C5B"/>
    <w:rsid w:val="00DA345A"/>
    <w:rsid w:val="00DA3C0D"/>
    <w:rsid w:val="00DA3D65"/>
    <w:rsid w:val="00DA3F93"/>
    <w:rsid w:val="00DA46B5"/>
    <w:rsid w:val="00DA4D28"/>
    <w:rsid w:val="00DA4FE7"/>
    <w:rsid w:val="00DA5483"/>
    <w:rsid w:val="00DA5542"/>
    <w:rsid w:val="00DA5715"/>
    <w:rsid w:val="00DA5A9B"/>
    <w:rsid w:val="00DA5C60"/>
    <w:rsid w:val="00DA5E32"/>
    <w:rsid w:val="00DA5F9B"/>
    <w:rsid w:val="00DA63A5"/>
    <w:rsid w:val="00DA6C28"/>
    <w:rsid w:val="00DA6DB3"/>
    <w:rsid w:val="00DA6EBE"/>
    <w:rsid w:val="00DA7198"/>
    <w:rsid w:val="00DA7443"/>
    <w:rsid w:val="00DA769F"/>
    <w:rsid w:val="00DA7F03"/>
    <w:rsid w:val="00DA7FCF"/>
    <w:rsid w:val="00DB03E1"/>
    <w:rsid w:val="00DB0859"/>
    <w:rsid w:val="00DB11D0"/>
    <w:rsid w:val="00DB1213"/>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CB3"/>
    <w:rsid w:val="00DB4D08"/>
    <w:rsid w:val="00DB5007"/>
    <w:rsid w:val="00DB5316"/>
    <w:rsid w:val="00DB56F5"/>
    <w:rsid w:val="00DB5B38"/>
    <w:rsid w:val="00DB5C4C"/>
    <w:rsid w:val="00DB6297"/>
    <w:rsid w:val="00DB65C9"/>
    <w:rsid w:val="00DB65DD"/>
    <w:rsid w:val="00DB6691"/>
    <w:rsid w:val="00DB7178"/>
    <w:rsid w:val="00DB75F4"/>
    <w:rsid w:val="00DC0356"/>
    <w:rsid w:val="00DC0564"/>
    <w:rsid w:val="00DC0C28"/>
    <w:rsid w:val="00DC0CA5"/>
    <w:rsid w:val="00DC0FB9"/>
    <w:rsid w:val="00DC138F"/>
    <w:rsid w:val="00DC155E"/>
    <w:rsid w:val="00DC15AC"/>
    <w:rsid w:val="00DC1DB7"/>
    <w:rsid w:val="00DC20B4"/>
    <w:rsid w:val="00DC22B2"/>
    <w:rsid w:val="00DC2309"/>
    <w:rsid w:val="00DC29E8"/>
    <w:rsid w:val="00DC343B"/>
    <w:rsid w:val="00DC35F2"/>
    <w:rsid w:val="00DC3954"/>
    <w:rsid w:val="00DC3C07"/>
    <w:rsid w:val="00DC3E4B"/>
    <w:rsid w:val="00DC41F0"/>
    <w:rsid w:val="00DC421F"/>
    <w:rsid w:val="00DC4256"/>
    <w:rsid w:val="00DC48BA"/>
    <w:rsid w:val="00DC4ACB"/>
    <w:rsid w:val="00DC51C1"/>
    <w:rsid w:val="00DC521E"/>
    <w:rsid w:val="00DC5580"/>
    <w:rsid w:val="00DC5F44"/>
    <w:rsid w:val="00DC61E7"/>
    <w:rsid w:val="00DC6272"/>
    <w:rsid w:val="00DC63D4"/>
    <w:rsid w:val="00DC6C52"/>
    <w:rsid w:val="00DC710E"/>
    <w:rsid w:val="00DC7270"/>
    <w:rsid w:val="00DC7357"/>
    <w:rsid w:val="00DC793C"/>
    <w:rsid w:val="00DC7AA1"/>
    <w:rsid w:val="00DC7F0B"/>
    <w:rsid w:val="00DD03E0"/>
    <w:rsid w:val="00DD0ACA"/>
    <w:rsid w:val="00DD11CE"/>
    <w:rsid w:val="00DD13CC"/>
    <w:rsid w:val="00DD1510"/>
    <w:rsid w:val="00DD1782"/>
    <w:rsid w:val="00DD1783"/>
    <w:rsid w:val="00DD1D89"/>
    <w:rsid w:val="00DD1E57"/>
    <w:rsid w:val="00DD238D"/>
    <w:rsid w:val="00DD25D9"/>
    <w:rsid w:val="00DD265A"/>
    <w:rsid w:val="00DD28FC"/>
    <w:rsid w:val="00DD303A"/>
    <w:rsid w:val="00DD34B3"/>
    <w:rsid w:val="00DD35CB"/>
    <w:rsid w:val="00DD387F"/>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DCF"/>
    <w:rsid w:val="00DD6ECC"/>
    <w:rsid w:val="00DD7066"/>
    <w:rsid w:val="00DD714C"/>
    <w:rsid w:val="00DD77F2"/>
    <w:rsid w:val="00DD7A0F"/>
    <w:rsid w:val="00DD7B8C"/>
    <w:rsid w:val="00DD7C7B"/>
    <w:rsid w:val="00DE015C"/>
    <w:rsid w:val="00DE04AF"/>
    <w:rsid w:val="00DE0F2F"/>
    <w:rsid w:val="00DE12F9"/>
    <w:rsid w:val="00DE1AD6"/>
    <w:rsid w:val="00DE1C73"/>
    <w:rsid w:val="00DE250C"/>
    <w:rsid w:val="00DE258E"/>
    <w:rsid w:val="00DE2608"/>
    <w:rsid w:val="00DE2950"/>
    <w:rsid w:val="00DE2A34"/>
    <w:rsid w:val="00DE2E8B"/>
    <w:rsid w:val="00DE301F"/>
    <w:rsid w:val="00DE37CE"/>
    <w:rsid w:val="00DE3980"/>
    <w:rsid w:val="00DE3CBB"/>
    <w:rsid w:val="00DE3D44"/>
    <w:rsid w:val="00DE3E92"/>
    <w:rsid w:val="00DE3EBE"/>
    <w:rsid w:val="00DE3FD9"/>
    <w:rsid w:val="00DE429B"/>
    <w:rsid w:val="00DE43DF"/>
    <w:rsid w:val="00DE4566"/>
    <w:rsid w:val="00DE481D"/>
    <w:rsid w:val="00DE4F13"/>
    <w:rsid w:val="00DE5192"/>
    <w:rsid w:val="00DE5234"/>
    <w:rsid w:val="00DE55D8"/>
    <w:rsid w:val="00DE5635"/>
    <w:rsid w:val="00DE5661"/>
    <w:rsid w:val="00DE5D47"/>
    <w:rsid w:val="00DE5E5B"/>
    <w:rsid w:val="00DE5FAD"/>
    <w:rsid w:val="00DE604C"/>
    <w:rsid w:val="00DE64BB"/>
    <w:rsid w:val="00DE6699"/>
    <w:rsid w:val="00DE6754"/>
    <w:rsid w:val="00DE7020"/>
    <w:rsid w:val="00DE77DC"/>
    <w:rsid w:val="00DE7A97"/>
    <w:rsid w:val="00DE7FA3"/>
    <w:rsid w:val="00DF0249"/>
    <w:rsid w:val="00DF02FC"/>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3E3"/>
    <w:rsid w:val="00DF2DC9"/>
    <w:rsid w:val="00DF2E45"/>
    <w:rsid w:val="00DF31A8"/>
    <w:rsid w:val="00DF3220"/>
    <w:rsid w:val="00DF33CB"/>
    <w:rsid w:val="00DF3774"/>
    <w:rsid w:val="00DF3971"/>
    <w:rsid w:val="00DF4015"/>
    <w:rsid w:val="00DF4179"/>
    <w:rsid w:val="00DF435B"/>
    <w:rsid w:val="00DF450E"/>
    <w:rsid w:val="00DF4967"/>
    <w:rsid w:val="00DF55CE"/>
    <w:rsid w:val="00DF5F76"/>
    <w:rsid w:val="00DF62B8"/>
    <w:rsid w:val="00DF62EA"/>
    <w:rsid w:val="00DF66DC"/>
    <w:rsid w:val="00DF6911"/>
    <w:rsid w:val="00DF6E70"/>
    <w:rsid w:val="00DF7821"/>
    <w:rsid w:val="00DF7AEF"/>
    <w:rsid w:val="00DF7D84"/>
    <w:rsid w:val="00E001CE"/>
    <w:rsid w:val="00E00837"/>
    <w:rsid w:val="00E012E9"/>
    <w:rsid w:val="00E01663"/>
    <w:rsid w:val="00E017A8"/>
    <w:rsid w:val="00E017D0"/>
    <w:rsid w:val="00E01D45"/>
    <w:rsid w:val="00E02316"/>
    <w:rsid w:val="00E027EA"/>
    <w:rsid w:val="00E02DA9"/>
    <w:rsid w:val="00E0303F"/>
    <w:rsid w:val="00E034D1"/>
    <w:rsid w:val="00E04008"/>
    <w:rsid w:val="00E0423C"/>
    <w:rsid w:val="00E05108"/>
    <w:rsid w:val="00E05143"/>
    <w:rsid w:val="00E051E5"/>
    <w:rsid w:val="00E05252"/>
    <w:rsid w:val="00E052EB"/>
    <w:rsid w:val="00E05500"/>
    <w:rsid w:val="00E05873"/>
    <w:rsid w:val="00E06154"/>
    <w:rsid w:val="00E065AC"/>
    <w:rsid w:val="00E06B2B"/>
    <w:rsid w:val="00E06BC1"/>
    <w:rsid w:val="00E06F85"/>
    <w:rsid w:val="00E07075"/>
    <w:rsid w:val="00E07959"/>
    <w:rsid w:val="00E07B77"/>
    <w:rsid w:val="00E07C0C"/>
    <w:rsid w:val="00E07F78"/>
    <w:rsid w:val="00E102FC"/>
    <w:rsid w:val="00E109CC"/>
    <w:rsid w:val="00E10DA6"/>
    <w:rsid w:val="00E1115D"/>
    <w:rsid w:val="00E11CEE"/>
    <w:rsid w:val="00E11DA7"/>
    <w:rsid w:val="00E11F08"/>
    <w:rsid w:val="00E11F35"/>
    <w:rsid w:val="00E11FC2"/>
    <w:rsid w:val="00E12029"/>
    <w:rsid w:val="00E120D4"/>
    <w:rsid w:val="00E122AB"/>
    <w:rsid w:val="00E122D4"/>
    <w:rsid w:val="00E1287D"/>
    <w:rsid w:val="00E1295F"/>
    <w:rsid w:val="00E129C6"/>
    <w:rsid w:val="00E131D1"/>
    <w:rsid w:val="00E133B4"/>
    <w:rsid w:val="00E136DD"/>
    <w:rsid w:val="00E138DD"/>
    <w:rsid w:val="00E1470A"/>
    <w:rsid w:val="00E14C49"/>
    <w:rsid w:val="00E14CBB"/>
    <w:rsid w:val="00E1524E"/>
    <w:rsid w:val="00E15364"/>
    <w:rsid w:val="00E1538C"/>
    <w:rsid w:val="00E15AF7"/>
    <w:rsid w:val="00E15BEB"/>
    <w:rsid w:val="00E15C95"/>
    <w:rsid w:val="00E162A9"/>
    <w:rsid w:val="00E16547"/>
    <w:rsid w:val="00E165BE"/>
    <w:rsid w:val="00E176AD"/>
    <w:rsid w:val="00E17701"/>
    <w:rsid w:val="00E17BB4"/>
    <w:rsid w:val="00E17E2C"/>
    <w:rsid w:val="00E17FBE"/>
    <w:rsid w:val="00E20013"/>
    <w:rsid w:val="00E2001F"/>
    <w:rsid w:val="00E20369"/>
    <w:rsid w:val="00E20438"/>
    <w:rsid w:val="00E20BF7"/>
    <w:rsid w:val="00E21265"/>
    <w:rsid w:val="00E21399"/>
    <w:rsid w:val="00E21560"/>
    <w:rsid w:val="00E21676"/>
    <w:rsid w:val="00E21B1C"/>
    <w:rsid w:val="00E22510"/>
    <w:rsid w:val="00E22751"/>
    <w:rsid w:val="00E229A8"/>
    <w:rsid w:val="00E22C70"/>
    <w:rsid w:val="00E23271"/>
    <w:rsid w:val="00E23416"/>
    <w:rsid w:val="00E2356B"/>
    <w:rsid w:val="00E2359E"/>
    <w:rsid w:val="00E237DC"/>
    <w:rsid w:val="00E23EBF"/>
    <w:rsid w:val="00E23EF8"/>
    <w:rsid w:val="00E23F3F"/>
    <w:rsid w:val="00E240D9"/>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C7"/>
    <w:rsid w:val="00E26053"/>
    <w:rsid w:val="00E26154"/>
    <w:rsid w:val="00E261A0"/>
    <w:rsid w:val="00E262C9"/>
    <w:rsid w:val="00E2631C"/>
    <w:rsid w:val="00E263B8"/>
    <w:rsid w:val="00E26A3E"/>
    <w:rsid w:val="00E26C9F"/>
    <w:rsid w:val="00E26DD0"/>
    <w:rsid w:val="00E27171"/>
    <w:rsid w:val="00E27785"/>
    <w:rsid w:val="00E27B2B"/>
    <w:rsid w:val="00E27E03"/>
    <w:rsid w:val="00E30259"/>
    <w:rsid w:val="00E306F2"/>
    <w:rsid w:val="00E309E8"/>
    <w:rsid w:val="00E31611"/>
    <w:rsid w:val="00E31761"/>
    <w:rsid w:val="00E31825"/>
    <w:rsid w:val="00E318C0"/>
    <w:rsid w:val="00E31D44"/>
    <w:rsid w:val="00E320A4"/>
    <w:rsid w:val="00E32377"/>
    <w:rsid w:val="00E323DB"/>
    <w:rsid w:val="00E324CD"/>
    <w:rsid w:val="00E329F0"/>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655"/>
    <w:rsid w:val="00E378DB"/>
    <w:rsid w:val="00E37B0D"/>
    <w:rsid w:val="00E3A7F4"/>
    <w:rsid w:val="00E4160E"/>
    <w:rsid w:val="00E41D55"/>
    <w:rsid w:val="00E41E7F"/>
    <w:rsid w:val="00E41F02"/>
    <w:rsid w:val="00E41F7E"/>
    <w:rsid w:val="00E42162"/>
    <w:rsid w:val="00E422AD"/>
    <w:rsid w:val="00E424FA"/>
    <w:rsid w:val="00E42CCC"/>
    <w:rsid w:val="00E4331B"/>
    <w:rsid w:val="00E4338E"/>
    <w:rsid w:val="00E436B7"/>
    <w:rsid w:val="00E43BDC"/>
    <w:rsid w:val="00E43CBC"/>
    <w:rsid w:val="00E43D8D"/>
    <w:rsid w:val="00E43EC1"/>
    <w:rsid w:val="00E444BA"/>
    <w:rsid w:val="00E4463D"/>
    <w:rsid w:val="00E448F8"/>
    <w:rsid w:val="00E44EE4"/>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72D"/>
    <w:rsid w:val="00E509F5"/>
    <w:rsid w:val="00E51515"/>
    <w:rsid w:val="00E5173A"/>
    <w:rsid w:val="00E51DE0"/>
    <w:rsid w:val="00E5205C"/>
    <w:rsid w:val="00E52074"/>
    <w:rsid w:val="00E52317"/>
    <w:rsid w:val="00E52499"/>
    <w:rsid w:val="00E52664"/>
    <w:rsid w:val="00E5297D"/>
    <w:rsid w:val="00E52A63"/>
    <w:rsid w:val="00E53483"/>
    <w:rsid w:val="00E534D4"/>
    <w:rsid w:val="00E53728"/>
    <w:rsid w:val="00E53748"/>
    <w:rsid w:val="00E53775"/>
    <w:rsid w:val="00E53878"/>
    <w:rsid w:val="00E538AF"/>
    <w:rsid w:val="00E53945"/>
    <w:rsid w:val="00E54033"/>
    <w:rsid w:val="00E54535"/>
    <w:rsid w:val="00E54681"/>
    <w:rsid w:val="00E55059"/>
    <w:rsid w:val="00E55204"/>
    <w:rsid w:val="00E55632"/>
    <w:rsid w:val="00E557EB"/>
    <w:rsid w:val="00E55CD8"/>
    <w:rsid w:val="00E55E87"/>
    <w:rsid w:val="00E55EAD"/>
    <w:rsid w:val="00E55F87"/>
    <w:rsid w:val="00E55FD3"/>
    <w:rsid w:val="00E56266"/>
    <w:rsid w:val="00E5639D"/>
    <w:rsid w:val="00E56825"/>
    <w:rsid w:val="00E56921"/>
    <w:rsid w:val="00E569DF"/>
    <w:rsid w:val="00E56B2E"/>
    <w:rsid w:val="00E56C65"/>
    <w:rsid w:val="00E56C8F"/>
    <w:rsid w:val="00E56CE5"/>
    <w:rsid w:val="00E56F5C"/>
    <w:rsid w:val="00E56F9D"/>
    <w:rsid w:val="00E5704F"/>
    <w:rsid w:val="00E57784"/>
    <w:rsid w:val="00E57AAE"/>
    <w:rsid w:val="00E57BC0"/>
    <w:rsid w:val="00E6001E"/>
    <w:rsid w:val="00E60061"/>
    <w:rsid w:val="00E605DC"/>
    <w:rsid w:val="00E60CB8"/>
    <w:rsid w:val="00E60DFC"/>
    <w:rsid w:val="00E60FE3"/>
    <w:rsid w:val="00E61673"/>
    <w:rsid w:val="00E61917"/>
    <w:rsid w:val="00E621C3"/>
    <w:rsid w:val="00E629DF"/>
    <w:rsid w:val="00E62EFB"/>
    <w:rsid w:val="00E6309A"/>
    <w:rsid w:val="00E6325D"/>
    <w:rsid w:val="00E634B4"/>
    <w:rsid w:val="00E635DE"/>
    <w:rsid w:val="00E635F5"/>
    <w:rsid w:val="00E63620"/>
    <w:rsid w:val="00E63951"/>
    <w:rsid w:val="00E63F17"/>
    <w:rsid w:val="00E63F22"/>
    <w:rsid w:val="00E643D5"/>
    <w:rsid w:val="00E64780"/>
    <w:rsid w:val="00E64D7E"/>
    <w:rsid w:val="00E64E18"/>
    <w:rsid w:val="00E64F19"/>
    <w:rsid w:val="00E64F6D"/>
    <w:rsid w:val="00E65300"/>
    <w:rsid w:val="00E6546B"/>
    <w:rsid w:val="00E6610E"/>
    <w:rsid w:val="00E661B0"/>
    <w:rsid w:val="00E66636"/>
    <w:rsid w:val="00E66BB7"/>
    <w:rsid w:val="00E66C2E"/>
    <w:rsid w:val="00E66D32"/>
    <w:rsid w:val="00E66F6E"/>
    <w:rsid w:val="00E677D2"/>
    <w:rsid w:val="00E704F2"/>
    <w:rsid w:val="00E7067A"/>
    <w:rsid w:val="00E70E72"/>
    <w:rsid w:val="00E71188"/>
    <w:rsid w:val="00E713F3"/>
    <w:rsid w:val="00E71467"/>
    <w:rsid w:val="00E71749"/>
    <w:rsid w:val="00E717C6"/>
    <w:rsid w:val="00E71D9B"/>
    <w:rsid w:val="00E72011"/>
    <w:rsid w:val="00E722A5"/>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53A"/>
    <w:rsid w:val="00E76A3D"/>
    <w:rsid w:val="00E76FF2"/>
    <w:rsid w:val="00E774D0"/>
    <w:rsid w:val="00E77506"/>
    <w:rsid w:val="00E77565"/>
    <w:rsid w:val="00E77821"/>
    <w:rsid w:val="00E778AA"/>
    <w:rsid w:val="00E77A2D"/>
    <w:rsid w:val="00E77ADB"/>
    <w:rsid w:val="00E77C0A"/>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148"/>
    <w:rsid w:val="00E837C6"/>
    <w:rsid w:val="00E846A4"/>
    <w:rsid w:val="00E848A4"/>
    <w:rsid w:val="00E84C6E"/>
    <w:rsid w:val="00E857FB"/>
    <w:rsid w:val="00E85D82"/>
    <w:rsid w:val="00E8609E"/>
    <w:rsid w:val="00E86217"/>
    <w:rsid w:val="00E866F8"/>
    <w:rsid w:val="00E8682A"/>
    <w:rsid w:val="00E86B5D"/>
    <w:rsid w:val="00E87106"/>
    <w:rsid w:val="00E87946"/>
    <w:rsid w:val="00E879EE"/>
    <w:rsid w:val="00E908DF"/>
    <w:rsid w:val="00E90918"/>
    <w:rsid w:val="00E9095D"/>
    <w:rsid w:val="00E90D51"/>
    <w:rsid w:val="00E90FAF"/>
    <w:rsid w:val="00E910F8"/>
    <w:rsid w:val="00E912A9"/>
    <w:rsid w:val="00E916ED"/>
    <w:rsid w:val="00E9179B"/>
    <w:rsid w:val="00E91B4B"/>
    <w:rsid w:val="00E91C07"/>
    <w:rsid w:val="00E91F27"/>
    <w:rsid w:val="00E923A1"/>
    <w:rsid w:val="00E924B4"/>
    <w:rsid w:val="00E9250F"/>
    <w:rsid w:val="00E933CC"/>
    <w:rsid w:val="00E934E1"/>
    <w:rsid w:val="00E938C0"/>
    <w:rsid w:val="00E93B73"/>
    <w:rsid w:val="00E93CDE"/>
    <w:rsid w:val="00E93D0D"/>
    <w:rsid w:val="00E94244"/>
    <w:rsid w:val="00E9464A"/>
    <w:rsid w:val="00E94CE0"/>
    <w:rsid w:val="00E9516E"/>
    <w:rsid w:val="00E9595D"/>
    <w:rsid w:val="00E95D8A"/>
    <w:rsid w:val="00E95E4A"/>
    <w:rsid w:val="00E96E15"/>
    <w:rsid w:val="00E97460"/>
    <w:rsid w:val="00E97E73"/>
    <w:rsid w:val="00EA032C"/>
    <w:rsid w:val="00EA05E8"/>
    <w:rsid w:val="00EA0ED9"/>
    <w:rsid w:val="00EA1327"/>
    <w:rsid w:val="00EA141E"/>
    <w:rsid w:val="00EA18A6"/>
    <w:rsid w:val="00EA1E04"/>
    <w:rsid w:val="00EA215D"/>
    <w:rsid w:val="00EA229C"/>
    <w:rsid w:val="00EA3D88"/>
    <w:rsid w:val="00EA3E5A"/>
    <w:rsid w:val="00EA3E77"/>
    <w:rsid w:val="00EA4466"/>
    <w:rsid w:val="00EA45C0"/>
    <w:rsid w:val="00EA45D9"/>
    <w:rsid w:val="00EA4A87"/>
    <w:rsid w:val="00EA5143"/>
    <w:rsid w:val="00EA5484"/>
    <w:rsid w:val="00EA567F"/>
    <w:rsid w:val="00EA569E"/>
    <w:rsid w:val="00EA59FE"/>
    <w:rsid w:val="00EA5A89"/>
    <w:rsid w:val="00EA5BCB"/>
    <w:rsid w:val="00EA5D6B"/>
    <w:rsid w:val="00EA5F57"/>
    <w:rsid w:val="00EA606F"/>
    <w:rsid w:val="00EA6606"/>
    <w:rsid w:val="00EA6C78"/>
    <w:rsid w:val="00EA6D9F"/>
    <w:rsid w:val="00EA6DEC"/>
    <w:rsid w:val="00EA7225"/>
    <w:rsid w:val="00EA74A1"/>
    <w:rsid w:val="00EA76C8"/>
    <w:rsid w:val="00EA7B92"/>
    <w:rsid w:val="00EA7C68"/>
    <w:rsid w:val="00EA7EE0"/>
    <w:rsid w:val="00EB0952"/>
    <w:rsid w:val="00EB09B5"/>
    <w:rsid w:val="00EB0C4F"/>
    <w:rsid w:val="00EB185A"/>
    <w:rsid w:val="00EB1B91"/>
    <w:rsid w:val="00EB1CF4"/>
    <w:rsid w:val="00EB1E6E"/>
    <w:rsid w:val="00EB1E7C"/>
    <w:rsid w:val="00EB1F57"/>
    <w:rsid w:val="00EB21E4"/>
    <w:rsid w:val="00EB2408"/>
    <w:rsid w:val="00EB27E1"/>
    <w:rsid w:val="00EB2960"/>
    <w:rsid w:val="00EB2A99"/>
    <w:rsid w:val="00EB2F68"/>
    <w:rsid w:val="00EB376B"/>
    <w:rsid w:val="00EB3E57"/>
    <w:rsid w:val="00EB4216"/>
    <w:rsid w:val="00EB42A0"/>
    <w:rsid w:val="00EB4501"/>
    <w:rsid w:val="00EB49A4"/>
    <w:rsid w:val="00EB53EA"/>
    <w:rsid w:val="00EB5B7A"/>
    <w:rsid w:val="00EB5D79"/>
    <w:rsid w:val="00EB5DB5"/>
    <w:rsid w:val="00EB5DC3"/>
    <w:rsid w:val="00EB6385"/>
    <w:rsid w:val="00EB63B0"/>
    <w:rsid w:val="00EB6771"/>
    <w:rsid w:val="00EB6B49"/>
    <w:rsid w:val="00EB6B8B"/>
    <w:rsid w:val="00EB6C81"/>
    <w:rsid w:val="00EB6D42"/>
    <w:rsid w:val="00EB70E1"/>
    <w:rsid w:val="00EB7753"/>
    <w:rsid w:val="00EC0237"/>
    <w:rsid w:val="00EC0A35"/>
    <w:rsid w:val="00EC0A94"/>
    <w:rsid w:val="00EC0EC1"/>
    <w:rsid w:val="00EC0F55"/>
    <w:rsid w:val="00EC1B55"/>
    <w:rsid w:val="00EC1B56"/>
    <w:rsid w:val="00EC2096"/>
    <w:rsid w:val="00EC2564"/>
    <w:rsid w:val="00EC265F"/>
    <w:rsid w:val="00EC2BA5"/>
    <w:rsid w:val="00EC2E8C"/>
    <w:rsid w:val="00EC2F35"/>
    <w:rsid w:val="00EC326D"/>
    <w:rsid w:val="00EC3C2A"/>
    <w:rsid w:val="00EC4665"/>
    <w:rsid w:val="00EC5301"/>
    <w:rsid w:val="00EC5594"/>
    <w:rsid w:val="00EC5949"/>
    <w:rsid w:val="00EC5D49"/>
    <w:rsid w:val="00EC6587"/>
    <w:rsid w:val="00EC6F66"/>
    <w:rsid w:val="00EC7001"/>
    <w:rsid w:val="00EC7072"/>
    <w:rsid w:val="00EC76E9"/>
    <w:rsid w:val="00EC78D1"/>
    <w:rsid w:val="00EC7B61"/>
    <w:rsid w:val="00EC7F36"/>
    <w:rsid w:val="00EC7FC3"/>
    <w:rsid w:val="00ED00CB"/>
    <w:rsid w:val="00ED056C"/>
    <w:rsid w:val="00ED07E1"/>
    <w:rsid w:val="00ED0B82"/>
    <w:rsid w:val="00ED0DE8"/>
    <w:rsid w:val="00ED0E66"/>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5249"/>
    <w:rsid w:val="00ED5440"/>
    <w:rsid w:val="00ED5694"/>
    <w:rsid w:val="00ED56A6"/>
    <w:rsid w:val="00ED6A0E"/>
    <w:rsid w:val="00ED6C11"/>
    <w:rsid w:val="00ED72EE"/>
    <w:rsid w:val="00ED7570"/>
    <w:rsid w:val="00ED78D3"/>
    <w:rsid w:val="00ED7CB7"/>
    <w:rsid w:val="00ED7F83"/>
    <w:rsid w:val="00EDFFD8"/>
    <w:rsid w:val="00EE0249"/>
    <w:rsid w:val="00EE028C"/>
    <w:rsid w:val="00EE0E16"/>
    <w:rsid w:val="00EE0E7A"/>
    <w:rsid w:val="00EE1426"/>
    <w:rsid w:val="00EE14E6"/>
    <w:rsid w:val="00EE23BE"/>
    <w:rsid w:val="00EE255C"/>
    <w:rsid w:val="00EE2618"/>
    <w:rsid w:val="00EE2C8D"/>
    <w:rsid w:val="00EE34B4"/>
    <w:rsid w:val="00EE3630"/>
    <w:rsid w:val="00EE384E"/>
    <w:rsid w:val="00EE3B7D"/>
    <w:rsid w:val="00EE4434"/>
    <w:rsid w:val="00EE4832"/>
    <w:rsid w:val="00EE4903"/>
    <w:rsid w:val="00EE4F10"/>
    <w:rsid w:val="00EE5086"/>
    <w:rsid w:val="00EE543C"/>
    <w:rsid w:val="00EE566C"/>
    <w:rsid w:val="00EE5EB9"/>
    <w:rsid w:val="00EE63AC"/>
    <w:rsid w:val="00EE676A"/>
    <w:rsid w:val="00EE6A14"/>
    <w:rsid w:val="00EE7283"/>
    <w:rsid w:val="00EE7506"/>
    <w:rsid w:val="00EE7C70"/>
    <w:rsid w:val="00EF0074"/>
    <w:rsid w:val="00EF0081"/>
    <w:rsid w:val="00EF02FD"/>
    <w:rsid w:val="00EF0373"/>
    <w:rsid w:val="00EF0E8D"/>
    <w:rsid w:val="00EF0F7A"/>
    <w:rsid w:val="00EF118B"/>
    <w:rsid w:val="00EF181E"/>
    <w:rsid w:val="00EF1E63"/>
    <w:rsid w:val="00EF2075"/>
    <w:rsid w:val="00EF214A"/>
    <w:rsid w:val="00EF22F7"/>
    <w:rsid w:val="00EF2388"/>
    <w:rsid w:val="00EF249D"/>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B68"/>
    <w:rsid w:val="00EF61B3"/>
    <w:rsid w:val="00EF6336"/>
    <w:rsid w:val="00EF63A8"/>
    <w:rsid w:val="00EF6592"/>
    <w:rsid w:val="00EF6BF5"/>
    <w:rsid w:val="00EF6C7C"/>
    <w:rsid w:val="00EF6E1F"/>
    <w:rsid w:val="00EF6F67"/>
    <w:rsid w:val="00EF6FE2"/>
    <w:rsid w:val="00EF76DA"/>
    <w:rsid w:val="00F005FC"/>
    <w:rsid w:val="00F006FC"/>
    <w:rsid w:val="00F00791"/>
    <w:rsid w:val="00F007E1"/>
    <w:rsid w:val="00F01359"/>
    <w:rsid w:val="00F013BF"/>
    <w:rsid w:val="00F01C1D"/>
    <w:rsid w:val="00F01D97"/>
    <w:rsid w:val="00F01E93"/>
    <w:rsid w:val="00F0204B"/>
    <w:rsid w:val="00F0213D"/>
    <w:rsid w:val="00F022FF"/>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5212"/>
    <w:rsid w:val="00F05472"/>
    <w:rsid w:val="00F0551A"/>
    <w:rsid w:val="00F058F5"/>
    <w:rsid w:val="00F05AB6"/>
    <w:rsid w:val="00F05C22"/>
    <w:rsid w:val="00F06198"/>
    <w:rsid w:val="00F06204"/>
    <w:rsid w:val="00F06373"/>
    <w:rsid w:val="00F063E7"/>
    <w:rsid w:val="00F066F0"/>
    <w:rsid w:val="00F06A83"/>
    <w:rsid w:val="00F06BF9"/>
    <w:rsid w:val="00F06E60"/>
    <w:rsid w:val="00F06E95"/>
    <w:rsid w:val="00F06FF0"/>
    <w:rsid w:val="00F070EC"/>
    <w:rsid w:val="00F0779A"/>
    <w:rsid w:val="00F07B91"/>
    <w:rsid w:val="00F07E15"/>
    <w:rsid w:val="00F10130"/>
    <w:rsid w:val="00F10507"/>
    <w:rsid w:val="00F10A03"/>
    <w:rsid w:val="00F10DB6"/>
    <w:rsid w:val="00F10EAB"/>
    <w:rsid w:val="00F10EFD"/>
    <w:rsid w:val="00F11163"/>
    <w:rsid w:val="00F111CD"/>
    <w:rsid w:val="00F112C8"/>
    <w:rsid w:val="00F112CB"/>
    <w:rsid w:val="00F1142A"/>
    <w:rsid w:val="00F116A0"/>
    <w:rsid w:val="00F1271D"/>
    <w:rsid w:val="00F127DC"/>
    <w:rsid w:val="00F12D7D"/>
    <w:rsid w:val="00F12E61"/>
    <w:rsid w:val="00F12FC9"/>
    <w:rsid w:val="00F13259"/>
    <w:rsid w:val="00F1331A"/>
    <w:rsid w:val="00F13B82"/>
    <w:rsid w:val="00F13DBD"/>
    <w:rsid w:val="00F141B2"/>
    <w:rsid w:val="00F1490C"/>
    <w:rsid w:val="00F14C2A"/>
    <w:rsid w:val="00F15362"/>
    <w:rsid w:val="00F154AD"/>
    <w:rsid w:val="00F1622D"/>
    <w:rsid w:val="00F16386"/>
    <w:rsid w:val="00F163A4"/>
    <w:rsid w:val="00F16547"/>
    <w:rsid w:val="00F16715"/>
    <w:rsid w:val="00F16B4F"/>
    <w:rsid w:val="00F16C52"/>
    <w:rsid w:val="00F17476"/>
    <w:rsid w:val="00F176BC"/>
    <w:rsid w:val="00F17DD3"/>
    <w:rsid w:val="00F20097"/>
    <w:rsid w:val="00F203B5"/>
    <w:rsid w:val="00F20931"/>
    <w:rsid w:val="00F20A04"/>
    <w:rsid w:val="00F20C99"/>
    <w:rsid w:val="00F20EB2"/>
    <w:rsid w:val="00F20F01"/>
    <w:rsid w:val="00F21376"/>
    <w:rsid w:val="00F217FF"/>
    <w:rsid w:val="00F21838"/>
    <w:rsid w:val="00F2185A"/>
    <w:rsid w:val="00F21945"/>
    <w:rsid w:val="00F2246B"/>
    <w:rsid w:val="00F22765"/>
    <w:rsid w:val="00F22A7E"/>
    <w:rsid w:val="00F22ED1"/>
    <w:rsid w:val="00F23207"/>
    <w:rsid w:val="00F233E2"/>
    <w:rsid w:val="00F233EC"/>
    <w:rsid w:val="00F23747"/>
    <w:rsid w:val="00F2377E"/>
    <w:rsid w:val="00F237FD"/>
    <w:rsid w:val="00F23D7E"/>
    <w:rsid w:val="00F23FE7"/>
    <w:rsid w:val="00F24037"/>
    <w:rsid w:val="00F249E8"/>
    <w:rsid w:val="00F25B43"/>
    <w:rsid w:val="00F2621D"/>
    <w:rsid w:val="00F26244"/>
    <w:rsid w:val="00F26839"/>
    <w:rsid w:val="00F27119"/>
    <w:rsid w:val="00F271E4"/>
    <w:rsid w:val="00F2774A"/>
    <w:rsid w:val="00F278E5"/>
    <w:rsid w:val="00F27A1E"/>
    <w:rsid w:val="00F27AC5"/>
    <w:rsid w:val="00F3026E"/>
    <w:rsid w:val="00F30391"/>
    <w:rsid w:val="00F3059A"/>
    <w:rsid w:val="00F30F46"/>
    <w:rsid w:val="00F311CF"/>
    <w:rsid w:val="00F31851"/>
    <w:rsid w:val="00F319CE"/>
    <w:rsid w:val="00F31B22"/>
    <w:rsid w:val="00F31FD3"/>
    <w:rsid w:val="00F32325"/>
    <w:rsid w:val="00F328F4"/>
    <w:rsid w:val="00F3331B"/>
    <w:rsid w:val="00F33353"/>
    <w:rsid w:val="00F333EB"/>
    <w:rsid w:val="00F338DA"/>
    <w:rsid w:val="00F34144"/>
    <w:rsid w:val="00F34D0F"/>
    <w:rsid w:val="00F34F71"/>
    <w:rsid w:val="00F353D5"/>
    <w:rsid w:val="00F35402"/>
    <w:rsid w:val="00F3595C"/>
    <w:rsid w:val="00F35EEB"/>
    <w:rsid w:val="00F362AA"/>
    <w:rsid w:val="00F3683B"/>
    <w:rsid w:val="00F36A85"/>
    <w:rsid w:val="00F36AF8"/>
    <w:rsid w:val="00F36C3C"/>
    <w:rsid w:val="00F36E93"/>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C1B"/>
    <w:rsid w:val="00F41D14"/>
    <w:rsid w:val="00F423A7"/>
    <w:rsid w:val="00F4246C"/>
    <w:rsid w:val="00F42CD8"/>
    <w:rsid w:val="00F42DC2"/>
    <w:rsid w:val="00F42E0C"/>
    <w:rsid w:val="00F433D3"/>
    <w:rsid w:val="00F43639"/>
    <w:rsid w:val="00F436BF"/>
    <w:rsid w:val="00F43BAA"/>
    <w:rsid w:val="00F43E89"/>
    <w:rsid w:val="00F440EB"/>
    <w:rsid w:val="00F44195"/>
    <w:rsid w:val="00F44B47"/>
    <w:rsid w:val="00F44F8F"/>
    <w:rsid w:val="00F455BD"/>
    <w:rsid w:val="00F45F43"/>
    <w:rsid w:val="00F466C9"/>
    <w:rsid w:val="00F46E3C"/>
    <w:rsid w:val="00F46FA4"/>
    <w:rsid w:val="00F474DF"/>
    <w:rsid w:val="00F47652"/>
    <w:rsid w:val="00F47D44"/>
    <w:rsid w:val="00F47FBB"/>
    <w:rsid w:val="00F500FD"/>
    <w:rsid w:val="00F5043C"/>
    <w:rsid w:val="00F50881"/>
    <w:rsid w:val="00F5093A"/>
    <w:rsid w:val="00F50A12"/>
    <w:rsid w:val="00F50A7C"/>
    <w:rsid w:val="00F50C5B"/>
    <w:rsid w:val="00F50CC7"/>
    <w:rsid w:val="00F50F94"/>
    <w:rsid w:val="00F51706"/>
    <w:rsid w:val="00F51FCD"/>
    <w:rsid w:val="00F520DB"/>
    <w:rsid w:val="00F5227B"/>
    <w:rsid w:val="00F5264A"/>
    <w:rsid w:val="00F52748"/>
    <w:rsid w:val="00F5299E"/>
    <w:rsid w:val="00F529E1"/>
    <w:rsid w:val="00F52F77"/>
    <w:rsid w:val="00F52F7C"/>
    <w:rsid w:val="00F5329F"/>
    <w:rsid w:val="00F53527"/>
    <w:rsid w:val="00F543B6"/>
    <w:rsid w:val="00F544AB"/>
    <w:rsid w:val="00F54778"/>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A3"/>
    <w:rsid w:val="00F6059E"/>
    <w:rsid w:val="00F60616"/>
    <w:rsid w:val="00F60EB3"/>
    <w:rsid w:val="00F6121C"/>
    <w:rsid w:val="00F616FA"/>
    <w:rsid w:val="00F61EFB"/>
    <w:rsid w:val="00F61FDC"/>
    <w:rsid w:val="00F621B1"/>
    <w:rsid w:val="00F629BA"/>
    <w:rsid w:val="00F62B88"/>
    <w:rsid w:val="00F62DCC"/>
    <w:rsid w:val="00F63669"/>
    <w:rsid w:val="00F63C61"/>
    <w:rsid w:val="00F63E4B"/>
    <w:rsid w:val="00F64731"/>
    <w:rsid w:val="00F64D7C"/>
    <w:rsid w:val="00F64F88"/>
    <w:rsid w:val="00F65053"/>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D5D"/>
    <w:rsid w:val="00F71023"/>
    <w:rsid w:val="00F71130"/>
    <w:rsid w:val="00F7119F"/>
    <w:rsid w:val="00F71BB2"/>
    <w:rsid w:val="00F71F01"/>
    <w:rsid w:val="00F720C2"/>
    <w:rsid w:val="00F7235D"/>
    <w:rsid w:val="00F72700"/>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5C0"/>
    <w:rsid w:val="00F757F2"/>
    <w:rsid w:val="00F75A61"/>
    <w:rsid w:val="00F75D32"/>
    <w:rsid w:val="00F7611B"/>
    <w:rsid w:val="00F761A6"/>
    <w:rsid w:val="00F761D3"/>
    <w:rsid w:val="00F76452"/>
    <w:rsid w:val="00F764EC"/>
    <w:rsid w:val="00F76585"/>
    <w:rsid w:val="00F768EF"/>
    <w:rsid w:val="00F770CD"/>
    <w:rsid w:val="00F7750E"/>
    <w:rsid w:val="00F77925"/>
    <w:rsid w:val="00F77BE8"/>
    <w:rsid w:val="00F8119E"/>
    <w:rsid w:val="00F81A25"/>
    <w:rsid w:val="00F81A48"/>
    <w:rsid w:val="00F823F5"/>
    <w:rsid w:val="00F82A1C"/>
    <w:rsid w:val="00F82BE1"/>
    <w:rsid w:val="00F82C7C"/>
    <w:rsid w:val="00F832F7"/>
    <w:rsid w:val="00F83B84"/>
    <w:rsid w:val="00F83DBE"/>
    <w:rsid w:val="00F83FF5"/>
    <w:rsid w:val="00F84174"/>
    <w:rsid w:val="00F84281"/>
    <w:rsid w:val="00F84368"/>
    <w:rsid w:val="00F84375"/>
    <w:rsid w:val="00F84401"/>
    <w:rsid w:val="00F84411"/>
    <w:rsid w:val="00F846C4"/>
    <w:rsid w:val="00F848B5"/>
    <w:rsid w:val="00F84A3C"/>
    <w:rsid w:val="00F84C65"/>
    <w:rsid w:val="00F8506E"/>
    <w:rsid w:val="00F85693"/>
    <w:rsid w:val="00F85CD1"/>
    <w:rsid w:val="00F85D43"/>
    <w:rsid w:val="00F85DA8"/>
    <w:rsid w:val="00F85FC6"/>
    <w:rsid w:val="00F8625B"/>
    <w:rsid w:val="00F86677"/>
    <w:rsid w:val="00F86A39"/>
    <w:rsid w:val="00F86B97"/>
    <w:rsid w:val="00F86EE5"/>
    <w:rsid w:val="00F871A7"/>
    <w:rsid w:val="00F87414"/>
    <w:rsid w:val="00F90077"/>
    <w:rsid w:val="00F900B0"/>
    <w:rsid w:val="00F901EB"/>
    <w:rsid w:val="00F903B9"/>
    <w:rsid w:val="00F91092"/>
    <w:rsid w:val="00F915E1"/>
    <w:rsid w:val="00F916B3"/>
    <w:rsid w:val="00F91D16"/>
    <w:rsid w:val="00F91EFF"/>
    <w:rsid w:val="00F922DC"/>
    <w:rsid w:val="00F9233A"/>
    <w:rsid w:val="00F9257D"/>
    <w:rsid w:val="00F92BBA"/>
    <w:rsid w:val="00F92D89"/>
    <w:rsid w:val="00F92F0E"/>
    <w:rsid w:val="00F93C4C"/>
    <w:rsid w:val="00F93CE6"/>
    <w:rsid w:val="00F93DC8"/>
    <w:rsid w:val="00F93EEE"/>
    <w:rsid w:val="00F93F59"/>
    <w:rsid w:val="00F94600"/>
    <w:rsid w:val="00F94900"/>
    <w:rsid w:val="00F94E5D"/>
    <w:rsid w:val="00F95132"/>
    <w:rsid w:val="00F95821"/>
    <w:rsid w:val="00F95C41"/>
    <w:rsid w:val="00F962D3"/>
    <w:rsid w:val="00F96493"/>
    <w:rsid w:val="00F96C5C"/>
    <w:rsid w:val="00F96DD0"/>
    <w:rsid w:val="00F977E6"/>
    <w:rsid w:val="00F9793C"/>
    <w:rsid w:val="00F97BC2"/>
    <w:rsid w:val="00F97DF0"/>
    <w:rsid w:val="00F97E09"/>
    <w:rsid w:val="00F97FFA"/>
    <w:rsid w:val="00FA0708"/>
    <w:rsid w:val="00FA0E4A"/>
    <w:rsid w:val="00FA11C7"/>
    <w:rsid w:val="00FA1320"/>
    <w:rsid w:val="00FA158B"/>
    <w:rsid w:val="00FA1D9C"/>
    <w:rsid w:val="00FA20CE"/>
    <w:rsid w:val="00FA2779"/>
    <w:rsid w:val="00FA2849"/>
    <w:rsid w:val="00FA29C7"/>
    <w:rsid w:val="00FA2C5B"/>
    <w:rsid w:val="00FA3196"/>
    <w:rsid w:val="00FA3904"/>
    <w:rsid w:val="00FA3C67"/>
    <w:rsid w:val="00FA3E42"/>
    <w:rsid w:val="00FA44F5"/>
    <w:rsid w:val="00FA48DF"/>
    <w:rsid w:val="00FA4AAB"/>
    <w:rsid w:val="00FA4AE0"/>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EE3"/>
    <w:rsid w:val="00FB1850"/>
    <w:rsid w:val="00FB18D6"/>
    <w:rsid w:val="00FB1CE7"/>
    <w:rsid w:val="00FB2071"/>
    <w:rsid w:val="00FB2314"/>
    <w:rsid w:val="00FB2E26"/>
    <w:rsid w:val="00FB352A"/>
    <w:rsid w:val="00FB3A07"/>
    <w:rsid w:val="00FB3BAB"/>
    <w:rsid w:val="00FB3BC5"/>
    <w:rsid w:val="00FB4290"/>
    <w:rsid w:val="00FB45DE"/>
    <w:rsid w:val="00FB469F"/>
    <w:rsid w:val="00FB4734"/>
    <w:rsid w:val="00FB5123"/>
    <w:rsid w:val="00FB5206"/>
    <w:rsid w:val="00FB56E4"/>
    <w:rsid w:val="00FB5869"/>
    <w:rsid w:val="00FB59F4"/>
    <w:rsid w:val="00FB5DE7"/>
    <w:rsid w:val="00FB62D2"/>
    <w:rsid w:val="00FB62FA"/>
    <w:rsid w:val="00FB6749"/>
    <w:rsid w:val="00FB69F3"/>
    <w:rsid w:val="00FB6B3B"/>
    <w:rsid w:val="00FB6D3E"/>
    <w:rsid w:val="00FB6F29"/>
    <w:rsid w:val="00FB6F93"/>
    <w:rsid w:val="00FB7968"/>
    <w:rsid w:val="00FB7ECA"/>
    <w:rsid w:val="00FB7F39"/>
    <w:rsid w:val="00FC0132"/>
    <w:rsid w:val="00FC013F"/>
    <w:rsid w:val="00FC05A0"/>
    <w:rsid w:val="00FC0712"/>
    <w:rsid w:val="00FC0847"/>
    <w:rsid w:val="00FC0E20"/>
    <w:rsid w:val="00FC0E4D"/>
    <w:rsid w:val="00FC145A"/>
    <w:rsid w:val="00FC17EF"/>
    <w:rsid w:val="00FC204E"/>
    <w:rsid w:val="00FC2602"/>
    <w:rsid w:val="00FC2CA5"/>
    <w:rsid w:val="00FC2DDA"/>
    <w:rsid w:val="00FC2F48"/>
    <w:rsid w:val="00FC2FBF"/>
    <w:rsid w:val="00FC4F34"/>
    <w:rsid w:val="00FC5139"/>
    <w:rsid w:val="00FC517B"/>
    <w:rsid w:val="00FC5972"/>
    <w:rsid w:val="00FC5986"/>
    <w:rsid w:val="00FC6852"/>
    <w:rsid w:val="00FC6A28"/>
    <w:rsid w:val="00FC6EF7"/>
    <w:rsid w:val="00FC6FC4"/>
    <w:rsid w:val="00FC770B"/>
    <w:rsid w:val="00FC774F"/>
    <w:rsid w:val="00FC7855"/>
    <w:rsid w:val="00FC7A33"/>
    <w:rsid w:val="00FD076E"/>
    <w:rsid w:val="00FD0926"/>
    <w:rsid w:val="00FD0CF1"/>
    <w:rsid w:val="00FD0E6D"/>
    <w:rsid w:val="00FD0F31"/>
    <w:rsid w:val="00FD13BC"/>
    <w:rsid w:val="00FD1871"/>
    <w:rsid w:val="00FD1BEA"/>
    <w:rsid w:val="00FD1E19"/>
    <w:rsid w:val="00FD1E8C"/>
    <w:rsid w:val="00FD2058"/>
    <w:rsid w:val="00FD2250"/>
    <w:rsid w:val="00FD2D1D"/>
    <w:rsid w:val="00FD2E44"/>
    <w:rsid w:val="00FD2F7B"/>
    <w:rsid w:val="00FD3029"/>
    <w:rsid w:val="00FD371C"/>
    <w:rsid w:val="00FD3904"/>
    <w:rsid w:val="00FD394F"/>
    <w:rsid w:val="00FD3D4D"/>
    <w:rsid w:val="00FD41CB"/>
    <w:rsid w:val="00FD42E9"/>
    <w:rsid w:val="00FD4589"/>
    <w:rsid w:val="00FD46E2"/>
    <w:rsid w:val="00FD4A93"/>
    <w:rsid w:val="00FD4AE1"/>
    <w:rsid w:val="00FD4EE8"/>
    <w:rsid w:val="00FD536C"/>
    <w:rsid w:val="00FD5584"/>
    <w:rsid w:val="00FD5954"/>
    <w:rsid w:val="00FD6035"/>
    <w:rsid w:val="00FD6707"/>
    <w:rsid w:val="00FD6742"/>
    <w:rsid w:val="00FD6AB5"/>
    <w:rsid w:val="00FD6F06"/>
    <w:rsid w:val="00FD716A"/>
    <w:rsid w:val="00FD7408"/>
    <w:rsid w:val="00FD7721"/>
    <w:rsid w:val="00FD7992"/>
    <w:rsid w:val="00FE0812"/>
    <w:rsid w:val="00FE0A4A"/>
    <w:rsid w:val="00FE0BED"/>
    <w:rsid w:val="00FE1207"/>
    <w:rsid w:val="00FE1361"/>
    <w:rsid w:val="00FE1776"/>
    <w:rsid w:val="00FE2113"/>
    <w:rsid w:val="00FE21BF"/>
    <w:rsid w:val="00FE24D4"/>
    <w:rsid w:val="00FE2832"/>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76CA"/>
    <w:rsid w:val="00FE76E9"/>
    <w:rsid w:val="00FE7732"/>
    <w:rsid w:val="00FE7BB5"/>
    <w:rsid w:val="00FE7E7F"/>
    <w:rsid w:val="00FF099D"/>
    <w:rsid w:val="00FF0B60"/>
    <w:rsid w:val="00FF0C56"/>
    <w:rsid w:val="00FF0D84"/>
    <w:rsid w:val="00FF1449"/>
    <w:rsid w:val="00FF14BC"/>
    <w:rsid w:val="00FF18E5"/>
    <w:rsid w:val="00FF1A06"/>
    <w:rsid w:val="00FF1B2E"/>
    <w:rsid w:val="00FF1CC0"/>
    <w:rsid w:val="00FF1E21"/>
    <w:rsid w:val="00FF1E90"/>
    <w:rsid w:val="00FF1EC2"/>
    <w:rsid w:val="00FF2585"/>
    <w:rsid w:val="00FF25B7"/>
    <w:rsid w:val="00FF28BA"/>
    <w:rsid w:val="00FF291C"/>
    <w:rsid w:val="00FF2A67"/>
    <w:rsid w:val="00FF2E06"/>
    <w:rsid w:val="00FF2FBE"/>
    <w:rsid w:val="00FF30C7"/>
    <w:rsid w:val="00FF3284"/>
    <w:rsid w:val="00FF36F6"/>
    <w:rsid w:val="00FF3B9A"/>
    <w:rsid w:val="00FF3CC5"/>
    <w:rsid w:val="00FF3EFF"/>
    <w:rsid w:val="00FF3F57"/>
    <w:rsid w:val="00FF407B"/>
    <w:rsid w:val="00FF48F1"/>
    <w:rsid w:val="00FF4A99"/>
    <w:rsid w:val="00FF4C4D"/>
    <w:rsid w:val="00FF4D2C"/>
    <w:rsid w:val="00FF52C0"/>
    <w:rsid w:val="00FF53BD"/>
    <w:rsid w:val="00FF57CD"/>
    <w:rsid w:val="00FF57FD"/>
    <w:rsid w:val="00FF590F"/>
    <w:rsid w:val="00FF5C29"/>
    <w:rsid w:val="00FF5E2E"/>
    <w:rsid w:val="00FF60B5"/>
    <w:rsid w:val="00FF685D"/>
    <w:rsid w:val="00FF68CE"/>
    <w:rsid w:val="00FF6AF6"/>
    <w:rsid w:val="00FF6C9B"/>
    <w:rsid w:val="00FF7175"/>
    <w:rsid w:val="00FF75CB"/>
    <w:rsid w:val="00FF77BD"/>
    <w:rsid w:val="00FF77D2"/>
    <w:rsid w:val="00FF795D"/>
    <w:rsid w:val="00FF7AB6"/>
    <w:rsid w:val="00FF7FDD"/>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9522B8"/>
    <w:rsid w:val="28957A65"/>
    <w:rsid w:val="289F0B74"/>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859A8B"/>
    <w:rsid w:val="2B8BAA27"/>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900088A"/>
    <w:rsid w:val="59049630"/>
    <w:rsid w:val="59160336"/>
    <w:rsid w:val="591EFB0A"/>
    <w:rsid w:val="594C1840"/>
    <w:rsid w:val="594CA0DD"/>
    <w:rsid w:val="59549F1D"/>
    <w:rsid w:val="5965F035"/>
    <w:rsid w:val="5966E737"/>
    <w:rsid w:val="5976B5D2"/>
    <w:rsid w:val="598BE2E3"/>
    <w:rsid w:val="59975716"/>
    <w:rsid w:val="59983701"/>
    <w:rsid w:val="5998F4C8"/>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D3B40"/>
    <w:rsid w:val="6523CA94"/>
    <w:rsid w:val="652C2CBB"/>
    <w:rsid w:val="653A6CBB"/>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989D"/>
  <w15:chartTrackingRefBased/>
  <w15:docId w15:val="{C68EB9BB-1A43-42EC-8A9E-A905D2E2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eastAsia="Calibri" w:hAnsi="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eastAsia="Calibri" w:hAnsi="Calibri" w:cs="Calibri"/>
    </w:rPr>
  </w:style>
  <w:style w:type="table" w:styleId="TableGrid">
    <w:name w:val="Table Grid"/>
    <w:basedOn w:val="TableNormal"/>
    <w:uiPriority w:val="3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ascii="Calibri" w:eastAsia="Calibri" w:hAnsi="Calibri" w:cs="Times New Roman"/>
      <w:color w:val="3F3E3E"/>
    </w:rPr>
  </w:style>
  <w:style w:type="paragraph" w:customStyle="1" w:styleId="RISEBodyText">
    <w:name w:val="RISE Body Text"/>
    <w:basedOn w:val="Normal"/>
    <w:link w:val="RISEBodyTextChar"/>
    <w:qFormat/>
    <w:rsid w:val="00B2488D"/>
    <w:pPr>
      <w:spacing w:after="0" w:line="240" w:lineRule="auto"/>
    </w:pPr>
    <w:rPr>
      <w:rFonts w:ascii="Calibri" w:eastAsia="Calibri" w:hAnsi="Calibri"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ascii="Calibri" w:eastAsia="Calibri" w:hAnsi="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ascii="Calibri" w:eastAsia="Calibri" w:hAnsi="Calibri"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ascii="Calibri" w:eastAsia="Calibri" w:hAnsi="Calibri"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semiHidden/>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ascii="Calibri" w:eastAsia="Calibri" w:hAnsi="Calibri"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ascii="Calibri" w:eastAsia="Calibri" w:hAnsi="Calibri"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ascii="Calibri" w:eastAsia="Calibri" w:hAnsi="Calibri"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 w:type="character" w:customStyle="1" w:styleId="cf11">
    <w:name w:val="cf11"/>
    <w:basedOn w:val="DefaultParagraphFont"/>
    <w:rsid w:val="00246433"/>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901">
      <w:bodyDiv w:val="1"/>
      <w:marLeft w:val="0"/>
      <w:marRight w:val="0"/>
      <w:marTop w:val="0"/>
      <w:marBottom w:val="0"/>
      <w:divBdr>
        <w:top w:val="none" w:sz="0" w:space="0" w:color="auto"/>
        <w:left w:val="none" w:sz="0" w:space="0" w:color="auto"/>
        <w:bottom w:val="none" w:sz="0" w:space="0" w:color="auto"/>
        <w:right w:val="none" w:sz="0" w:space="0" w:color="auto"/>
      </w:divBdr>
    </w:div>
    <w:div w:id="18552258">
      <w:bodyDiv w:val="1"/>
      <w:marLeft w:val="0"/>
      <w:marRight w:val="0"/>
      <w:marTop w:val="0"/>
      <w:marBottom w:val="0"/>
      <w:divBdr>
        <w:top w:val="none" w:sz="0" w:space="0" w:color="auto"/>
        <w:left w:val="none" w:sz="0" w:space="0" w:color="auto"/>
        <w:bottom w:val="none" w:sz="0" w:space="0" w:color="auto"/>
        <w:right w:val="none" w:sz="0" w:space="0" w:color="auto"/>
      </w:divBdr>
    </w:div>
    <w:div w:id="93599593">
      <w:bodyDiv w:val="1"/>
      <w:marLeft w:val="0"/>
      <w:marRight w:val="0"/>
      <w:marTop w:val="0"/>
      <w:marBottom w:val="0"/>
      <w:divBdr>
        <w:top w:val="none" w:sz="0" w:space="0" w:color="auto"/>
        <w:left w:val="none" w:sz="0" w:space="0" w:color="auto"/>
        <w:bottom w:val="none" w:sz="0" w:space="0" w:color="auto"/>
        <w:right w:val="none" w:sz="0" w:space="0" w:color="auto"/>
      </w:divBdr>
    </w:div>
    <w:div w:id="96221332">
      <w:bodyDiv w:val="1"/>
      <w:marLeft w:val="0"/>
      <w:marRight w:val="0"/>
      <w:marTop w:val="0"/>
      <w:marBottom w:val="0"/>
      <w:divBdr>
        <w:top w:val="none" w:sz="0" w:space="0" w:color="auto"/>
        <w:left w:val="none" w:sz="0" w:space="0" w:color="auto"/>
        <w:bottom w:val="none" w:sz="0" w:space="0" w:color="auto"/>
        <w:right w:val="none" w:sz="0" w:space="0" w:color="auto"/>
      </w:divBdr>
      <w:divsChild>
        <w:div w:id="8416007">
          <w:marLeft w:val="547"/>
          <w:marRight w:val="0"/>
          <w:marTop w:val="60"/>
          <w:marBottom w:val="0"/>
          <w:divBdr>
            <w:top w:val="none" w:sz="0" w:space="0" w:color="auto"/>
            <w:left w:val="none" w:sz="0" w:space="0" w:color="auto"/>
            <w:bottom w:val="none" w:sz="0" w:space="0" w:color="auto"/>
            <w:right w:val="none" w:sz="0" w:space="0" w:color="auto"/>
          </w:divBdr>
        </w:div>
        <w:div w:id="61682964">
          <w:marLeft w:val="547"/>
          <w:marRight w:val="0"/>
          <w:marTop w:val="60"/>
          <w:marBottom w:val="0"/>
          <w:divBdr>
            <w:top w:val="none" w:sz="0" w:space="0" w:color="auto"/>
            <w:left w:val="none" w:sz="0" w:space="0" w:color="auto"/>
            <w:bottom w:val="none" w:sz="0" w:space="0" w:color="auto"/>
            <w:right w:val="none" w:sz="0" w:space="0" w:color="auto"/>
          </w:divBdr>
        </w:div>
        <w:div w:id="1307122863">
          <w:marLeft w:val="547"/>
          <w:marRight w:val="0"/>
          <w:marTop w:val="60"/>
          <w:marBottom w:val="0"/>
          <w:divBdr>
            <w:top w:val="none" w:sz="0" w:space="0" w:color="auto"/>
            <w:left w:val="none" w:sz="0" w:space="0" w:color="auto"/>
            <w:bottom w:val="none" w:sz="0" w:space="0" w:color="auto"/>
            <w:right w:val="none" w:sz="0" w:space="0" w:color="auto"/>
          </w:divBdr>
        </w:div>
      </w:divsChild>
    </w:div>
    <w:div w:id="172495161">
      <w:bodyDiv w:val="1"/>
      <w:marLeft w:val="0"/>
      <w:marRight w:val="0"/>
      <w:marTop w:val="0"/>
      <w:marBottom w:val="0"/>
      <w:divBdr>
        <w:top w:val="none" w:sz="0" w:space="0" w:color="auto"/>
        <w:left w:val="none" w:sz="0" w:space="0" w:color="auto"/>
        <w:bottom w:val="none" w:sz="0" w:space="0" w:color="auto"/>
        <w:right w:val="none" w:sz="0" w:space="0" w:color="auto"/>
      </w:divBdr>
    </w:div>
    <w:div w:id="193740137">
      <w:bodyDiv w:val="1"/>
      <w:marLeft w:val="0"/>
      <w:marRight w:val="0"/>
      <w:marTop w:val="0"/>
      <w:marBottom w:val="0"/>
      <w:divBdr>
        <w:top w:val="none" w:sz="0" w:space="0" w:color="auto"/>
        <w:left w:val="none" w:sz="0" w:space="0" w:color="auto"/>
        <w:bottom w:val="none" w:sz="0" w:space="0" w:color="auto"/>
        <w:right w:val="none" w:sz="0" w:space="0" w:color="auto"/>
      </w:divBdr>
    </w:div>
    <w:div w:id="213002599">
      <w:bodyDiv w:val="1"/>
      <w:marLeft w:val="0"/>
      <w:marRight w:val="0"/>
      <w:marTop w:val="0"/>
      <w:marBottom w:val="0"/>
      <w:divBdr>
        <w:top w:val="none" w:sz="0" w:space="0" w:color="auto"/>
        <w:left w:val="none" w:sz="0" w:space="0" w:color="auto"/>
        <w:bottom w:val="none" w:sz="0" w:space="0" w:color="auto"/>
        <w:right w:val="none" w:sz="0" w:space="0" w:color="auto"/>
      </w:divBdr>
    </w:div>
    <w:div w:id="221602008">
      <w:bodyDiv w:val="1"/>
      <w:marLeft w:val="0"/>
      <w:marRight w:val="0"/>
      <w:marTop w:val="0"/>
      <w:marBottom w:val="0"/>
      <w:divBdr>
        <w:top w:val="none" w:sz="0" w:space="0" w:color="auto"/>
        <w:left w:val="none" w:sz="0" w:space="0" w:color="auto"/>
        <w:bottom w:val="none" w:sz="0" w:space="0" w:color="auto"/>
        <w:right w:val="none" w:sz="0" w:space="0" w:color="auto"/>
      </w:divBdr>
    </w:div>
    <w:div w:id="226065881">
      <w:bodyDiv w:val="1"/>
      <w:marLeft w:val="0"/>
      <w:marRight w:val="0"/>
      <w:marTop w:val="0"/>
      <w:marBottom w:val="0"/>
      <w:divBdr>
        <w:top w:val="none" w:sz="0" w:space="0" w:color="auto"/>
        <w:left w:val="none" w:sz="0" w:space="0" w:color="auto"/>
        <w:bottom w:val="none" w:sz="0" w:space="0" w:color="auto"/>
        <w:right w:val="none" w:sz="0" w:space="0" w:color="auto"/>
      </w:divBdr>
      <w:divsChild>
        <w:div w:id="1454639792">
          <w:marLeft w:val="403"/>
          <w:marRight w:val="0"/>
          <w:marTop w:val="240"/>
          <w:marBottom w:val="0"/>
          <w:divBdr>
            <w:top w:val="none" w:sz="0" w:space="0" w:color="auto"/>
            <w:left w:val="none" w:sz="0" w:space="0" w:color="auto"/>
            <w:bottom w:val="none" w:sz="0" w:space="0" w:color="auto"/>
            <w:right w:val="none" w:sz="0" w:space="0" w:color="auto"/>
          </w:divBdr>
        </w:div>
      </w:divsChild>
    </w:div>
    <w:div w:id="260838219">
      <w:bodyDiv w:val="1"/>
      <w:marLeft w:val="0"/>
      <w:marRight w:val="0"/>
      <w:marTop w:val="0"/>
      <w:marBottom w:val="0"/>
      <w:divBdr>
        <w:top w:val="none" w:sz="0" w:space="0" w:color="auto"/>
        <w:left w:val="none" w:sz="0" w:space="0" w:color="auto"/>
        <w:bottom w:val="none" w:sz="0" w:space="0" w:color="auto"/>
        <w:right w:val="none" w:sz="0" w:space="0" w:color="auto"/>
      </w:divBdr>
    </w:div>
    <w:div w:id="363679427">
      <w:bodyDiv w:val="1"/>
      <w:marLeft w:val="0"/>
      <w:marRight w:val="0"/>
      <w:marTop w:val="0"/>
      <w:marBottom w:val="0"/>
      <w:divBdr>
        <w:top w:val="none" w:sz="0" w:space="0" w:color="auto"/>
        <w:left w:val="none" w:sz="0" w:space="0" w:color="auto"/>
        <w:bottom w:val="none" w:sz="0" w:space="0" w:color="auto"/>
        <w:right w:val="none" w:sz="0" w:space="0" w:color="auto"/>
      </w:divBdr>
    </w:div>
    <w:div w:id="363747900">
      <w:bodyDiv w:val="1"/>
      <w:marLeft w:val="0"/>
      <w:marRight w:val="0"/>
      <w:marTop w:val="0"/>
      <w:marBottom w:val="0"/>
      <w:divBdr>
        <w:top w:val="none" w:sz="0" w:space="0" w:color="auto"/>
        <w:left w:val="none" w:sz="0" w:space="0" w:color="auto"/>
        <w:bottom w:val="none" w:sz="0" w:space="0" w:color="auto"/>
        <w:right w:val="none" w:sz="0" w:space="0" w:color="auto"/>
      </w:divBdr>
    </w:div>
    <w:div w:id="462190658">
      <w:bodyDiv w:val="1"/>
      <w:marLeft w:val="0"/>
      <w:marRight w:val="0"/>
      <w:marTop w:val="0"/>
      <w:marBottom w:val="0"/>
      <w:divBdr>
        <w:top w:val="none" w:sz="0" w:space="0" w:color="auto"/>
        <w:left w:val="none" w:sz="0" w:space="0" w:color="auto"/>
        <w:bottom w:val="none" w:sz="0" w:space="0" w:color="auto"/>
        <w:right w:val="none" w:sz="0" w:space="0" w:color="auto"/>
      </w:divBdr>
      <w:divsChild>
        <w:div w:id="169415212">
          <w:marLeft w:val="403"/>
          <w:marRight w:val="0"/>
          <w:marTop w:val="240"/>
          <w:marBottom w:val="0"/>
          <w:divBdr>
            <w:top w:val="none" w:sz="0" w:space="0" w:color="auto"/>
            <w:left w:val="none" w:sz="0" w:space="0" w:color="auto"/>
            <w:bottom w:val="none" w:sz="0" w:space="0" w:color="auto"/>
            <w:right w:val="none" w:sz="0" w:space="0" w:color="auto"/>
          </w:divBdr>
        </w:div>
        <w:div w:id="509609165">
          <w:marLeft w:val="403"/>
          <w:marRight w:val="0"/>
          <w:marTop w:val="240"/>
          <w:marBottom w:val="0"/>
          <w:divBdr>
            <w:top w:val="none" w:sz="0" w:space="0" w:color="auto"/>
            <w:left w:val="none" w:sz="0" w:space="0" w:color="auto"/>
            <w:bottom w:val="none" w:sz="0" w:space="0" w:color="auto"/>
            <w:right w:val="none" w:sz="0" w:space="0" w:color="auto"/>
          </w:divBdr>
        </w:div>
        <w:div w:id="1058357711">
          <w:marLeft w:val="403"/>
          <w:marRight w:val="0"/>
          <w:marTop w:val="240"/>
          <w:marBottom w:val="0"/>
          <w:divBdr>
            <w:top w:val="none" w:sz="0" w:space="0" w:color="auto"/>
            <w:left w:val="none" w:sz="0" w:space="0" w:color="auto"/>
            <w:bottom w:val="none" w:sz="0" w:space="0" w:color="auto"/>
            <w:right w:val="none" w:sz="0" w:space="0" w:color="auto"/>
          </w:divBdr>
        </w:div>
        <w:div w:id="1162575484">
          <w:marLeft w:val="403"/>
          <w:marRight w:val="0"/>
          <w:marTop w:val="240"/>
          <w:marBottom w:val="0"/>
          <w:divBdr>
            <w:top w:val="none" w:sz="0" w:space="0" w:color="auto"/>
            <w:left w:val="none" w:sz="0" w:space="0" w:color="auto"/>
            <w:bottom w:val="none" w:sz="0" w:space="0" w:color="auto"/>
            <w:right w:val="none" w:sz="0" w:space="0" w:color="auto"/>
          </w:divBdr>
        </w:div>
      </w:divsChild>
    </w:div>
    <w:div w:id="534654600">
      <w:bodyDiv w:val="1"/>
      <w:marLeft w:val="0"/>
      <w:marRight w:val="0"/>
      <w:marTop w:val="0"/>
      <w:marBottom w:val="0"/>
      <w:divBdr>
        <w:top w:val="none" w:sz="0" w:space="0" w:color="auto"/>
        <w:left w:val="none" w:sz="0" w:space="0" w:color="auto"/>
        <w:bottom w:val="none" w:sz="0" w:space="0" w:color="auto"/>
        <w:right w:val="none" w:sz="0" w:space="0" w:color="auto"/>
      </w:divBdr>
      <w:divsChild>
        <w:div w:id="1316186705">
          <w:marLeft w:val="446"/>
          <w:marRight w:val="0"/>
          <w:marTop w:val="0"/>
          <w:marBottom w:val="0"/>
          <w:divBdr>
            <w:top w:val="none" w:sz="0" w:space="0" w:color="auto"/>
            <w:left w:val="none" w:sz="0" w:space="0" w:color="auto"/>
            <w:bottom w:val="none" w:sz="0" w:space="0" w:color="auto"/>
            <w:right w:val="none" w:sz="0" w:space="0" w:color="auto"/>
          </w:divBdr>
        </w:div>
        <w:div w:id="1397237397">
          <w:marLeft w:val="446"/>
          <w:marRight w:val="0"/>
          <w:marTop w:val="0"/>
          <w:marBottom w:val="0"/>
          <w:divBdr>
            <w:top w:val="none" w:sz="0" w:space="0" w:color="auto"/>
            <w:left w:val="none" w:sz="0" w:space="0" w:color="auto"/>
            <w:bottom w:val="none" w:sz="0" w:space="0" w:color="auto"/>
            <w:right w:val="none" w:sz="0" w:space="0" w:color="auto"/>
          </w:divBdr>
        </w:div>
        <w:div w:id="1447847780">
          <w:marLeft w:val="446"/>
          <w:marRight w:val="0"/>
          <w:marTop w:val="0"/>
          <w:marBottom w:val="0"/>
          <w:divBdr>
            <w:top w:val="none" w:sz="0" w:space="0" w:color="auto"/>
            <w:left w:val="none" w:sz="0" w:space="0" w:color="auto"/>
            <w:bottom w:val="none" w:sz="0" w:space="0" w:color="auto"/>
            <w:right w:val="none" w:sz="0" w:space="0" w:color="auto"/>
          </w:divBdr>
        </w:div>
        <w:div w:id="1547066565">
          <w:marLeft w:val="446"/>
          <w:marRight w:val="0"/>
          <w:marTop w:val="0"/>
          <w:marBottom w:val="0"/>
          <w:divBdr>
            <w:top w:val="none" w:sz="0" w:space="0" w:color="auto"/>
            <w:left w:val="none" w:sz="0" w:space="0" w:color="auto"/>
            <w:bottom w:val="none" w:sz="0" w:space="0" w:color="auto"/>
            <w:right w:val="none" w:sz="0" w:space="0" w:color="auto"/>
          </w:divBdr>
        </w:div>
        <w:div w:id="2146925693">
          <w:marLeft w:val="446"/>
          <w:marRight w:val="0"/>
          <w:marTop w:val="0"/>
          <w:marBottom w:val="0"/>
          <w:divBdr>
            <w:top w:val="none" w:sz="0" w:space="0" w:color="auto"/>
            <w:left w:val="none" w:sz="0" w:space="0" w:color="auto"/>
            <w:bottom w:val="none" w:sz="0" w:space="0" w:color="auto"/>
            <w:right w:val="none" w:sz="0" w:space="0" w:color="auto"/>
          </w:divBdr>
        </w:div>
      </w:divsChild>
    </w:div>
    <w:div w:id="545796804">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sChild>
        <w:div w:id="146871467">
          <w:marLeft w:val="547"/>
          <w:marRight w:val="0"/>
          <w:marTop w:val="120"/>
          <w:marBottom w:val="0"/>
          <w:divBdr>
            <w:top w:val="none" w:sz="0" w:space="0" w:color="auto"/>
            <w:left w:val="none" w:sz="0" w:space="0" w:color="auto"/>
            <w:bottom w:val="none" w:sz="0" w:space="0" w:color="auto"/>
            <w:right w:val="none" w:sz="0" w:space="0" w:color="auto"/>
          </w:divBdr>
        </w:div>
        <w:div w:id="839586154">
          <w:marLeft w:val="547"/>
          <w:marRight w:val="0"/>
          <w:marTop w:val="120"/>
          <w:marBottom w:val="0"/>
          <w:divBdr>
            <w:top w:val="none" w:sz="0" w:space="0" w:color="auto"/>
            <w:left w:val="none" w:sz="0" w:space="0" w:color="auto"/>
            <w:bottom w:val="none" w:sz="0" w:space="0" w:color="auto"/>
            <w:right w:val="none" w:sz="0" w:space="0" w:color="auto"/>
          </w:divBdr>
        </w:div>
        <w:div w:id="1179850415">
          <w:marLeft w:val="547"/>
          <w:marRight w:val="0"/>
          <w:marTop w:val="120"/>
          <w:marBottom w:val="0"/>
          <w:divBdr>
            <w:top w:val="none" w:sz="0" w:space="0" w:color="auto"/>
            <w:left w:val="none" w:sz="0" w:space="0" w:color="auto"/>
            <w:bottom w:val="none" w:sz="0" w:space="0" w:color="auto"/>
            <w:right w:val="none" w:sz="0" w:space="0" w:color="auto"/>
          </w:divBdr>
        </w:div>
      </w:divsChild>
    </w:div>
    <w:div w:id="614363578">
      <w:bodyDiv w:val="1"/>
      <w:marLeft w:val="0"/>
      <w:marRight w:val="0"/>
      <w:marTop w:val="0"/>
      <w:marBottom w:val="0"/>
      <w:divBdr>
        <w:top w:val="none" w:sz="0" w:space="0" w:color="auto"/>
        <w:left w:val="none" w:sz="0" w:space="0" w:color="auto"/>
        <w:bottom w:val="none" w:sz="0" w:space="0" w:color="auto"/>
        <w:right w:val="none" w:sz="0" w:space="0" w:color="auto"/>
      </w:divBdr>
      <w:divsChild>
        <w:div w:id="478569659">
          <w:marLeft w:val="547"/>
          <w:marRight w:val="0"/>
          <w:marTop w:val="120"/>
          <w:marBottom w:val="0"/>
          <w:divBdr>
            <w:top w:val="none" w:sz="0" w:space="0" w:color="auto"/>
            <w:left w:val="none" w:sz="0" w:space="0" w:color="auto"/>
            <w:bottom w:val="none" w:sz="0" w:space="0" w:color="auto"/>
            <w:right w:val="none" w:sz="0" w:space="0" w:color="auto"/>
          </w:divBdr>
        </w:div>
        <w:div w:id="1902138093">
          <w:marLeft w:val="547"/>
          <w:marRight w:val="0"/>
          <w:marTop w:val="120"/>
          <w:marBottom w:val="0"/>
          <w:divBdr>
            <w:top w:val="none" w:sz="0" w:space="0" w:color="auto"/>
            <w:left w:val="none" w:sz="0" w:space="0" w:color="auto"/>
            <w:bottom w:val="none" w:sz="0" w:space="0" w:color="auto"/>
            <w:right w:val="none" w:sz="0" w:space="0" w:color="auto"/>
          </w:divBdr>
        </w:div>
      </w:divsChild>
    </w:div>
    <w:div w:id="621182413">
      <w:bodyDiv w:val="1"/>
      <w:marLeft w:val="0"/>
      <w:marRight w:val="0"/>
      <w:marTop w:val="0"/>
      <w:marBottom w:val="0"/>
      <w:divBdr>
        <w:top w:val="none" w:sz="0" w:space="0" w:color="auto"/>
        <w:left w:val="none" w:sz="0" w:space="0" w:color="auto"/>
        <w:bottom w:val="none" w:sz="0" w:space="0" w:color="auto"/>
        <w:right w:val="none" w:sz="0" w:space="0" w:color="auto"/>
      </w:divBdr>
      <w:divsChild>
        <w:div w:id="992412950">
          <w:marLeft w:val="403"/>
          <w:marRight w:val="0"/>
          <w:marTop w:val="240"/>
          <w:marBottom w:val="0"/>
          <w:divBdr>
            <w:top w:val="none" w:sz="0" w:space="0" w:color="auto"/>
            <w:left w:val="none" w:sz="0" w:space="0" w:color="auto"/>
            <w:bottom w:val="none" w:sz="0" w:space="0" w:color="auto"/>
            <w:right w:val="none" w:sz="0" w:space="0" w:color="auto"/>
          </w:divBdr>
        </w:div>
        <w:div w:id="1195801492">
          <w:marLeft w:val="403"/>
          <w:marRight w:val="0"/>
          <w:marTop w:val="240"/>
          <w:marBottom w:val="0"/>
          <w:divBdr>
            <w:top w:val="none" w:sz="0" w:space="0" w:color="auto"/>
            <w:left w:val="none" w:sz="0" w:space="0" w:color="auto"/>
            <w:bottom w:val="none" w:sz="0" w:space="0" w:color="auto"/>
            <w:right w:val="none" w:sz="0" w:space="0" w:color="auto"/>
          </w:divBdr>
        </w:div>
        <w:div w:id="1289701629">
          <w:marLeft w:val="403"/>
          <w:marRight w:val="0"/>
          <w:marTop w:val="240"/>
          <w:marBottom w:val="0"/>
          <w:divBdr>
            <w:top w:val="none" w:sz="0" w:space="0" w:color="auto"/>
            <w:left w:val="none" w:sz="0" w:space="0" w:color="auto"/>
            <w:bottom w:val="none" w:sz="0" w:space="0" w:color="auto"/>
            <w:right w:val="none" w:sz="0" w:space="0" w:color="auto"/>
          </w:divBdr>
        </w:div>
        <w:div w:id="1910000487">
          <w:marLeft w:val="403"/>
          <w:marRight w:val="0"/>
          <w:marTop w:val="240"/>
          <w:marBottom w:val="0"/>
          <w:divBdr>
            <w:top w:val="none" w:sz="0" w:space="0" w:color="auto"/>
            <w:left w:val="none" w:sz="0" w:space="0" w:color="auto"/>
            <w:bottom w:val="none" w:sz="0" w:space="0" w:color="auto"/>
            <w:right w:val="none" w:sz="0" w:space="0" w:color="auto"/>
          </w:divBdr>
        </w:div>
        <w:div w:id="2073695929">
          <w:marLeft w:val="403"/>
          <w:marRight w:val="0"/>
          <w:marTop w:val="240"/>
          <w:marBottom w:val="0"/>
          <w:divBdr>
            <w:top w:val="none" w:sz="0" w:space="0" w:color="auto"/>
            <w:left w:val="none" w:sz="0" w:space="0" w:color="auto"/>
            <w:bottom w:val="none" w:sz="0" w:space="0" w:color="auto"/>
            <w:right w:val="none" w:sz="0" w:space="0" w:color="auto"/>
          </w:divBdr>
        </w:div>
      </w:divsChild>
    </w:div>
    <w:div w:id="631791640">
      <w:bodyDiv w:val="1"/>
      <w:marLeft w:val="0"/>
      <w:marRight w:val="0"/>
      <w:marTop w:val="0"/>
      <w:marBottom w:val="0"/>
      <w:divBdr>
        <w:top w:val="none" w:sz="0" w:space="0" w:color="auto"/>
        <w:left w:val="none" w:sz="0" w:space="0" w:color="auto"/>
        <w:bottom w:val="none" w:sz="0" w:space="0" w:color="auto"/>
        <w:right w:val="none" w:sz="0" w:space="0" w:color="auto"/>
      </w:divBdr>
      <w:divsChild>
        <w:div w:id="624428895">
          <w:marLeft w:val="547"/>
          <w:marRight w:val="0"/>
          <w:marTop w:val="120"/>
          <w:marBottom w:val="0"/>
          <w:divBdr>
            <w:top w:val="none" w:sz="0" w:space="0" w:color="auto"/>
            <w:left w:val="none" w:sz="0" w:space="0" w:color="auto"/>
            <w:bottom w:val="none" w:sz="0" w:space="0" w:color="auto"/>
            <w:right w:val="none" w:sz="0" w:space="0" w:color="auto"/>
          </w:divBdr>
        </w:div>
        <w:div w:id="1638147256">
          <w:marLeft w:val="547"/>
          <w:marRight w:val="0"/>
          <w:marTop w:val="120"/>
          <w:marBottom w:val="0"/>
          <w:divBdr>
            <w:top w:val="none" w:sz="0" w:space="0" w:color="auto"/>
            <w:left w:val="none" w:sz="0" w:space="0" w:color="auto"/>
            <w:bottom w:val="none" w:sz="0" w:space="0" w:color="auto"/>
            <w:right w:val="none" w:sz="0" w:space="0" w:color="auto"/>
          </w:divBdr>
        </w:div>
      </w:divsChild>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43989273">
      <w:bodyDiv w:val="1"/>
      <w:marLeft w:val="0"/>
      <w:marRight w:val="0"/>
      <w:marTop w:val="0"/>
      <w:marBottom w:val="0"/>
      <w:divBdr>
        <w:top w:val="none" w:sz="0" w:space="0" w:color="auto"/>
        <w:left w:val="none" w:sz="0" w:space="0" w:color="auto"/>
        <w:bottom w:val="none" w:sz="0" w:space="0" w:color="auto"/>
        <w:right w:val="none" w:sz="0" w:space="0" w:color="auto"/>
      </w:divBdr>
    </w:div>
    <w:div w:id="746416543">
      <w:bodyDiv w:val="1"/>
      <w:marLeft w:val="0"/>
      <w:marRight w:val="0"/>
      <w:marTop w:val="0"/>
      <w:marBottom w:val="0"/>
      <w:divBdr>
        <w:top w:val="none" w:sz="0" w:space="0" w:color="auto"/>
        <w:left w:val="none" w:sz="0" w:space="0" w:color="auto"/>
        <w:bottom w:val="none" w:sz="0" w:space="0" w:color="auto"/>
        <w:right w:val="none" w:sz="0" w:space="0" w:color="auto"/>
      </w:divBdr>
    </w:div>
    <w:div w:id="784151699">
      <w:bodyDiv w:val="1"/>
      <w:marLeft w:val="0"/>
      <w:marRight w:val="0"/>
      <w:marTop w:val="0"/>
      <w:marBottom w:val="0"/>
      <w:divBdr>
        <w:top w:val="none" w:sz="0" w:space="0" w:color="auto"/>
        <w:left w:val="none" w:sz="0" w:space="0" w:color="auto"/>
        <w:bottom w:val="none" w:sz="0" w:space="0" w:color="auto"/>
        <w:right w:val="none" w:sz="0" w:space="0" w:color="auto"/>
      </w:divBdr>
      <w:divsChild>
        <w:div w:id="99180993">
          <w:marLeft w:val="878"/>
          <w:marRight w:val="0"/>
          <w:marTop w:val="120"/>
          <w:marBottom w:val="0"/>
          <w:divBdr>
            <w:top w:val="none" w:sz="0" w:space="0" w:color="auto"/>
            <w:left w:val="none" w:sz="0" w:space="0" w:color="auto"/>
            <w:bottom w:val="none" w:sz="0" w:space="0" w:color="auto"/>
            <w:right w:val="none" w:sz="0" w:space="0" w:color="auto"/>
          </w:divBdr>
        </w:div>
        <w:div w:id="420493697">
          <w:marLeft w:val="878"/>
          <w:marRight w:val="0"/>
          <w:marTop w:val="120"/>
          <w:marBottom w:val="0"/>
          <w:divBdr>
            <w:top w:val="none" w:sz="0" w:space="0" w:color="auto"/>
            <w:left w:val="none" w:sz="0" w:space="0" w:color="auto"/>
            <w:bottom w:val="none" w:sz="0" w:space="0" w:color="auto"/>
            <w:right w:val="none" w:sz="0" w:space="0" w:color="auto"/>
          </w:divBdr>
        </w:div>
        <w:div w:id="855381986">
          <w:marLeft w:val="403"/>
          <w:marRight w:val="0"/>
          <w:marTop w:val="240"/>
          <w:marBottom w:val="0"/>
          <w:divBdr>
            <w:top w:val="none" w:sz="0" w:space="0" w:color="auto"/>
            <w:left w:val="none" w:sz="0" w:space="0" w:color="auto"/>
            <w:bottom w:val="none" w:sz="0" w:space="0" w:color="auto"/>
            <w:right w:val="none" w:sz="0" w:space="0" w:color="auto"/>
          </w:divBdr>
        </w:div>
        <w:div w:id="1005672949">
          <w:marLeft w:val="403"/>
          <w:marRight w:val="0"/>
          <w:marTop w:val="240"/>
          <w:marBottom w:val="0"/>
          <w:divBdr>
            <w:top w:val="none" w:sz="0" w:space="0" w:color="auto"/>
            <w:left w:val="none" w:sz="0" w:space="0" w:color="auto"/>
            <w:bottom w:val="none" w:sz="0" w:space="0" w:color="auto"/>
            <w:right w:val="none" w:sz="0" w:space="0" w:color="auto"/>
          </w:divBdr>
        </w:div>
        <w:div w:id="1457986761">
          <w:marLeft w:val="403"/>
          <w:marRight w:val="0"/>
          <w:marTop w:val="240"/>
          <w:marBottom w:val="0"/>
          <w:divBdr>
            <w:top w:val="none" w:sz="0" w:space="0" w:color="auto"/>
            <w:left w:val="none" w:sz="0" w:space="0" w:color="auto"/>
            <w:bottom w:val="none" w:sz="0" w:space="0" w:color="auto"/>
            <w:right w:val="none" w:sz="0" w:space="0" w:color="auto"/>
          </w:divBdr>
        </w:div>
        <w:div w:id="1991669962">
          <w:marLeft w:val="878"/>
          <w:marRight w:val="0"/>
          <w:marTop w:val="120"/>
          <w:marBottom w:val="0"/>
          <w:divBdr>
            <w:top w:val="none" w:sz="0" w:space="0" w:color="auto"/>
            <w:left w:val="none" w:sz="0" w:space="0" w:color="auto"/>
            <w:bottom w:val="none" w:sz="0" w:space="0" w:color="auto"/>
            <w:right w:val="none" w:sz="0" w:space="0" w:color="auto"/>
          </w:divBdr>
        </w:div>
      </w:divsChild>
    </w:div>
    <w:div w:id="802386233">
      <w:bodyDiv w:val="1"/>
      <w:marLeft w:val="0"/>
      <w:marRight w:val="0"/>
      <w:marTop w:val="0"/>
      <w:marBottom w:val="0"/>
      <w:divBdr>
        <w:top w:val="none" w:sz="0" w:space="0" w:color="auto"/>
        <w:left w:val="none" w:sz="0" w:space="0" w:color="auto"/>
        <w:bottom w:val="none" w:sz="0" w:space="0" w:color="auto"/>
        <w:right w:val="none" w:sz="0" w:space="0" w:color="auto"/>
      </w:divBdr>
      <w:divsChild>
        <w:div w:id="831601605">
          <w:marLeft w:val="403"/>
          <w:marRight w:val="0"/>
          <w:marTop w:val="240"/>
          <w:marBottom w:val="0"/>
          <w:divBdr>
            <w:top w:val="none" w:sz="0" w:space="0" w:color="auto"/>
            <w:left w:val="none" w:sz="0" w:space="0" w:color="auto"/>
            <w:bottom w:val="none" w:sz="0" w:space="0" w:color="auto"/>
            <w:right w:val="none" w:sz="0" w:space="0" w:color="auto"/>
          </w:divBdr>
        </w:div>
        <w:div w:id="1066563303">
          <w:marLeft w:val="403"/>
          <w:marRight w:val="0"/>
          <w:marTop w:val="240"/>
          <w:marBottom w:val="0"/>
          <w:divBdr>
            <w:top w:val="none" w:sz="0" w:space="0" w:color="auto"/>
            <w:left w:val="none" w:sz="0" w:space="0" w:color="auto"/>
            <w:bottom w:val="none" w:sz="0" w:space="0" w:color="auto"/>
            <w:right w:val="none" w:sz="0" w:space="0" w:color="auto"/>
          </w:divBdr>
        </w:div>
        <w:div w:id="1184319172">
          <w:marLeft w:val="403"/>
          <w:marRight w:val="0"/>
          <w:marTop w:val="240"/>
          <w:marBottom w:val="0"/>
          <w:divBdr>
            <w:top w:val="none" w:sz="0" w:space="0" w:color="auto"/>
            <w:left w:val="none" w:sz="0" w:space="0" w:color="auto"/>
            <w:bottom w:val="none" w:sz="0" w:space="0" w:color="auto"/>
            <w:right w:val="none" w:sz="0" w:space="0" w:color="auto"/>
          </w:divBdr>
        </w:div>
        <w:div w:id="1779913908">
          <w:marLeft w:val="403"/>
          <w:marRight w:val="0"/>
          <w:marTop w:val="240"/>
          <w:marBottom w:val="0"/>
          <w:divBdr>
            <w:top w:val="none" w:sz="0" w:space="0" w:color="auto"/>
            <w:left w:val="none" w:sz="0" w:space="0" w:color="auto"/>
            <w:bottom w:val="none" w:sz="0" w:space="0" w:color="auto"/>
            <w:right w:val="none" w:sz="0" w:space="0" w:color="auto"/>
          </w:divBdr>
        </w:div>
      </w:divsChild>
    </w:div>
    <w:div w:id="850408808">
      <w:bodyDiv w:val="1"/>
      <w:marLeft w:val="0"/>
      <w:marRight w:val="0"/>
      <w:marTop w:val="0"/>
      <w:marBottom w:val="0"/>
      <w:divBdr>
        <w:top w:val="none" w:sz="0" w:space="0" w:color="auto"/>
        <w:left w:val="none" w:sz="0" w:space="0" w:color="auto"/>
        <w:bottom w:val="none" w:sz="0" w:space="0" w:color="auto"/>
        <w:right w:val="none" w:sz="0" w:space="0" w:color="auto"/>
      </w:divBdr>
    </w:div>
    <w:div w:id="855342753">
      <w:bodyDiv w:val="1"/>
      <w:marLeft w:val="0"/>
      <w:marRight w:val="0"/>
      <w:marTop w:val="0"/>
      <w:marBottom w:val="0"/>
      <w:divBdr>
        <w:top w:val="none" w:sz="0" w:space="0" w:color="auto"/>
        <w:left w:val="none" w:sz="0" w:space="0" w:color="auto"/>
        <w:bottom w:val="none" w:sz="0" w:space="0" w:color="auto"/>
        <w:right w:val="none" w:sz="0" w:space="0" w:color="auto"/>
      </w:divBdr>
    </w:div>
    <w:div w:id="857737516">
      <w:bodyDiv w:val="1"/>
      <w:marLeft w:val="0"/>
      <w:marRight w:val="0"/>
      <w:marTop w:val="0"/>
      <w:marBottom w:val="0"/>
      <w:divBdr>
        <w:top w:val="none" w:sz="0" w:space="0" w:color="auto"/>
        <w:left w:val="none" w:sz="0" w:space="0" w:color="auto"/>
        <w:bottom w:val="none" w:sz="0" w:space="0" w:color="auto"/>
        <w:right w:val="none" w:sz="0" w:space="0" w:color="auto"/>
      </w:divBdr>
    </w:div>
    <w:div w:id="887499780">
      <w:bodyDiv w:val="1"/>
      <w:marLeft w:val="0"/>
      <w:marRight w:val="0"/>
      <w:marTop w:val="0"/>
      <w:marBottom w:val="0"/>
      <w:divBdr>
        <w:top w:val="none" w:sz="0" w:space="0" w:color="auto"/>
        <w:left w:val="none" w:sz="0" w:space="0" w:color="auto"/>
        <w:bottom w:val="none" w:sz="0" w:space="0" w:color="auto"/>
        <w:right w:val="none" w:sz="0" w:space="0" w:color="auto"/>
      </w:divBdr>
      <w:divsChild>
        <w:div w:id="86075394">
          <w:marLeft w:val="576"/>
          <w:marRight w:val="0"/>
          <w:marTop w:val="240"/>
          <w:marBottom w:val="0"/>
          <w:divBdr>
            <w:top w:val="none" w:sz="0" w:space="0" w:color="auto"/>
            <w:left w:val="none" w:sz="0" w:space="0" w:color="auto"/>
            <w:bottom w:val="none" w:sz="0" w:space="0" w:color="auto"/>
            <w:right w:val="none" w:sz="0" w:space="0" w:color="auto"/>
          </w:divBdr>
        </w:div>
        <w:div w:id="375395190">
          <w:marLeft w:val="1152"/>
          <w:marRight w:val="0"/>
          <w:marTop w:val="0"/>
          <w:marBottom w:val="0"/>
          <w:divBdr>
            <w:top w:val="none" w:sz="0" w:space="0" w:color="auto"/>
            <w:left w:val="none" w:sz="0" w:space="0" w:color="auto"/>
            <w:bottom w:val="none" w:sz="0" w:space="0" w:color="auto"/>
            <w:right w:val="none" w:sz="0" w:space="0" w:color="auto"/>
          </w:divBdr>
        </w:div>
        <w:div w:id="510998217">
          <w:marLeft w:val="576"/>
          <w:marRight w:val="0"/>
          <w:marTop w:val="240"/>
          <w:marBottom w:val="0"/>
          <w:divBdr>
            <w:top w:val="none" w:sz="0" w:space="0" w:color="auto"/>
            <w:left w:val="none" w:sz="0" w:space="0" w:color="auto"/>
            <w:bottom w:val="none" w:sz="0" w:space="0" w:color="auto"/>
            <w:right w:val="none" w:sz="0" w:space="0" w:color="auto"/>
          </w:divBdr>
        </w:div>
        <w:div w:id="561986510">
          <w:marLeft w:val="576"/>
          <w:marRight w:val="0"/>
          <w:marTop w:val="240"/>
          <w:marBottom w:val="0"/>
          <w:divBdr>
            <w:top w:val="none" w:sz="0" w:space="0" w:color="auto"/>
            <w:left w:val="none" w:sz="0" w:space="0" w:color="auto"/>
            <w:bottom w:val="none" w:sz="0" w:space="0" w:color="auto"/>
            <w:right w:val="none" w:sz="0" w:space="0" w:color="auto"/>
          </w:divBdr>
        </w:div>
        <w:div w:id="1760831933">
          <w:marLeft w:val="1152"/>
          <w:marRight w:val="0"/>
          <w:marTop w:val="0"/>
          <w:marBottom w:val="0"/>
          <w:divBdr>
            <w:top w:val="none" w:sz="0" w:space="0" w:color="auto"/>
            <w:left w:val="none" w:sz="0" w:space="0" w:color="auto"/>
            <w:bottom w:val="none" w:sz="0" w:space="0" w:color="auto"/>
            <w:right w:val="none" w:sz="0" w:space="0" w:color="auto"/>
          </w:divBdr>
        </w:div>
      </w:divsChild>
    </w:div>
    <w:div w:id="900098264">
      <w:bodyDiv w:val="1"/>
      <w:marLeft w:val="0"/>
      <w:marRight w:val="0"/>
      <w:marTop w:val="0"/>
      <w:marBottom w:val="0"/>
      <w:divBdr>
        <w:top w:val="none" w:sz="0" w:space="0" w:color="auto"/>
        <w:left w:val="none" w:sz="0" w:space="0" w:color="auto"/>
        <w:bottom w:val="none" w:sz="0" w:space="0" w:color="auto"/>
        <w:right w:val="none" w:sz="0" w:space="0" w:color="auto"/>
      </w:divBdr>
    </w:div>
    <w:div w:id="919289209">
      <w:bodyDiv w:val="1"/>
      <w:marLeft w:val="0"/>
      <w:marRight w:val="0"/>
      <w:marTop w:val="0"/>
      <w:marBottom w:val="0"/>
      <w:divBdr>
        <w:top w:val="none" w:sz="0" w:space="0" w:color="auto"/>
        <w:left w:val="none" w:sz="0" w:space="0" w:color="auto"/>
        <w:bottom w:val="none" w:sz="0" w:space="0" w:color="auto"/>
        <w:right w:val="none" w:sz="0" w:space="0" w:color="auto"/>
      </w:divBdr>
    </w:div>
    <w:div w:id="940644029">
      <w:bodyDiv w:val="1"/>
      <w:marLeft w:val="0"/>
      <w:marRight w:val="0"/>
      <w:marTop w:val="0"/>
      <w:marBottom w:val="0"/>
      <w:divBdr>
        <w:top w:val="none" w:sz="0" w:space="0" w:color="auto"/>
        <w:left w:val="none" w:sz="0" w:space="0" w:color="auto"/>
        <w:bottom w:val="none" w:sz="0" w:space="0" w:color="auto"/>
        <w:right w:val="none" w:sz="0" w:space="0" w:color="auto"/>
      </w:divBdr>
    </w:div>
    <w:div w:id="948590418">
      <w:bodyDiv w:val="1"/>
      <w:marLeft w:val="0"/>
      <w:marRight w:val="0"/>
      <w:marTop w:val="0"/>
      <w:marBottom w:val="0"/>
      <w:divBdr>
        <w:top w:val="none" w:sz="0" w:space="0" w:color="auto"/>
        <w:left w:val="none" w:sz="0" w:space="0" w:color="auto"/>
        <w:bottom w:val="none" w:sz="0" w:space="0" w:color="auto"/>
        <w:right w:val="none" w:sz="0" w:space="0" w:color="auto"/>
      </w:divBdr>
      <w:divsChild>
        <w:div w:id="1410616313">
          <w:marLeft w:val="547"/>
          <w:marRight w:val="0"/>
          <w:marTop w:val="0"/>
          <w:marBottom w:val="0"/>
          <w:divBdr>
            <w:top w:val="none" w:sz="0" w:space="0" w:color="auto"/>
            <w:left w:val="none" w:sz="0" w:space="0" w:color="auto"/>
            <w:bottom w:val="none" w:sz="0" w:space="0" w:color="auto"/>
            <w:right w:val="none" w:sz="0" w:space="0" w:color="auto"/>
          </w:divBdr>
        </w:div>
        <w:div w:id="1987780295">
          <w:marLeft w:val="547"/>
          <w:marRight w:val="0"/>
          <w:marTop w:val="0"/>
          <w:marBottom w:val="0"/>
          <w:divBdr>
            <w:top w:val="none" w:sz="0" w:space="0" w:color="auto"/>
            <w:left w:val="none" w:sz="0" w:space="0" w:color="auto"/>
            <w:bottom w:val="none" w:sz="0" w:space="0" w:color="auto"/>
            <w:right w:val="none" w:sz="0" w:space="0" w:color="auto"/>
          </w:divBdr>
        </w:div>
      </w:divsChild>
    </w:div>
    <w:div w:id="978269517">
      <w:bodyDiv w:val="1"/>
      <w:marLeft w:val="0"/>
      <w:marRight w:val="0"/>
      <w:marTop w:val="0"/>
      <w:marBottom w:val="0"/>
      <w:divBdr>
        <w:top w:val="none" w:sz="0" w:space="0" w:color="auto"/>
        <w:left w:val="none" w:sz="0" w:space="0" w:color="auto"/>
        <w:bottom w:val="none" w:sz="0" w:space="0" w:color="auto"/>
        <w:right w:val="none" w:sz="0" w:space="0" w:color="auto"/>
      </w:divBdr>
      <w:divsChild>
        <w:div w:id="1304504226">
          <w:marLeft w:val="547"/>
          <w:marRight w:val="0"/>
          <w:marTop w:val="60"/>
          <w:marBottom w:val="0"/>
          <w:divBdr>
            <w:top w:val="none" w:sz="0" w:space="0" w:color="auto"/>
            <w:left w:val="none" w:sz="0" w:space="0" w:color="auto"/>
            <w:bottom w:val="none" w:sz="0" w:space="0" w:color="auto"/>
            <w:right w:val="none" w:sz="0" w:space="0" w:color="auto"/>
          </w:divBdr>
        </w:div>
        <w:div w:id="1736005823">
          <w:marLeft w:val="547"/>
          <w:marRight w:val="0"/>
          <w:marTop w:val="60"/>
          <w:marBottom w:val="0"/>
          <w:divBdr>
            <w:top w:val="none" w:sz="0" w:space="0" w:color="auto"/>
            <w:left w:val="none" w:sz="0" w:space="0" w:color="auto"/>
            <w:bottom w:val="none" w:sz="0" w:space="0" w:color="auto"/>
            <w:right w:val="none" w:sz="0" w:space="0" w:color="auto"/>
          </w:divBdr>
        </w:div>
        <w:div w:id="1955945201">
          <w:marLeft w:val="547"/>
          <w:marRight w:val="0"/>
          <w:marTop w:val="60"/>
          <w:marBottom w:val="0"/>
          <w:divBdr>
            <w:top w:val="none" w:sz="0" w:space="0" w:color="auto"/>
            <w:left w:val="none" w:sz="0" w:space="0" w:color="auto"/>
            <w:bottom w:val="none" w:sz="0" w:space="0" w:color="auto"/>
            <w:right w:val="none" w:sz="0" w:space="0" w:color="auto"/>
          </w:divBdr>
        </w:div>
      </w:divsChild>
    </w:div>
    <w:div w:id="990598188">
      <w:bodyDiv w:val="1"/>
      <w:marLeft w:val="0"/>
      <w:marRight w:val="0"/>
      <w:marTop w:val="0"/>
      <w:marBottom w:val="0"/>
      <w:divBdr>
        <w:top w:val="none" w:sz="0" w:space="0" w:color="auto"/>
        <w:left w:val="none" w:sz="0" w:space="0" w:color="auto"/>
        <w:bottom w:val="none" w:sz="0" w:space="0" w:color="auto"/>
        <w:right w:val="none" w:sz="0" w:space="0" w:color="auto"/>
      </w:divBdr>
      <w:divsChild>
        <w:div w:id="855342280">
          <w:marLeft w:val="547"/>
          <w:marRight w:val="0"/>
          <w:marTop w:val="0"/>
          <w:marBottom w:val="0"/>
          <w:divBdr>
            <w:top w:val="none" w:sz="0" w:space="0" w:color="auto"/>
            <w:left w:val="none" w:sz="0" w:space="0" w:color="auto"/>
            <w:bottom w:val="none" w:sz="0" w:space="0" w:color="auto"/>
            <w:right w:val="none" w:sz="0" w:space="0" w:color="auto"/>
          </w:divBdr>
        </w:div>
        <w:div w:id="1181552579">
          <w:marLeft w:val="547"/>
          <w:marRight w:val="0"/>
          <w:marTop w:val="0"/>
          <w:marBottom w:val="0"/>
          <w:divBdr>
            <w:top w:val="none" w:sz="0" w:space="0" w:color="auto"/>
            <w:left w:val="none" w:sz="0" w:space="0" w:color="auto"/>
            <w:bottom w:val="none" w:sz="0" w:space="0" w:color="auto"/>
            <w:right w:val="none" w:sz="0" w:space="0" w:color="auto"/>
          </w:divBdr>
        </w:div>
      </w:divsChild>
    </w:div>
    <w:div w:id="1172798510">
      <w:bodyDiv w:val="1"/>
      <w:marLeft w:val="0"/>
      <w:marRight w:val="0"/>
      <w:marTop w:val="0"/>
      <w:marBottom w:val="0"/>
      <w:divBdr>
        <w:top w:val="none" w:sz="0" w:space="0" w:color="auto"/>
        <w:left w:val="none" w:sz="0" w:space="0" w:color="auto"/>
        <w:bottom w:val="none" w:sz="0" w:space="0" w:color="auto"/>
        <w:right w:val="none" w:sz="0" w:space="0" w:color="auto"/>
      </w:divBdr>
      <w:divsChild>
        <w:div w:id="1167331117">
          <w:marLeft w:val="403"/>
          <w:marRight w:val="0"/>
          <w:marTop w:val="0"/>
          <w:marBottom w:val="0"/>
          <w:divBdr>
            <w:top w:val="none" w:sz="0" w:space="0" w:color="auto"/>
            <w:left w:val="none" w:sz="0" w:space="0" w:color="auto"/>
            <w:bottom w:val="none" w:sz="0" w:space="0" w:color="auto"/>
            <w:right w:val="none" w:sz="0" w:space="0" w:color="auto"/>
          </w:divBdr>
        </w:div>
        <w:div w:id="1242837375">
          <w:marLeft w:val="403"/>
          <w:marRight w:val="0"/>
          <w:marTop w:val="0"/>
          <w:marBottom w:val="0"/>
          <w:divBdr>
            <w:top w:val="none" w:sz="0" w:space="0" w:color="auto"/>
            <w:left w:val="none" w:sz="0" w:space="0" w:color="auto"/>
            <w:bottom w:val="none" w:sz="0" w:space="0" w:color="auto"/>
            <w:right w:val="none" w:sz="0" w:space="0" w:color="auto"/>
          </w:divBdr>
        </w:div>
        <w:div w:id="1287004654">
          <w:marLeft w:val="403"/>
          <w:marRight w:val="0"/>
          <w:marTop w:val="0"/>
          <w:marBottom w:val="0"/>
          <w:divBdr>
            <w:top w:val="none" w:sz="0" w:space="0" w:color="auto"/>
            <w:left w:val="none" w:sz="0" w:space="0" w:color="auto"/>
            <w:bottom w:val="none" w:sz="0" w:space="0" w:color="auto"/>
            <w:right w:val="none" w:sz="0" w:space="0" w:color="auto"/>
          </w:divBdr>
        </w:div>
      </w:divsChild>
    </w:div>
    <w:div w:id="1188257495">
      <w:bodyDiv w:val="1"/>
      <w:marLeft w:val="0"/>
      <w:marRight w:val="0"/>
      <w:marTop w:val="0"/>
      <w:marBottom w:val="0"/>
      <w:divBdr>
        <w:top w:val="none" w:sz="0" w:space="0" w:color="auto"/>
        <w:left w:val="none" w:sz="0" w:space="0" w:color="auto"/>
        <w:bottom w:val="none" w:sz="0" w:space="0" w:color="auto"/>
        <w:right w:val="none" w:sz="0" w:space="0" w:color="auto"/>
      </w:divBdr>
    </w:div>
    <w:div w:id="1202590642">
      <w:bodyDiv w:val="1"/>
      <w:marLeft w:val="0"/>
      <w:marRight w:val="0"/>
      <w:marTop w:val="0"/>
      <w:marBottom w:val="0"/>
      <w:divBdr>
        <w:top w:val="none" w:sz="0" w:space="0" w:color="auto"/>
        <w:left w:val="none" w:sz="0" w:space="0" w:color="auto"/>
        <w:bottom w:val="none" w:sz="0" w:space="0" w:color="auto"/>
        <w:right w:val="none" w:sz="0" w:space="0" w:color="auto"/>
      </w:divBdr>
      <w:divsChild>
        <w:div w:id="573900106">
          <w:marLeft w:val="576"/>
          <w:marRight w:val="0"/>
          <w:marTop w:val="360"/>
          <w:marBottom w:val="0"/>
          <w:divBdr>
            <w:top w:val="none" w:sz="0" w:space="0" w:color="auto"/>
            <w:left w:val="none" w:sz="0" w:space="0" w:color="auto"/>
            <w:bottom w:val="none" w:sz="0" w:space="0" w:color="auto"/>
            <w:right w:val="none" w:sz="0" w:space="0" w:color="auto"/>
          </w:divBdr>
        </w:div>
        <w:div w:id="1168444555">
          <w:marLeft w:val="576"/>
          <w:marRight w:val="0"/>
          <w:marTop w:val="360"/>
          <w:marBottom w:val="0"/>
          <w:divBdr>
            <w:top w:val="none" w:sz="0" w:space="0" w:color="auto"/>
            <w:left w:val="none" w:sz="0" w:space="0" w:color="auto"/>
            <w:bottom w:val="none" w:sz="0" w:space="0" w:color="auto"/>
            <w:right w:val="none" w:sz="0" w:space="0" w:color="auto"/>
          </w:divBdr>
        </w:div>
      </w:divsChild>
    </w:div>
    <w:div w:id="1218273882">
      <w:bodyDiv w:val="1"/>
      <w:marLeft w:val="0"/>
      <w:marRight w:val="0"/>
      <w:marTop w:val="0"/>
      <w:marBottom w:val="0"/>
      <w:divBdr>
        <w:top w:val="none" w:sz="0" w:space="0" w:color="auto"/>
        <w:left w:val="none" w:sz="0" w:space="0" w:color="auto"/>
        <w:bottom w:val="none" w:sz="0" w:space="0" w:color="auto"/>
        <w:right w:val="none" w:sz="0" w:space="0" w:color="auto"/>
      </w:divBdr>
    </w:div>
    <w:div w:id="1273125436">
      <w:bodyDiv w:val="1"/>
      <w:marLeft w:val="0"/>
      <w:marRight w:val="0"/>
      <w:marTop w:val="0"/>
      <w:marBottom w:val="0"/>
      <w:divBdr>
        <w:top w:val="none" w:sz="0" w:space="0" w:color="auto"/>
        <w:left w:val="none" w:sz="0" w:space="0" w:color="auto"/>
        <w:bottom w:val="none" w:sz="0" w:space="0" w:color="auto"/>
        <w:right w:val="none" w:sz="0" w:space="0" w:color="auto"/>
      </w:divBdr>
      <w:divsChild>
        <w:div w:id="697925612">
          <w:marLeft w:val="547"/>
          <w:marRight w:val="0"/>
          <w:marTop w:val="0"/>
          <w:marBottom w:val="0"/>
          <w:divBdr>
            <w:top w:val="none" w:sz="0" w:space="0" w:color="auto"/>
            <w:left w:val="none" w:sz="0" w:space="0" w:color="auto"/>
            <w:bottom w:val="none" w:sz="0" w:space="0" w:color="auto"/>
            <w:right w:val="none" w:sz="0" w:space="0" w:color="auto"/>
          </w:divBdr>
        </w:div>
        <w:div w:id="1221208141">
          <w:marLeft w:val="547"/>
          <w:marRight w:val="0"/>
          <w:marTop w:val="0"/>
          <w:marBottom w:val="0"/>
          <w:divBdr>
            <w:top w:val="none" w:sz="0" w:space="0" w:color="auto"/>
            <w:left w:val="none" w:sz="0" w:space="0" w:color="auto"/>
            <w:bottom w:val="none" w:sz="0" w:space="0" w:color="auto"/>
            <w:right w:val="none" w:sz="0" w:space="0" w:color="auto"/>
          </w:divBdr>
        </w:div>
      </w:divsChild>
    </w:div>
    <w:div w:id="1287737251">
      <w:bodyDiv w:val="1"/>
      <w:marLeft w:val="0"/>
      <w:marRight w:val="0"/>
      <w:marTop w:val="0"/>
      <w:marBottom w:val="0"/>
      <w:divBdr>
        <w:top w:val="none" w:sz="0" w:space="0" w:color="auto"/>
        <w:left w:val="none" w:sz="0" w:space="0" w:color="auto"/>
        <w:bottom w:val="none" w:sz="0" w:space="0" w:color="auto"/>
        <w:right w:val="none" w:sz="0" w:space="0" w:color="auto"/>
      </w:divBdr>
    </w:div>
    <w:div w:id="1309703921">
      <w:bodyDiv w:val="1"/>
      <w:marLeft w:val="0"/>
      <w:marRight w:val="0"/>
      <w:marTop w:val="0"/>
      <w:marBottom w:val="0"/>
      <w:divBdr>
        <w:top w:val="none" w:sz="0" w:space="0" w:color="auto"/>
        <w:left w:val="none" w:sz="0" w:space="0" w:color="auto"/>
        <w:bottom w:val="none" w:sz="0" w:space="0" w:color="auto"/>
        <w:right w:val="none" w:sz="0" w:space="0" w:color="auto"/>
      </w:divBdr>
      <w:divsChild>
        <w:div w:id="739210313">
          <w:marLeft w:val="403"/>
          <w:marRight w:val="0"/>
          <w:marTop w:val="0"/>
          <w:marBottom w:val="0"/>
          <w:divBdr>
            <w:top w:val="none" w:sz="0" w:space="0" w:color="auto"/>
            <w:left w:val="none" w:sz="0" w:space="0" w:color="auto"/>
            <w:bottom w:val="none" w:sz="0" w:space="0" w:color="auto"/>
            <w:right w:val="none" w:sz="0" w:space="0" w:color="auto"/>
          </w:divBdr>
        </w:div>
        <w:div w:id="765418985">
          <w:marLeft w:val="2304"/>
          <w:marRight w:val="0"/>
          <w:marTop w:val="0"/>
          <w:marBottom w:val="0"/>
          <w:divBdr>
            <w:top w:val="none" w:sz="0" w:space="0" w:color="auto"/>
            <w:left w:val="none" w:sz="0" w:space="0" w:color="auto"/>
            <w:bottom w:val="none" w:sz="0" w:space="0" w:color="auto"/>
            <w:right w:val="none" w:sz="0" w:space="0" w:color="auto"/>
          </w:divBdr>
        </w:div>
        <w:div w:id="864950408">
          <w:marLeft w:val="1771"/>
          <w:marRight w:val="0"/>
          <w:marTop w:val="0"/>
          <w:marBottom w:val="0"/>
          <w:divBdr>
            <w:top w:val="none" w:sz="0" w:space="0" w:color="auto"/>
            <w:left w:val="none" w:sz="0" w:space="0" w:color="auto"/>
            <w:bottom w:val="none" w:sz="0" w:space="0" w:color="auto"/>
            <w:right w:val="none" w:sz="0" w:space="0" w:color="auto"/>
          </w:divBdr>
        </w:div>
        <w:div w:id="1502282952">
          <w:marLeft w:val="2304"/>
          <w:marRight w:val="0"/>
          <w:marTop w:val="0"/>
          <w:marBottom w:val="0"/>
          <w:divBdr>
            <w:top w:val="none" w:sz="0" w:space="0" w:color="auto"/>
            <w:left w:val="none" w:sz="0" w:space="0" w:color="auto"/>
            <w:bottom w:val="none" w:sz="0" w:space="0" w:color="auto"/>
            <w:right w:val="none" w:sz="0" w:space="0" w:color="auto"/>
          </w:divBdr>
        </w:div>
        <w:div w:id="1661427721">
          <w:marLeft w:val="1771"/>
          <w:marRight w:val="0"/>
          <w:marTop w:val="0"/>
          <w:marBottom w:val="0"/>
          <w:divBdr>
            <w:top w:val="none" w:sz="0" w:space="0" w:color="auto"/>
            <w:left w:val="none" w:sz="0" w:space="0" w:color="auto"/>
            <w:bottom w:val="none" w:sz="0" w:space="0" w:color="auto"/>
            <w:right w:val="none" w:sz="0" w:space="0" w:color="auto"/>
          </w:divBdr>
        </w:div>
        <w:div w:id="1920863027">
          <w:marLeft w:val="2304"/>
          <w:marRight w:val="0"/>
          <w:marTop w:val="0"/>
          <w:marBottom w:val="120"/>
          <w:divBdr>
            <w:top w:val="none" w:sz="0" w:space="0" w:color="auto"/>
            <w:left w:val="none" w:sz="0" w:space="0" w:color="auto"/>
            <w:bottom w:val="none" w:sz="0" w:space="0" w:color="auto"/>
            <w:right w:val="none" w:sz="0" w:space="0" w:color="auto"/>
          </w:divBdr>
        </w:div>
        <w:div w:id="2005888406">
          <w:marLeft w:val="1771"/>
          <w:marRight w:val="0"/>
          <w:marTop w:val="0"/>
          <w:marBottom w:val="0"/>
          <w:divBdr>
            <w:top w:val="none" w:sz="0" w:space="0" w:color="auto"/>
            <w:left w:val="none" w:sz="0" w:space="0" w:color="auto"/>
            <w:bottom w:val="none" w:sz="0" w:space="0" w:color="auto"/>
            <w:right w:val="none" w:sz="0" w:space="0" w:color="auto"/>
          </w:divBdr>
        </w:div>
        <w:div w:id="2011788148">
          <w:marLeft w:val="1771"/>
          <w:marRight w:val="0"/>
          <w:marTop w:val="0"/>
          <w:marBottom w:val="0"/>
          <w:divBdr>
            <w:top w:val="none" w:sz="0" w:space="0" w:color="auto"/>
            <w:left w:val="none" w:sz="0" w:space="0" w:color="auto"/>
            <w:bottom w:val="none" w:sz="0" w:space="0" w:color="auto"/>
            <w:right w:val="none" w:sz="0" w:space="0" w:color="auto"/>
          </w:divBdr>
        </w:div>
      </w:divsChild>
    </w:div>
    <w:div w:id="1310400688">
      <w:bodyDiv w:val="1"/>
      <w:marLeft w:val="0"/>
      <w:marRight w:val="0"/>
      <w:marTop w:val="0"/>
      <w:marBottom w:val="0"/>
      <w:divBdr>
        <w:top w:val="none" w:sz="0" w:space="0" w:color="auto"/>
        <w:left w:val="none" w:sz="0" w:space="0" w:color="auto"/>
        <w:bottom w:val="none" w:sz="0" w:space="0" w:color="auto"/>
        <w:right w:val="none" w:sz="0" w:space="0" w:color="auto"/>
      </w:divBdr>
      <w:divsChild>
        <w:div w:id="499085432">
          <w:marLeft w:val="1210"/>
          <w:marRight w:val="0"/>
          <w:marTop w:val="0"/>
          <w:marBottom w:val="0"/>
          <w:divBdr>
            <w:top w:val="none" w:sz="0" w:space="0" w:color="auto"/>
            <w:left w:val="none" w:sz="0" w:space="0" w:color="auto"/>
            <w:bottom w:val="none" w:sz="0" w:space="0" w:color="auto"/>
            <w:right w:val="none" w:sz="0" w:space="0" w:color="auto"/>
          </w:divBdr>
        </w:div>
        <w:div w:id="533232536">
          <w:marLeft w:val="1210"/>
          <w:marRight w:val="0"/>
          <w:marTop w:val="0"/>
          <w:marBottom w:val="0"/>
          <w:divBdr>
            <w:top w:val="none" w:sz="0" w:space="0" w:color="auto"/>
            <w:left w:val="none" w:sz="0" w:space="0" w:color="auto"/>
            <w:bottom w:val="none" w:sz="0" w:space="0" w:color="auto"/>
            <w:right w:val="none" w:sz="0" w:space="0" w:color="auto"/>
          </w:divBdr>
        </w:div>
        <w:div w:id="563757836">
          <w:marLeft w:val="1210"/>
          <w:marRight w:val="0"/>
          <w:marTop w:val="0"/>
          <w:marBottom w:val="0"/>
          <w:divBdr>
            <w:top w:val="none" w:sz="0" w:space="0" w:color="auto"/>
            <w:left w:val="none" w:sz="0" w:space="0" w:color="auto"/>
            <w:bottom w:val="none" w:sz="0" w:space="0" w:color="auto"/>
            <w:right w:val="none" w:sz="0" w:space="0" w:color="auto"/>
          </w:divBdr>
        </w:div>
        <w:div w:id="695741198">
          <w:marLeft w:val="1210"/>
          <w:marRight w:val="0"/>
          <w:marTop w:val="0"/>
          <w:marBottom w:val="0"/>
          <w:divBdr>
            <w:top w:val="none" w:sz="0" w:space="0" w:color="auto"/>
            <w:left w:val="none" w:sz="0" w:space="0" w:color="auto"/>
            <w:bottom w:val="none" w:sz="0" w:space="0" w:color="auto"/>
            <w:right w:val="none" w:sz="0" w:space="0" w:color="auto"/>
          </w:divBdr>
        </w:div>
        <w:div w:id="927543459">
          <w:marLeft w:val="576"/>
          <w:marRight w:val="0"/>
          <w:marTop w:val="0"/>
          <w:marBottom w:val="0"/>
          <w:divBdr>
            <w:top w:val="none" w:sz="0" w:space="0" w:color="auto"/>
            <w:left w:val="none" w:sz="0" w:space="0" w:color="auto"/>
            <w:bottom w:val="none" w:sz="0" w:space="0" w:color="auto"/>
            <w:right w:val="none" w:sz="0" w:space="0" w:color="auto"/>
          </w:divBdr>
        </w:div>
        <w:div w:id="1457482723">
          <w:marLeft w:val="1210"/>
          <w:marRight w:val="0"/>
          <w:marTop w:val="0"/>
          <w:marBottom w:val="0"/>
          <w:divBdr>
            <w:top w:val="none" w:sz="0" w:space="0" w:color="auto"/>
            <w:left w:val="none" w:sz="0" w:space="0" w:color="auto"/>
            <w:bottom w:val="none" w:sz="0" w:space="0" w:color="auto"/>
            <w:right w:val="none" w:sz="0" w:space="0" w:color="auto"/>
          </w:divBdr>
        </w:div>
        <w:div w:id="1498230991">
          <w:marLeft w:val="576"/>
          <w:marRight w:val="0"/>
          <w:marTop w:val="0"/>
          <w:marBottom w:val="0"/>
          <w:divBdr>
            <w:top w:val="none" w:sz="0" w:space="0" w:color="auto"/>
            <w:left w:val="none" w:sz="0" w:space="0" w:color="auto"/>
            <w:bottom w:val="none" w:sz="0" w:space="0" w:color="auto"/>
            <w:right w:val="none" w:sz="0" w:space="0" w:color="auto"/>
          </w:divBdr>
        </w:div>
        <w:div w:id="1879469639">
          <w:marLeft w:val="1210"/>
          <w:marRight w:val="0"/>
          <w:marTop w:val="0"/>
          <w:marBottom w:val="0"/>
          <w:divBdr>
            <w:top w:val="none" w:sz="0" w:space="0" w:color="auto"/>
            <w:left w:val="none" w:sz="0" w:space="0" w:color="auto"/>
            <w:bottom w:val="none" w:sz="0" w:space="0" w:color="auto"/>
            <w:right w:val="none" w:sz="0" w:space="0" w:color="auto"/>
          </w:divBdr>
        </w:div>
      </w:divsChild>
    </w:div>
    <w:div w:id="1382710389">
      <w:bodyDiv w:val="1"/>
      <w:marLeft w:val="0"/>
      <w:marRight w:val="0"/>
      <w:marTop w:val="0"/>
      <w:marBottom w:val="0"/>
      <w:divBdr>
        <w:top w:val="none" w:sz="0" w:space="0" w:color="auto"/>
        <w:left w:val="none" w:sz="0" w:space="0" w:color="auto"/>
        <w:bottom w:val="none" w:sz="0" w:space="0" w:color="auto"/>
        <w:right w:val="none" w:sz="0" w:space="0" w:color="auto"/>
      </w:divBdr>
    </w:div>
    <w:div w:id="1397164348">
      <w:bodyDiv w:val="1"/>
      <w:marLeft w:val="0"/>
      <w:marRight w:val="0"/>
      <w:marTop w:val="0"/>
      <w:marBottom w:val="0"/>
      <w:divBdr>
        <w:top w:val="none" w:sz="0" w:space="0" w:color="auto"/>
        <w:left w:val="none" w:sz="0" w:space="0" w:color="auto"/>
        <w:bottom w:val="none" w:sz="0" w:space="0" w:color="auto"/>
        <w:right w:val="none" w:sz="0" w:space="0" w:color="auto"/>
      </w:divBdr>
      <w:divsChild>
        <w:div w:id="816920535">
          <w:marLeft w:val="792"/>
          <w:marRight w:val="0"/>
          <w:marTop w:val="240"/>
          <w:marBottom w:val="0"/>
          <w:divBdr>
            <w:top w:val="none" w:sz="0" w:space="0" w:color="auto"/>
            <w:left w:val="none" w:sz="0" w:space="0" w:color="auto"/>
            <w:bottom w:val="none" w:sz="0" w:space="0" w:color="auto"/>
            <w:right w:val="none" w:sz="0" w:space="0" w:color="auto"/>
          </w:divBdr>
        </w:div>
        <w:div w:id="1561087150">
          <w:marLeft w:val="792"/>
          <w:marRight w:val="0"/>
          <w:marTop w:val="240"/>
          <w:marBottom w:val="0"/>
          <w:divBdr>
            <w:top w:val="none" w:sz="0" w:space="0" w:color="auto"/>
            <w:left w:val="none" w:sz="0" w:space="0" w:color="auto"/>
            <w:bottom w:val="none" w:sz="0" w:space="0" w:color="auto"/>
            <w:right w:val="none" w:sz="0" w:space="0" w:color="auto"/>
          </w:divBdr>
        </w:div>
        <w:div w:id="1774860754">
          <w:marLeft w:val="792"/>
          <w:marRight w:val="0"/>
          <w:marTop w:val="240"/>
          <w:marBottom w:val="0"/>
          <w:divBdr>
            <w:top w:val="none" w:sz="0" w:space="0" w:color="auto"/>
            <w:left w:val="none" w:sz="0" w:space="0" w:color="auto"/>
            <w:bottom w:val="none" w:sz="0" w:space="0" w:color="auto"/>
            <w:right w:val="none" w:sz="0" w:space="0" w:color="auto"/>
          </w:divBdr>
        </w:div>
        <w:div w:id="1795562822">
          <w:marLeft w:val="792"/>
          <w:marRight w:val="0"/>
          <w:marTop w:val="240"/>
          <w:marBottom w:val="0"/>
          <w:divBdr>
            <w:top w:val="none" w:sz="0" w:space="0" w:color="auto"/>
            <w:left w:val="none" w:sz="0" w:space="0" w:color="auto"/>
            <w:bottom w:val="none" w:sz="0" w:space="0" w:color="auto"/>
            <w:right w:val="none" w:sz="0" w:space="0" w:color="auto"/>
          </w:divBdr>
        </w:div>
        <w:div w:id="2091005971">
          <w:marLeft w:val="792"/>
          <w:marRight w:val="0"/>
          <w:marTop w:val="240"/>
          <w:marBottom w:val="0"/>
          <w:divBdr>
            <w:top w:val="none" w:sz="0" w:space="0" w:color="auto"/>
            <w:left w:val="none" w:sz="0" w:space="0" w:color="auto"/>
            <w:bottom w:val="none" w:sz="0" w:space="0" w:color="auto"/>
            <w:right w:val="none" w:sz="0" w:space="0" w:color="auto"/>
          </w:divBdr>
        </w:div>
      </w:divsChild>
    </w:div>
    <w:div w:id="1416318419">
      <w:bodyDiv w:val="1"/>
      <w:marLeft w:val="0"/>
      <w:marRight w:val="0"/>
      <w:marTop w:val="0"/>
      <w:marBottom w:val="0"/>
      <w:divBdr>
        <w:top w:val="none" w:sz="0" w:space="0" w:color="auto"/>
        <w:left w:val="none" w:sz="0" w:space="0" w:color="auto"/>
        <w:bottom w:val="none" w:sz="0" w:space="0" w:color="auto"/>
        <w:right w:val="none" w:sz="0" w:space="0" w:color="auto"/>
      </w:divBdr>
    </w:div>
    <w:div w:id="1427652085">
      <w:bodyDiv w:val="1"/>
      <w:marLeft w:val="0"/>
      <w:marRight w:val="0"/>
      <w:marTop w:val="0"/>
      <w:marBottom w:val="0"/>
      <w:divBdr>
        <w:top w:val="none" w:sz="0" w:space="0" w:color="auto"/>
        <w:left w:val="none" w:sz="0" w:space="0" w:color="auto"/>
        <w:bottom w:val="none" w:sz="0" w:space="0" w:color="auto"/>
        <w:right w:val="none" w:sz="0" w:space="0" w:color="auto"/>
      </w:divBdr>
    </w:div>
    <w:div w:id="1441220499">
      <w:bodyDiv w:val="1"/>
      <w:marLeft w:val="0"/>
      <w:marRight w:val="0"/>
      <w:marTop w:val="0"/>
      <w:marBottom w:val="0"/>
      <w:divBdr>
        <w:top w:val="none" w:sz="0" w:space="0" w:color="auto"/>
        <w:left w:val="none" w:sz="0" w:space="0" w:color="auto"/>
        <w:bottom w:val="none" w:sz="0" w:space="0" w:color="auto"/>
        <w:right w:val="none" w:sz="0" w:space="0" w:color="auto"/>
      </w:divBdr>
      <w:divsChild>
        <w:div w:id="39550537">
          <w:marLeft w:val="547"/>
          <w:marRight w:val="0"/>
          <w:marTop w:val="60"/>
          <w:marBottom w:val="0"/>
          <w:divBdr>
            <w:top w:val="none" w:sz="0" w:space="0" w:color="auto"/>
            <w:left w:val="none" w:sz="0" w:space="0" w:color="auto"/>
            <w:bottom w:val="none" w:sz="0" w:space="0" w:color="auto"/>
            <w:right w:val="none" w:sz="0" w:space="0" w:color="auto"/>
          </w:divBdr>
        </w:div>
        <w:div w:id="334695484">
          <w:marLeft w:val="547"/>
          <w:marRight w:val="0"/>
          <w:marTop w:val="60"/>
          <w:marBottom w:val="0"/>
          <w:divBdr>
            <w:top w:val="none" w:sz="0" w:space="0" w:color="auto"/>
            <w:left w:val="none" w:sz="0" w:space="0" w:color="auto"/>
            <w:bottom w:val="none" w:sz="0" w:space="0" w:color="auto"/>
            <w:right w:val="none" w:sz="0" w:space="0" w:color="auto"/>
          </w:divBdr>
        </w:div>
        <w:div w:id="550266047">
          <w:marLeft w:val="547"/>
          <w:marRight w:val="0"/>
          <w:marTop w:val="60"/>
          <w:marBottom w:val="0"/>
          <w:divBdr>
            <w:top w:val="none" w:sz="0" w:space="0" w:color="auto"/>
            <w:left w:val="none" w:sz="0" w:space="0" w:color="auto"/>
            <w:bottom w:val="none" w:sz="0" w:space="0" w:color="auto"/>
            <w:right w:val="none" w:sz="0" w:space="0" w:color="auto"/>
          </w:divBdr>
        </w:div>
        <w:div w:id="923758111">
          <w:marLeft w:val="547"/>
          <w:marRight w:val="0"/>
          <w:marTop w:val="60"/>
          <w:marBottom w:val="0"/>
          <w:divBdr>
            <w:top w:val="none" w:sz="0" w:space="0" w:color="auto"/>
            <w:left w:val="none" w:sz="0" w:space="0" w:color="auto"/>
            <w:bottom w:val="none" w:sz="0" w:space="0" w:color="auto"/>
            <w:right w:val="none" w:sz="0" w:space="0" w:color="auto"/>
          </w:divBdr>
        </w:div>
        <w:div w:id="1181353337">
          <w:marLeft w:val="547"/>
          <w:marRight w:val="0"/>
          <w:marTop w:val="60"/>
          <w:marBottom w:val="0"/>
          <w:divBdr>
            <w:top w:val="none" w:sz="0" w:space="0" w:color="auto"/>
            <w:left w:val="none" w:sz="0" w:space="0" w:color="auto"/>
            <w:bottom w:val="none" w:sz="0" w:space="0" w:color="auto"/>
            <w:right w:val="none" w:sz="0" w:space="0" w:color="auto"/>
          </w:divBdr>
        </w:div>
        <w:div w:id="1449742034">
          <w:marLeft w:val="547"/>
          <w:marRight w:val="0"/>
          <w:marTop w:val="60"/>
          <w:marBottom w:val="0"/>
          <w:divBdr>
            <w:top w:val="none" w:sz="0" w:space="0" w:color="auto"/>
            <w:left w:val="none" w:sz="0" w:space="0" w:color="auto"/>
            <w:bottom w:val="none" w:sz="0" w:space="0" w:color="auto"/>
            <w:right w:val="none" w:sz="0" w:space="0" w:color="auto"/>
          </w:divBdr>
        </w:div>
        <w:div w:id="1959145742">
          <w:marLeft w:val="547"/>
          <w:marRight w:val="0"/>
          <w:marTop w:val="60"/>
          <w:marBottom w:val="0"/>
          <w:divBdr>
            <w:top w:val="none" w:sz="0" w:space="0" w:color="auto"/>
            <w:left w:val="none" w:sz="0" w:space="0" w:color="auto"/>
            <w:bottom w:val="none" w:sz="0" w:space="0" w:color="auto"/>
            <w:right w:val="none" w:sz="0" w:space="0" w:color="auto"/>
          </w:divBdr>
        </w:div>
      </w:divsChild>
    </w:div>
    <w:div w:id="1442339529">
      <w:bodyDiv w:val="1"/>
      <w:marLeft w:val="0"/>
      <w:marRight w:val="0"/>
      <w:marTop w:val="0"/>
      <w:marBottom w:val="0"/>
      <w:divBdr>
        <w:top w:val="none" w:sz="0" w:space="0" w:color="auto"/>
        <w:left w:val="none" w:sz="0" w:space="0" w:color="auto"/>
        <w:bottom w:val="none" w:sz="0" w:space="0" w:color="auto"/>
        <w:right w:val="none" w:sz="0" w:space="0" w:color="auto"/>
      </w:divBdr>
      <w:divsChild>
        <w:div w:id="745344250">
          <w:marLeft w:val="547"/>
          <w:marRight w:val="0"/>
          <w:marTop w:val="120"/>
          <w:marBottom w:val="0"/>
          <w:divBdr>
            <w:top w:val="none" w:sz="0" w:space="0" w:color="auto"/>
            <w:left w:val="none" w:sz="0" w:space="0" w:color="auto"/>
            <w:bottom w:val="none" w:sz="0" w:space="0" w:color="auto"/>
            <w:right w:val="none" w:sz="0" w:space="0" w:color="auto"/>
          </w:divBdr>
        </w:div>
        <w:div w:id="948780900">
          <w:marLeft w:val="547"/>
          <w:marRight w:val="0"/>
          <w:marTop w:val="0"/>
          <w:marBottom w:val="0"/>
          <w:divBdr>
            <w:top w:val="none" w:sz="0" w:space="0" w:color="auto"/>
            <w:left w:val="none" w:sz="0" w:space="0" w:color="auto"/>
            <w:bottom w:val="none" w:sz="0" w:space="0" w:color="auto"/>
            <w:right w:val="none" w:sz="0" w:space="0" w:color="auto"/>
          </w:divBdr>
        </w:div>
        <w:div w:id="1185023359">
          <w:marLeft w:val="547"/>
          <w:marRight w:val="0"/>
          <w:marTop w:val="120"/>
          <w:marBottom w:val="0"/>
          <w:divBdr>
            <w:top w:val="none" w:sz="0" w:space="0" w:color="auto"/>
            <w:left w:val="none" w:sz="0" w:space="0" w:color="auto"/>
            <w:bottom w:val="none" w:sz="0" w:space="0" w:color="auto"/>
            <w:right w:val="none" w:sz="0" w:space="0" w:color="auto"/>
          </w:divBdr>
        </w:div>
      </w:divsChild>
    </w:div>
    <w:div w:id="1444299141">
      <w:bodyDiv w:val="1"/>
      <w:marLeft w:val="0"/>
      <w:marRight w:val="0"/>
      <w:marTop w:val="0"/>
      <w:marBottom w:val="0"/>
      <w:divBdr>
        <w:top w:val="none" w:sz="0" w:space="0" w:color="auto"/>
        <w:left w:val="none" w:sz="0" w:space="0" w:color="auto"/>
        <w:bottom w:val="none" w:sz="0" w:space="0" w:color="auto"/>
        <w:right w:val="none" w:sz="0" w:space="0" w:color="auto"/>
      </w:divBdr>
    </w:div>
    <w:div w:id="1456169938">
      <w:bodyDiv w:val="1"/>
      <w:marLeft w:val="0"/>
      <w:marRight w:val="0"/>
      <w:marTop w:val="0"/>
      <w:marBottom w:val="0"/>
      <w:divBdr>
        <w:top w:val="none" w:sz="0" w:space="0" w:color="auto"/>
        <w:left w:val="none" w:sz="0" w:space="0" w:color="auto"/>
        <w:bottom w:val="none" w:sz="0" w:space="0" w:color="auto"/>
        <w:right w:val="none" w:sz="0" w:space="0" w:color="auto"/>
      </w:divBdr>
      <w:divsChild>
        <w:div w:id="401415786">
          <w:marLeft w:val="792"/>
          <w:marRight w:val="0"/>
          <w:marTop w:val="240"/>
          <w:marBottom w:val="0"/>
          <w:divBdr>
            <w:top w:val="none" w:sz="0" w:space="0" w:color="auto"/>
            <w:left w:val="none" w:sz="0" w:space="0" w:color="auto"/>
            <w:bottom w:val="none" w:sz="0" w:space="0" w:color="auto"/>
            <w:right w:val="none" w:sz="0" w:space="0" w:color="auto"/>
          </w:divBdr>
        </w:div>
        <w:div w:id="974337527">
          <w:marLeft w:val="792"/>
          <w:marRight w:val="0"/>
          <w:marTop w:val="240"/>
          <w:marBottom w:val="0"/>
          <w:divBdr>
            <w:top w:val="none" w:sz="0" w:space="0" w:color="auto"/>
            <w:left w:val="none" w:sz="0" w:space="0" w:color="auto"/>
            <w:bottom w:val="none" w:sz="0" w:space="0" w:color="auto"/>
            <w:right w:val="none" w:sz="0" w:space="0" w:color="auto"/>
          </w:divBdr>
        </w:div>
        <w:div w:id="1026755647">
          <w:marLeft w:val="792"/>
          <w:marRight w:val="0"/>
          <w:marTop w:val="240"/>
          <w:marBottom w:val="0"/>
          <w:divBdr>
            <w:top w:val="none" w:sz="0" w:space="0" w:color="auto"/>
            <w:left w:val="none" w:sz="0" w:space="0" w:color="auto"/>
            <w:bottom w:val="none" w:sz="0" w:space="0" w:color="auto"/>
            <w:right w:val="none" w:sz="0" w:space="0" w:color="auto"/>
          </w:divBdr>
        </w:div>
        <w:div w:id="1055084790">
          <w:marLeft w:val="792"/>
          <w:marRight w:val="0"/>
          <w:marTop w:val="240"/>
          <w:marBottom w:val="0"/>
          <w:divBdr>
            <w:top w:val="none" w:sz="0" w:space="0" w:color="auto"/>
            <w:left w:val="none" w:sz="0" w:space="0" w:color="auto"/>
            <w:bottom w:val="none" w:sz="0" w:space="0" w:color="auto"/>
            <w:right w:val="none" w:sz="0" w:space="0" w:color="auto"/>
          </w:divBdr>
        </w:div>
        <w:div w:id="1808235893">
          <w:marLeft w:val="792"/>
          <w:marRight w:val="0"/>
          <w:marTop w:val="240"/>
          <w:marBottom w:val="0"/>
          <w:divBdr>
            <w:top w:val="none" w:sz="0" w:space="0" w:color="auto"/>
            <w:left w:val="none" w:sz="0" w:space="0" w:color="auto"/>
            <w:bottom w:val="none" w:sz="0" w:space="0" w:color="auto"/>
            <w:right w:val="none" w:sz="0" w:space="0" w:color="auto"/>
          </w:divBdr>
        </w:div>
        <w:div w:id="2135757308">
          <w:marLeft w:val="792"/>
          <w:marRight w:val="0"/>
          <w:marTop w:val="240"/>
          <w:marBottom w:val="0"/>
          <w:divBdr>
            <w:top w:val="none" w:sz="0" w:space="0" w:color="auto"/>
            <w:left w:val="none" w:sz="0" w:space="0" w:color="auto"/>
            <w:bottom w:val="none" w:sz="0" w:space="0" w:color="auto"/>
            <w:right w:val="none" w:sz="0" w:space="0" w:color="auto"/>
          </w:divBdr>
        </w:div>
      </w:divsChild>
    </w:div>
    <w:div w:id="1486435870">
      <w:bodyDiv w:val="1"/>
      <w:marLeft w:val="0"/>
      <w:marRight w:val="0"/>
      <w:marTop w:val="0"/>
      <w:marBottom w:val="0"/>
      <w:divBdr>
        <w:top w:val="none" w:sz="0" w:space="0" w:color="auto"/>
        <w:left w:val="none" w:sz="0" w:space="0" w:color="auto"/>
        <w:bottom w:val="none" w:sz="0" w:space="0" w:color="auto"/>
        <w:right w:val="none" w:sz="0" w:space="0" w:color="auto"/>
      </w:divBdr>
      <w:divsChild>
        <w:div w:id="506292545">
          <w:marLeft w:val="547"/>
          <w:marRight w:val="0"/>
          <w:marTop w:val="60"/>
          <w:marBottom w:val="0"/>
          <w:divBdr>
            <w:top w:val="none" w:sz="0" w:space="0" w:color="auto"/>
            <w:left w:val="none" w:sz="0" w:space="0" w:color="auto"/>
            <w:bottom w:val="none" w:sz="0" w:space="0" w:color="auto"/>
            <w:right w:val="none" w:sz="0" w:space="0" w:color="auto"/>
          </w:divBdr>
        </w:div>
        <w:div w:id="822505176">
          <w:marLeft w:val="547"/>
          <w:marRight w:val="0"/>
          <w:marTop w:val="60"/>
          <w:marBottom w:val="0"/>
          <w:divBdr>
            <w:top w:val="none" w:sz="0" w:space="0" w:color="auto"/>
            <w:left w:val="none" w:sz="0" w:space="0" w:color="auto"/>
            <w:bottom w:val="none" w:sz="0" w:space="0" w:color="auto"/>
            <w:right w:val="none" w:sz="0" w:space="0" w:color="auto"/>
          </w:divBdr>
        </w:div>
        <w:div w:id="2129884009">
          <w:marLeft w:val="547"/>
          <w:marRight w:val="0"/>
          <w:marTop w:val="60"/>
          <w:marBottom w:val="0"/>
          <w:divBdr>
            <w:top w:val="none" w:sz="0" w:space="0" w:color="auto"/>
            <w:left w:val="none" w:sz="0" w:space="0" w:color="auto"/>
            <w:bottom w:val="none" w:sz="0" w:space="0" w:color="auto"/>
            <w:right w:val="none" w:sz="0" w:space="0" w:color="auto"/>
          </w:divBdr>
        </w:div>
      </w:divsChild>
    </w:div>
    <w:div w:id="1486580714">
      <w:bodyDiv w:val="1"/>
      <w:marLeft w:val="0"/>
      <w:marRight w:val="0"/>
      <w:marTop w:val="0"/>
      <w:marBottom w:val="0"/>
      <w:divBdr>
        <w:top w:val="none" w:sz="0" w:space="0" w:color="auto"/>
        <w:left w:val="none" w:sz="0" w:space="0" w:color="auto"/>
        <w:bottom w:val="none" w:sz="0" w:space="0" w:color="auto"/>
        <w:right w:val="none" w:sz="0" w:space="0" w:color="auto"/>
      </w:divBdr>
      <w:divsChild>
        <w:div w:id="71895104">
          <w:marLeft w:val="403"/>
          <w:marRight w:val="0"/>
          <w:marTop w:val="240"/>
          <w:marBottom w:val="0"/>
          <w:divBdr>
            <w:top w:val="none" w:sz="0" w:space="0" w:color="auto"/>
            <w:left w:val="none" w:sz="0" w:space="0" w:color="auto"/>
            <w:bottom w:val="none" w:sz="0" w:space="0" w:color="auto"/>
            <w:right w:val="none" w:sz="0" w:space="0" w:color="auto"/>
          </w:divBdr>
        </w:div>
        <w:div w:id="907837007">
          <w:marLeft w:val="403"/>
          <w:marRight w:val="0"/>
          <w:marTop w:val="240"/>
          <w:marBottom w:val="0"/>
          <w:divBdr>
            <w:top w:val="none" w:sz="0" w:space="0" w:color="auto"/>
            <w:left w:val="none" w:sz="0" w:space="0" w:color="auto"/>
            <w:bottom w:val="none" w:sz="0" w:space="0" w:color="auto"/>
            <w:right w:val="none" w:sz="0" w:space="0" w:color="auto"/>
          </w:divBdr>
        </w:div>
        <w:div w:id="1359352416">
          <w:marLeft w:val="878"/>
          <w:marRight w:val="0"/>
          <w:marTop w:val="120"/>
          <w:marBottom w:val="0"/>
          <w:divBdr>
            <w:top w:val="none" w:sz="0" w:space="0" w:color="auto"/>
            <w:left w:val="none" w:sz="0" w:space="0" w:color="auto"/>
            <w:bottom w:val="none" w:sz="0" w:space="0" w:color="auto"/>
            <w:right w:val="none" w:sz="0" w:space="0" w:color="auto"/>
          </w:divBdr>
        </w:div>
      </w:divsChild>
    </w:div>
    <w:div w:id="1507474011">
      <w:bodyDiv w:val="1"/>
      <w:marLeft w:val="0"/>
      <w:marRight w:val="0"/>
      <w:marTop w:val="0"/>
      <w:marBottom w:val="0"/>
      <w:divBdr>
        <w:top w:val="none" w:sz="0" w:space="0" w:color="auto"/>
        <w:left w:val="none" w:sz="0" w:space="0" w:color="auto"/>
        <w:bottom w:val="none" w:sz="0" w:space="0" w:color="auto"/>
        <w:right w:val="none" w:sz="0" w:space="0" w:color="auto"/>
      </w:divBdr>
      <w:divsChild>
        <w:div w:id="308871473">
          <w:marLeft w:val="547"/>
          <w:marRight w:val="0"/>
          <w:marTop w:val="120"/>
          <w:marBottom w:val="0"/>
          <w:divBdr>
            <w:top w:val="none" w:sz="0" w:space="0" w:color="auto"/>
            <w:left w:val="none" w:sz="0" w:space="0" w:color="auto"/>
            <w:bottom w:val="none" w:sz="0" w:space="0" w:color="auto"/>
            <w:right w:val="none" w:sz="0" w:space="0" w:color="auto"/>
          </w:divBdr>
        </w:div>
        <w:div w:id="697971659">
          <w:marLeft w:val="547"/>
          <w:marRight w:val="0"/>
          <w:marTop w:val="120"/>
          <w:marBottom w:val="0"/>
          <w:divBdr>
            <w:top w:val="none" w:sz="0" w:space="0" w:color="auto"/>
            <w:left w:val="none" w:sz="0" w:space="0" w:color="auto"/>
            <w:bottom w:val="none" w:sz="0" w:space="0" w:color="auto"/>
            <w:right w:val="none" w:sz="0" w:space="0" w:color="auto"/>
          </w:divBdr>
        </w:div>
        <w:div w:id="1335257647">
          <w:marLeft w:val="547"/>
          <w:marRight w:val="0"/>
          <w:marTop w:val="120"/>
          <w:marBottom w:val="0"/>
          <w:divBdr>
            <w:top w:val="none" w:sz="0" w:space="0" w:color="auto"/>
            <w:left w:val="none" w:sz="0" w:space="0" w:color="auto"/>
            <w:bottom w:val="none" w:sz="0" w:space="0" w:color="auto"/>
            <w:right w:val="none" w:sz="0" w:space="0" w:color="auto"/>
          </w:divBdr>
        </w:div>
        <w:div w:id="1519584810">
          <w:marLeft w:val="547"/>
          <w:marRight w:val="0"/>
          <w:marTop w:val="120"/>
          <w:marBottom w:val="0"/>
          <w:divBdr>
            <w:top w:val="none" w:sz="0" w:space="0" w:color="auto"/>
            <w:left w:val="none" w:sz="0" w:space="0" w:color="auto"/>
            <w:bottom w:val="none" w:sz="0" w:space="0" w:color="auto"/>
            <w:right w:val="none" w:sz="0" w:space="0" w:color="auto"/>
          </w:divBdr>
        </w:div>
      </w:divsChild>
    </w:div>
    <w:div w:id="1541279369">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6">
          <w:marLeft w:val="547"/>
          <w:marRight w:val="0"/>
          <w:marTop w:val="120"/>
          <w:marBottom w:val="0"/>
          <w:divBdr>
            <w:top w:val="none" w:sz="0" w:space="0" w:color="auto"/>
            <w:left w:val="none" w:sz="0" w:space="0" w:color="auto"/>
            <w:bottom w:val="none" w:sz="0" w:space="0" w:color="auto"/>
            <w:right w:val="none" w:sz="0" w:space="0" w:color="auto"/>
          </w:divBdr>
        </w:div>
        <w:div w:id="2098088071">
          <w:marLeft w:val="547"/>
          <w:marRight w:val="0"/>
          <w:marTop w:val="120"/>
          <w:marBottom w:val="0"/>
          <w:divBdr>
            <w:top w:val="none" w:sz="0" w:space="0" w:color="auto"/>
            <w:left w:val="none" w:sz="0" w:space="0" w:color="auto"/>
            <w:bottom w:val="none" w:sz="0" w:space="0" w:color="auto"/>
            <w:right w:val="none" w:sz="0" w:space="0" w:color="auto"/>
          </w:divBdr>
        </w:div>
      </w:divsChild>
    </w:div>
    <w:div w:id="1555265871">
      <w:bodyDiv w:val="1"/>
      <w:marLeft w:val="0"/>
      <w:marRight w:val="0"/>
      <w:marTop w:val="0"/>
      <w:marBottom w:val="0"/>
      <w:divBdr>
        <w:top w:val="none" w:sz="0" w:space="0" w:color="auto"/>
        <w:left w:val="none" w:sz="0" w:space="0" w:color="auto"/>
        <w:bottom w:val="none" w:sz="0" w:space="0" w:color="auto"/>
        <w:right w:val="none" w:sz="0" w:space="0" w:color="auto"/>
      </w:divBdr>
      <w:divsChild>
        <w:div w:id="61680013">
          <w:marLeft w:val="576"/>
          <w:marRight w:val="0"/>
          <w:marTop w:val="360"/>
          <w:marBottom w:val="0"/>
          <w:divBdr>
            <w:top w:val="none" w:sz="0" w:space="0" w:color="auto"/>
            <w:left w:val="none" w:sz="0" w:space="0" w:color="auto"/>
            <w:bottom w:val="none" w:sz="0" w:space="0" w:color="auto"/>
            <w:right w:val="none" w:sz="0" w:space="0" w:color="auto"/>
          </w:divBdr>
        </w:div>
        <w:div w:id="81034091">
          <w:marLeft w:val="432"/>
          <w:marRight w:val="0"/>
          <w:marTop w:val="240"/>
          <w:marBottom w:val="0"/>
          <w:divBdr>
            <w:top w:val="none" w:sz="0" w:space="0" w:color="auto"/>
            <w:left w:val="none" w:sz="0" w:space="0" w:color="auto"/>
            <w:bottom w:val="none" w:sz="0" w:space="0" w:color="auto"/>
            <w:right w:val="none" w:sz="0" w:space="0" w:color="auto"/>
          </w:divBdr>
        </w:div>
        <w:div w:id="347609112">
          <w:marLeft w:val="576"/>
          <w:marRight w:val="0"/>
          <w:marTop w:val="360"/>
          <w:marBottom w:val="0"/>
          <w:divBdr>
            <w:top w:val="none" w:sz="0" w:space="0" w:color="auto"/>
            <w:left w:val="none" w:sz="0" w:space="0" w:color="auto"/>
            <w:bottom w:val="none" w:sz="0" w:space="0" w:color="auto"/>
            <w:right w:val="none" w:sz="0" w:space="0" w:color="auto"/>
          </w:divBdr>
        </w:div>
        <w:div w:id="816998050">
          <w:marLeft w:val="1051"/>
          <w:marRight w:val="0"/>
          <w:marTop w:val="360"/>
          <w:marBottom w:val="0"/>
          <w:divBdr>
            <w:top w:val="none" w:sz="0" w:space="0" w:color="auto"/>
            <w:left w:val="none" w:sz="0" w:space="0" w:color="auto"/>
            <w:bottom w:val="none" w:sz="0" w:space="0" w:color="auto"/>
            <w:right w:val="none" w:sz="0" w:space="0" w:color="auto"/>
          </w:divBdr>
        </w:div>
        <w:div w:id="1584222920">
          <w:marLeft w:val="1051"/>
          <w:marRight w:val="0"/>
          <w:marTop w:val="360"/>
          <w:marBottom w:val="0"/>
          <w:divBdr>
            <w:top w:val="none" w:sz="0" w:space="0" w:color="auto"/>
            <w:left w:val="none" w:sz="0" w:space="0" w:color="auto"/>
            <w:bottom w:val="none" w:sz="0" w:space="0" w:color="auto"/>
            <w:right w:val="none" w:sz="0" w:space="0" w:color="auto"/>
          </w:divBdr>
        </w:div>
        <w:div w:id="1823345640">
          <w:marLeft w:val="576"/>
          <w:marRight w:val="0"/>
          <w:marTop w:val="360"/>
          <w:marBottom w:val="0"/>
          <w:divBdr>
            <w:top w:val="none" w:sz="0" w:space="0" w:color="auto"/>
            <w:left w:val="none" w:sz="0" w:space="0" w:color="auto"/>
            <w:bottom w:val="none" w:sz="0" w:space="0" w:color="auto"/>
            <w:right w:val="none" w:sz="0" w:space="0" w:color="auto"/>
          </w:divBdr>
        </w:div>
      </w:divsChild>
    </w:div>
    <w:div w:id="1589540784">
      <w:bodyDiv w:val="1"/>
      <w:marLeft w:val="0"/>
      <w:marRight w:val="0"/>
      <w:marTop w:val="0"/>
      <w:marBottom w:val="0"/>
      <w:divBdr>
        <w:top w:val="none" w:sz="0" w:space="0" w:color="auto"/>
        <w:left w:val="none" w:sz="0" w:space="0" w:color="auto"/>
        <w:bottom w:val="none" w:sz="0" w:space="0" w:color="auto"/>
        <w:right w:val="none" w:sz="0" w:space="0" w:color="auto"/>
      </w:divBdr>
    </w:div>
    <w:div w:id="1621184144">
      <w:bodyDiv w:val="1"/>
      <w:marLeft w:val="0"/>
      <w:marRight w:val="0"/>
      <w:marTop w:val="0"/>
      <w:marBottom w:val="0"/>
      <w:divBdr>
        <w:top w:val="none" w:sz="0" w:space="0" w:color="auto"/>
        <w:left w:val="none" w:sz="0" w:space="0" w:color="auto"/>
        <w:bottom w:val="none" w:sz="0" w:space="0" w:color="auto"/>
        <w:right w:val="none" w:sz="0" w:space="0" w:color="auto"/>
      </w:divBdr>
      <w:divsChild>
        <w:div w:id="264535312">
          <w:marLeft w:val="547"/>
          <w:marRight w:val="0"/>
          <w:marTop w:val="60"/>
          <w:marBottom w:val="0"/>
          <w:divBdr>
            <w:top w:val="none" w:sz="0" w:space="0" w:color="auto"/>
            <w:left w:val="none" w:sz="0" w:space="0" w:color="auto"/>
            <w:bottom w:val="none" w:sz="0" w:space="0" w:color="auto"/>
            <w:right w:val="none" w:sz="0" w:space="0" w:color="auto"/>
          </w:divBdr>
        </w:div>
        <w:div w:id="313068802">
          <w:marLeft w:val="547"/>
          <w:marRight w:val="0"/>
          <w:marTop w:val="60"/>
          <w:marBottom w:val="0"/>
          <w:divBdr>
            <w:top w:val="none" w:sz="0" w:space="0" w:color="auto"/>
            <w:left w:val="none" w:sz="0" w:space="0" w:color="auto"/>
            <w:bottom w:val="none" w:sz="0" w:space="0" w:color="auto"/>
            <w:right w:val="none" w:sz="0" w:space="0" w:color="auto"/>
          </w:divBdr>
        </w:div>
        <w:div w:id="361826936">
          <w:marLeft w:val="547"/>
          <w:marRight w:val="0"/>
          <w:marTop w:val="60"/>
          <w:marBottom w:val="0"/>
          <w:divBdr>
            <w:top w:val="none" w:sz="0" w:space="0" w:color="auto"/>
            <w:left w:val="none" w:sz="0" w:space="0" w:color="auto"/>
            <w:bottom w:val="none" w:sz="0" w:space="0" w:color="auto"/>
            <w:right w:val="none" w:sz="0" w:space="0" w:color="auto"/>
          </w:divBdr>
        </w:div>
      </w:divsChild>
    </w:div>
    <w:div w:id="1625967343">
      <w:bodyDiv w:val="1"/>
      <w:marLeft w:val="0"/>
      <w:marRight w:val="0"/>
      <w:marTop w:val="0"/>
      <w:marBottom w:val="0"/>
      <w:divBdr>
        <w:top w:val="none" w:sz="0" w:space="0" w:color="auto"/>
        <w:left w:val="none" w:sz="0" w:space="0" w:color="auto"/>
        <w:bottom w:val="none" w:sz="0" w:space="0" w:color="auto"/>
        <w:right w:val="none" w:sz="0" w:space="0" w:color="auto"/>
      </w:divBdr>
    </w:div>
    <w:div w:id="1654212840">
      <w:bodyDiv w:val="1"/>
      <w:marLeft w:val="0"/>
      <w:marRight w:val="0"/>
      <w:marTop w:val="0"/>
      <w:marBottom w:val="0"/>
      <w:divBdr>
        <w:top w:val="none" w:sz="0" w:space="0" w:color="auto"/>
        <w:left w:val="none" w:sz="0" w:space="0" w:color="auto"/>
        <w:bottom w:val="none" w:sz="0" w:space="0" w:color="auto"/>
        <w:right w:val="none" w:sz="0" w:space="0" w:color="auto"/>
      </w:divBdr>
    </w:div>
    <w:div w:id="1673138581">
      <w:bodyDiv w:val="1"/>
      <w:marLeft w:val="0"/>
      <w:marRight w:val="0"/>
      <w:marTop w:val="0"/>
      <w:marBottom w:val="0"/>
      <w:divBdr>
        <w:top w:val="none" w:sz="0" w:space="0" w:color="auto"/>
        <w:left w:val="none" w:sz="0" w:space="0" w:color="auto"/>
        <w:bottom w:val="none" w:sz="0" w:space="0" w:color="auto"/>
        <w:right w:val="none" w:sz="0" w:space="0" w:color="auto"/>
      </w:divBdr>
      <w:divsChild>
        <w:div w:id="186992095">
          <w:marLeft w:val="2304"/>
          <w:marRight w:val="0"/>
          <w:marTop w:val="0"/>
          <w:marBottom w:val="120"/>
          <w:divBdr>
            <w:top w:val="none" w:sz="0" w:space="0" w:color="auto"/>
            <w:left w:val="none" w:sz="0" w:space="0" w:color="auto"/>
            <w:bottom w:val="none" w:sz="0" w:space="0" w:color="auto"/>
            <w:right w:val="none" w:sz="0" w:space="0" w:color="auto"/>
          </w:divBdr>
        </w:div>
        <w:div w:id="476413366">
          <w:marLeft w:val="1771"/>
          <w:marRight w:val="0"/>
          <w:marTop w:val="0"/>
          <w:marBottom w:val="0"/>
          <w:divBdr>
            <w:top w:val="none" w:sz="0" w:space="0" w:color="auto"/>
            <w:left w:val="none" w:sz="0" w:space="0" w:color="auto"/>
            <w:bottom w:val="none" w:sz="0" w:space="0" w:color="auto"/>
            <w:right w:val="none" w:sz="0" w:space="0" w:color="auto"/>
          </w:divBdr>
        </w:div>
        <w:div w:id="533924590">
          <w:marLeft w:val="1771"/>
          <w:marRight w:val="0"/>
          <w:marTop w:val="0"/>
          <w:marBottom w:val="0"/>
          <w:divBdr>
            <w:top w:val="none" w:sz="0" w:space="0" w:color="auto"/>
            <w:left w:val="none" w:sz="0" w:space="0" w:color="auto"/>
            <w:bottom w:val="none" w:sz="0" w:space="0" w:color="auto"/>
            <w:right w:val="none" w:sz="0" w:space="0" w:color="auto"/>
          </w:divBdr>
        </w:div>
        <w:div w:id="609320255">
          <w:marLeft w:val="1771"/>
          <w:marRight w:val="0"/>
          <w:marTop w:val="0"/>
          <w:marBottom w:val="0"/>
          <w:divBdr>
            <w:top w:val="none" w:sz="0" w:space="0" w:color="auto"/>
            <w:left w:val="none" w:sz="0" w:space="0" w:color="auto"/>
            <w:bottom w:val="none" w:sz="0" w:space="0" w:color="auto"/>
            <w:right w:val="none" w:sz="0" w:space="0" w:color="auto"/>
          </w:divBdr>
        </w:div>
        <w:div w:id="1208183765">
          <w:marLeft w:val="2304"/>
          <w:marRight w:val="0"/>
          <w:marTop w:val="0"/>
          <w:marBottom w:val="0"/>
          <w:divBdr>
            <w:top w:val="none" w:sz="0" w:space="0" w:color="auto"/>
            <w:left w:val="none" w:sz="0" w:space="0" w:color="auto"/>
            <w:bottom w:val="none" w:sz="0" w:space="0" w:color="auto"/>
            <w:right w:val="none" w:sz="0" w:space="0" w:color="auto"/>
          </w:divBdr>
        </w:div>
        <w:div w:id="2008484728">
          <w:marLeft w:val="403"/>
          <w:marRight w:val="0"/>
          <w:marTop w:val="0"/>
          <w:marBottom w:val="0"/>
          <w:divBdr>
            <w:top w:val="none" w:sz="0" w:space="0" w:color="auto"/>
            <w:left w:val="none" w:sz="0" w:space="0" w:color="auto"/>
            <w:bottom w:val="none" w:sz="0" w:space="0" w:color="auto"/>
            <w:right w:val="none" w:sz="0" w:space="0" w:color="auto"/>
          </w:divBdr>
        </w:div>
        <w:div w:id="2103985615">
          <w:marLeft w:val="2304"/>
          <w:marRight w:val="0"/>
          <w:marTop w:val="0"/>
          <w:marBottom w:val="0"/>
          <w:divBdr>
            <w:top w:val="none" w:sz="0" w:space="0" w:color="auto"/>
            <w:left w:val="none" w:sz="0" w:space="0" w:color="auto"/>
            <w:bottom w:val="none" w:sz="0" w:space="0" w:color="auto"/>
            <w:right w:val="none" w:sz="0" w:space="0" w:color="auto"/>
          </w:divBdr>
        </w:div>
        <w:div w:id="2123110598">
          <w:marLeft w:val="1771"/>
          <w:marRight w:val="0"/>
          <w:marTop w:val="0"/>
          <w:marBottom w:val="0"/>
          <w:divBdr>
            <w:top w:val="none" w:sz="0" w:space="0" w:color="auto"/>
            <w:left w:val="none" w:sz="0" w:space="0" w:color="auto"/>
            <w:bottom w:val="none" w:sz="0" w:space="0" w:color="auto"/>
            <w:right w:val="none" w:sz="0" w:space="0" w:color="auto"/>
          </w:divBdr>
        </w:div>
      </w:divsChild>
    </w:div>
    <w:div w:id="1682506201">
      <w:bodyDiv w:val="1"/>
      <w:marLeft w:val="0"/>
      <w:marRight w:val="0"/>
      <w:marTop w:val="0"/>
      <w:marBottom w:val="0"/>
      <w:divBdr>
        <w:top w:val="none" w:sz="0" w:space="0" w:color="auto"/>
        <w:left w:val="none" w:sz="0" w:space="0" w:color="auto"/>
        <w:bottom w:val="none" w:sz="0" w:space="0" w:color="auto"/>
        <w:right w:val="none" w:sz="0" w:space="0" w:color="auto"/>
      </w:divBdr>
      <w:divsChild>
        <w:div w:id="1663779685">
          <w:marLeft w:val="547"/>
          <w:marRight w:val="0"/>
          <w:marTop w:val="0"/>
          <w:marBottom w:val="0"/>
          <w:divBdr>
            <w:top w:val="none" w:sz="0" w:space="0" w:color="auto"/>
            <w:left w:val="none" w:sz="0" w:space="0" w:color="auto"/>
            <w:bottom w:val="none" w:sz="0" w:space="0" w:color="auto"/>
            <w:right w:val="none" w:sz="0" w:space="0" w:color="auto"/>
          </w:divBdr>
        </w:div>
      </w:divsChild>
    </w:div>
    <w:div w:id="1688290416">
      <w:bodyDiv w:val="1"/>
      <w:marLeft w:val="0"/>
      <w:marRight w:val="0"/>
      <w:marTop w:val="0"/>
      <w:marBottom w:val="0"/>
      <w:divBdr>
        <w:top w:val="none" w:sz="0" w:space="0" w:color="auto"/>
        <w:left w:val="none" w:sz="0" w:space="0" w:color="auto"/>
        <w:bottom w:val="none" w:sz="0" w:space="0" w:color="auto"/>
        <w:right w:val="none" w:sz="0" w:space="0" w:color="auto"/>
      </w:divBdr>
    </w:div>
    <w:div w:id="1713578394">
      <w:bodyDiv w:val="1"/>
      <w:marLeft w:val="0"/>
      <w:marRight w:val="0"/>
      <w:marTop w:val="0"/>
      <w:marBottom w:val="0"/>
      <w:divBdr>
        <w:top w:val="none" w:sz="0" w:space="0" w:color="auto"/>
        <w:left w:val="none" w:sz="0" w:space="0" w:color="auto"/>
        <w:bottom w:val="none" w:sz="0" w:space="0" w:color="auto"/>
        <w:right w:val="none" w:sz="0" w:space="0" w:color="auto"/>
      </w:divBdr>
      <w:divsChild>
        <w:div w:id="120652235">
          <w:marLeft w:val="547"/>
          <w:marRight w:val="0"/>
          <w:marTop w:val="120"/>
          <w:marBottom w:val="0"/>
          <w:divBdr>
            <w:top w:val="none" w:sz="0" w:space="0" w:color="auto"/>
            <w:left w:val="none" w:sz="0" w:space="0" w:color="auto"/>
            <w:bottom w:val="none" w:sz="0" w:space="0" w:color="auto"/>
            <w:right w:val="none" w:sz="0" w:space="0" w:color="auto"/>
          </w:divBdr>
        </w:div>
        <w:div w:id="151606619">
          <w:marLeft w:val="547"/>
          <w:marRight w:val="0"/>
          <w:marTop w:val="120"/>
          <w:marBottom w:val="0"/>
          <w:divBdr>
            <w:top w:val="none" w:sz="0" w:space="0" w:color="auto"/>
            <w:left w:val="none" w:sz="0" w:space="0" w:color="auto"/>
            <w:bottom w:val="none" w:sz="0" w:space="0" w:color="auto"/>
            <w:right w:val="none" w:sz="0" w:space="0" w:color="auto"/>
          </w:divBdr>
        </w:div>
        <w:div w:id="448012558">
          <w:marLeft w:val="547"/>
          <w:marRight w:val="0"/>
          <w:marTop w:val="120"/>
          <w:marBottom w:val="0"/>
          <w:divBdr>
            <w:top w:val="none" w:sz="0" w:space="0" w:color="auto"/>
            <w:left w:val="none" w:sz="0" w:space="0" w:color="auto"/>
            <w:bottom w:val="none" w:sz="0" w:space="0" w:color="auto"/>
            <w:right w:val="none" w:sz="0" w:space="0" w:color="auto"/>
          </w:divBdr>
        </w:div>
      </w:divsChild>
    </w:div>
    <w:div w:id="1775399002">
      <w:bodyDiv w:val="1"/>
      <w:marLeft w:val="0"/>
      <w:marRight w:val="0"/>
      <w:marTop w:val="0"/>
      <w:marBottom w:val="0"/>
      <w:divBdr>
        <w:top w:val="none" w:sz="0" w:space="0" w:color="auto"/>
        <w:left w:val="none" w:sz="0" w:space="0" w:color="auto"/>
        <w:bottom w:val="none" w:sz="0" w:space="0" w:color="auto"/>
        <w:right w:val="none" w:sz="0" w:space="0" w:color="auto"/>
      </w:divBdr>
    </w:div>
    <w:div w:id="1777288205">
      <w:bodyDiv w:val="1"/>
      <w:marLeft w:val="0"/>
      <w:marRight w:val="0"/>
      <w:marTop w:val="0"/>
      <w:marBottom w:val="0"/>
      <w:divBdr>
        <w:top w:val="none" w:sz="0" w:space="0" w:color="auto"/>
        <w:left w:val="none" w:sz="0" w:space="0" w:color="auto"/>
        <w:bottom w:val="none" w:sz="0" w:space="0" w:color="auto"/>
        <w:right w:val="none" w:sz="0" w:space="0" w:color="auto"/>
      </w:divBdr>
      <w:divsChild>
        <w:div w:id="245918955">
          <w:marLeft w:val="547"/>
          <w:marRight w:val="0"/>
          <w:marTop w:val="0"/>
          <w:marBottom w:val="0"/>
          <w:divBdr>
            <w:top w:val="none" w:sz="0" w:space="0" w:color="auto"/>
            <w:left w:val="none" w:sz="0" w:space="0" w:color="auto"/>
            <w:bottom w:val="none" w:sz="0" w:space="0" w:color="auto"/>
            <w:right w:val="none" w:sz="0" w:space="0" w:color="auto"/>
          </w:divBdr>
        </w:div>
        <w:div w:id="346831642">
          <w:marLeft w:val="547"/>
          <w:marRight w:val="0"/>
          <w:marTop w:val="0"/>
          <w:marBottom w:val="0"/>
          <w:divBdr>
            <w:top w:val="none" w:sz="0" w:space="0" w:color="auto"/>
            <w:left w:val="none" w:sz="0" w:space="0" w:color="auto"/>
            <w:bottom w:val="none" w:sz="0" w:space="0" w:color="auto"/>
            <w:right w:val="none" w:sz="0" w:space="0" w:color="auto"/>
          </w:divBdr>
        </w:div>
      </w:divsChild>
    </w:div>
    <w:div w:id="1794711830">
      <w:bodyDiv w:val="1"/>
      <w:marLeft w:val="0"/>
      <w:marRight w:val="0"/>
      <w:marTop w:val="0"/>
      <w:marBottom w:val="0"/>
      <w:divBdr>
        <w:top w:val="none" w:sz="0" w:space="0" w:color="auto"/>
        <w:left w:val="none" w:sz="0" w:space="0" w:color="auto"/>
        <w:bottom w:val="none" w:sz="0" w:space="0" w:color="auto"/>
        <w:right w:val="none" w:sz="0" w:space="0" w:color="auto"/>
      </w:divBdr>
      <w:divsChild>
        <w:div w:id="971785794">
          <w:marLeft w:val="403"/>
          <w:marRight w:val="0"/>
          <w:marTop w:val="240"/>
          <w:marBottom w:val="0"/>
          <w:divBdr>
            <w:top w:val="none" w:sz="0" w:space="0" w:color="auto"/>
            <w:left w:val="none" w:sz="0" w:space="0" w:color="auto"/>
            <w:bottom w:val="none" w:sz="0" w:space="0" w:color="auto"/>
            <w:right w:val="none" w:sz="0" w:space="0" w:color="auto"/>
          </w:divBdr>
        </w:div>
        <w:div w:id="1831019496">
          <w:marLeft w:val="403"/>
          <w:marRight w:val="0"/>
          <w:marTop w:val="240"/>
          <w:marBottom w:val="0"/>
          <w:divBdr>
            <w:top w:val="none" w:sz="0" w:space="0" w:color="auto"/>
            <w:left w:val="none" w:sz="0" w:space="0" w:color="auto"/>
            <w:bottom w:val="none" w:sz="0" w:space="0" w:color="auto"/>
            <w:right w:val="none" w:sz="0" w:space="0" w:color="auto"/>
          </w:divBdr>
        </w:div>
      </w:divsChild>
    </w:div>
    <w:div w:id="1796369722">
      <w:bodyDiv w:val="1"/>
      <w:marLeft w:val="0"/>
      <w:marRight w:val="0"/>
      <w:marTop w:val="0"/>
      <w:marBottom w:val="0"/>
      <w:divBdr>
        <w:top w:val="none" w:sz="0" w:space="0" w:color="auto"/>
        <w:left w:val="none" w:sz="0" w:space="0" w:color="auto"/>
        <w:bottom w:val="none" w:sz="0" w:space="0" w:color="auto"/>
        <w:right w:val="none" w:sz="0" w:space="0" w:color="auto"/>
      </w:divBdr>
      <w:divsChild>
        <w:div w:id="436871452">
          <w:marLeft w:val="547"/>
          <w:marRight w:val="0"/>
          <w:marTop w:val="0"/>
          <w:marBottom w:val="0"/>
          <w:divBdr>
            <w:top w:val="none" w:sz="0" w:space="0" w:color="auto"/>
            <w:left w:val="none" w:sz="0" w:space="0" w:color="auto"/>
            <w:bottom w:val="none" w:sz="0" w:space="0" w:color="auto"/>
            <w:right w:val="none" w:sz="0" w:space="0" w:color="auto"/>
          </w:divBdr>
        </w:div>
      </w:divsChild>
    </w:div>
    <w:div w:id="1808620494">
      <w:bodyDiv w:val="1"/>
      <w:marLeft w:val="0"/>
      <w:marRight w:val="0"/>
      <w:marTop w:val="0"/>
      <w:marBottom w:val="0"/>
      <w:divBdr>
        <w:top w:val="none" w:sz="0" w:space="0" w:color="auto"/>
        <w:left w:val="none" w:sz="0" w:space="0" w:color="auto"/>
        <w:bottom w:val="none" w:sz="0" w:space="0" w:color="auto"/>
        <w:right w:val="none" w:sz="0" w:space="0" w:color="auto"/>
      </w:divBdr>
      <w:divsChild>
        <w:div w:id="771317969">
          <w:marLeft w:val="547"/>
          <w:marRight w:val="0"/>
          <w:marTop w:val="120"/>
          <w:marBottom w:val="0"/>
          <w:divBdr>
            <w:top w:val="none" w:sz="0" w:space="0" w:color="auto"/>
            <w:left w:val="none" w:sz="0" w:space="0" w:color="auto"/>
            <w:bottom w:val="none" w:sz="0" w:space="0" w:color="auto"/>
            <w:right w:val="none" w:sz="0" w:space="0" w:color="auto"/>
          </w:divBdr>
        </w:div>
        <w:div w:id="1259366396">
          <w:marLeft w:val="547"/>
          <w:marRight w:val="0"/>
          <w:marTop w:val="120"/>
          <w:marBottom w:val="0"/>
          <w:divBdr>
            <w:top w:val="none" w:sz="0" w:space="0" w:color="auto"/>
            <w:left w:val="none" w:sz="0" w:space="0" w:color="auto"/>
            <w:bottom w:val="none" w:sz="0" w:space="0" w:color="auto"/>
            <w:right w:val="none" w:sz="0" w:space="0" w:color="auto"/>
          </w:divBdr>
        </w:div>
        <w:div w:id="1617179750">
          <w:marLeft w:val="547"/>
          <w:marRight w:val="0"/>
          <w:marTop w:val="120"/>
          <w:marBottom w:val="0"/>
          <w:divBdr>
            <w:top w:val="none" w:sz="0" w:space="0" w:color="auto"/>
            <w:left w:val="none" w:sz="0" w:space="0" w:color="auto"/>
            <w:bottom w:val="none" w:sz="0" w:space="0" w:color="auto"/>
            <w:right w:val="none" w:sz="0" w:space="0" w:color="auto"/>
          </w:divBdr>
        </w:div>
      </w:divsChild>
    </w:div>
    <w:div w:id="1862207151">
      <w:bodyDiv w:val="1"/>
      <w:marLeft w:val="0"/>
      <w:marRight w:val="0"/>
      <w:marTop w:val="0"/>
      <w:marBottom w:val="0"/>
      <w:divBdr>
        <w:top w:val="none" w:sz="0" w:space="0" w:color="auto"/>
        <w:left w:val="none" w:sz="0" w:space="0" w:color="auto"/>
        <w:bottom w:val="none" w:sz="0" w:space="0" w:color="auto"/>
        <w:right w:val="none" w:sz="0" w:space="0" w:color="auto"/>
      </w:divBdr>
      <w:divsChild>
        <w:div w:id="294680250">
          <w:marLeft w:val="547"/>
          <w:marRight w:val="0"/>
          <w:marTop w:val="120"/>
          <w:marBottom w:val="0"/>
          <w:divBdr>
            <w:top w:val="none" w:sz="0" w:space="0" w:color="auto"/>
            <w:left w:val="none" w:sz="0" w:space="0" w:color="auto"/>
            <w:bottom w:val="none" w:sz="0" w:space="0" w:color="auto"/>
            <w:right w:val="none" w:sz="0" w:space="0" w:color="auto"/>
          </w:divBdr>
        </w:div>
        <w:div w:id="485828561">
          <w:marLeft w:val="547"/>
          <w:marRight w:val="0"/>
          <w:marTop w:val="120"/>
          <w:marBottom w:val="0"/>
          <w:divBdr>
            <w:top w:val="none" w:sz="0" w:space="0" w:color="auto"/>
            <w:left w:val="none" w:sz="0" w:space="0" w:color="auto"/>
            <w:bottom w:val="none" w:sz="0" w:space="0" w:color="auto"/>
            <w:right w:val="none" w:sz="0" w:space="0" w:color="auto"/>
          </w:divBdr>
        </w:div>
        <w:div w:id="491261251">
          <w:marLeft w:val="547"/>
          <w:marRight w:val="0"/>
          <w:marTop w:val="120"/>
          <w:marBottom w:val="0"/>
          <w:divBdr>
            <w:top w:val="none" w:sz="0" w:space="0" w:color="auto"/>
            <w:left w:val="none" w:sz="0" w:space="0" w:color="auto"/>
            <w:bottom w:val="none" w:sz="0" w:space="0" w:color="auto"/>
            <w:right w:val="none" w:sz="0" w:space="0" w:color="auto"/>
          </w:divBdr>
        </w:div>
        <w:div w:id="1262953303">
          <w:marLeft w:val="547"/>
          <w:marRight w:val="0"/>
          <w:marTop w:val="120"/>
          <w:marBottom w:val="0"/>
          <w:divBdr>
            <w:top w:val="none" w:sz="0" w:space="0" w:color="auto"/>
            <w:left w:val="none" w:sz="0" w:space="0" w:color="auto"/>
            <w:bottom w:val="none" w:sz="0" w:space="0" w:color="auto"/>
            <w:right w:val="none" w:sz="0" w:space="0" w:color="auto"/>
          </w:divBdr>
        </w:div>
      </w:divsChild>
    </w:div>
    <w:div w:id="1874924282">
      <w:bodyDiv w:val="1"/>
      <w:marLeft w:val="0"/>
      <w:marRight w:val="0"/>
      <w:marTop w:val="0"/>
      <w:marBottom w:val="0"/>
      <w:divBdr>
        <w:top w:val="none" w:sz="0" w:space="0" w:color="auto"/>
        <w:left w:val="none" w:sz="0" w:space="0" w:color="auto"/>
        <w:bottom w:val="none" w:sz="0" w:space="0" w:color="auto"/>
        <w:right w:val="none" w:sz="0" w:space="0" w:color="auto"/>
      </w:divBdr>
    </w:div>
    <w:div w:id="1893156115">
      <w:bodyDiv w:val="1"/>
      <w:marLeft w:val="0"/>
      <w:marRight w:val="0"/>
      <w:marTop w:val="0"/>
      <w:marBottom w:val="0"/>
      <w:divBdr>
        <w:top w:val="none" w:sz="0" w:space="0" w:color="auto"/>
        <w:left w:val="none" w:sz="0" w:space="0" w:color="auto"/>
        <w:bottom w:val="none" w:sz="0" w:space="0" w:color="auto"/>
        <w:right w:val="none" w:sz="0" w:space="0" w:color="auto"/>
      </w:divBdr>
      <w:divsChild>
        <w:div w:id="283778871">
          <w:marLeft w:val="403"/>
          <w:marRight w:val="0"/>
          <w:marTop w:val="240"/>
          <w:marBottom w:val="0"/>
          <w:divBdr>
            <w:top w:val="none" w:sz="0" w:space="0" w:color="auto"/>
            <w:left w:val="none" w:sz="0" w:space="0" w:color="auto"/>
            <w:bottom w:val="none" w:sz="0" w:space="0" w:color="auto"/>
            <w:right w:val="none" w:sz="0" w:space="0" w:color="auto"/>
          </w:divBdr>
        </w:div>
        <w:div w:id="612833213">
          <w:marLeft w:val="403"/>
          <w:marRight w:val="0"/>
          <w:marTop w:val="240"/>
          <w:marBottom w:val="0"/>
          <w:divBdr>
            <w:top w:val="none" w:sz="0" w:space="0" w:color="auto"/>
            <w:left w:val="none" w:sz="0" w:space="0" w:color="auto"/>
            <w:bottom w:val="none" w:sz="0" w:space="0" w:color="auto"/>
            <w:right w:val="none" w:sz="0" w:space="0" w:color="auto"/>
          </w:divBdr>
        </w:div>
        <w:div w:id="896865322">
          <w:marLeft w:val="403"/>
          <w:marRight w:val="0"/>
          <w:marTop w:val="240"/>
          <w:marBottom w:val="0"/>
          <w:divBdr>
            <w:top w:val="none" w:sz="0" w:space="0" w:color="auto"/>
            <w:left w:val="none" w:sz="0" w:space="0" w:color="auto"/>
            <w:bottom w:val="none" w:sz="0" w:space="0" w:color="auto"/>
            <w:right w:val="none" w:sz="0" w:space="0" w:color="auto"/>
          </w:divBdr>
        </w:div>
        <w:div w:id="1076248513">
          <w:marLeft w:val="403"/>
          <w:marRight w:val="0"/>
          <w:marTop w:val="240"/>
          <w:marBottom w:val="0"/>
          <w:divBdr>
            <w:top w:val="none" w:sz="0" w:space="0" w:color="auto"/>
            <w:left w:val="none" w:sz="0" w:space="0" w:color="auto"/>
            <w:bottom w:val="none" w:sz="0" w:space="0" w:color="auto"/>
            <w:right w:val="none" w:sz="0" w:space="0" w:color="auto"/>
          </w:divBdr>
        </w:div>
      </w:divsChild>
    </w:div>
    <w:div w:id="1904680170">
      <w:bodyDiv w:val="1"/>
      <w:marLeft w:val="0"/>
      <w:marRight w:val="0"/>
      <w:marTop w:val="0"/>
      <w:marBottom w:val="0"/>
      <w:divBdr>
        <w:top w:val="none" w:sz="0" w:space="0" w:color="auto"/>
        <w:left w:val="none" w:sz="0" w:space="0" w:color="auto"/>
        <w:bottom w:val="none" w:sz="0" w:space="0" w:color="auto"/>
        <w:right w:val="none" w:sz="0" w:space="0" w:color="auto"/>
      </w:divBdr>
    </w:div>
    <w:div w:id="1920139327">
      <w:bodyDiv w:val="1"/>
      <w:marLeft w:val="0"/>
      <w:marRight w:val="0"/>
      <w:marTop w:val="0"/>
      <w:marBottom w:val="0"/>
      <w:divBdr>
        <w:top w:val="none" w:sz="0" w:space="0" w:color="auto"/>
        <w:left w:val="none" w:sz="0" w:space="0" w:color="auto"/>
        <w:bottom w:val="none" w:sz="0" w:space="0" w:color="auto"/>
        <w:right w:val="none" w:sz="0" w:space="0" w:color="auto"/>
      </w:divBdr>
      <w:divsChild>
        <w:div w:id="266164027">
          <w:marLeft w:val="446"/>
          <w:marRight w:val="0"/>
          <w:marTop w:val="0"/>
          <w:marBottom w:val="0"/>
          <w:divBdr>
            <w:top w:val="none" w:sz="0" w:space="0" w:color="auto"/>
            <w:left w:val="none" w:sz="0" w:space="0" w:color="auto"/>
            <w:bottom w:val="none" w:sz="0" w:space="0" w:color="auto"/>
            <w:right w:val="none" w:sz="0" w:space="0" w:color="auto"/>
          </w:divBdr>
        </w:div>
        <w:div w:id="284654256">
          <w:marLeft w:val="446"/>
          <w:marRight w:val="0"/>
          <w:marTop w:val="0"/>
          <w:marBottom w:val="0"/>
          <w:divBdr>
            <w:top w:val="none" w:sz="0" w:space="0" w:color="auto"/>
            <w:left w:val="none" w:sz="0" w:space="0" w:color="auto"/>
            <w:bottom w:val="none" w:sz="0" w:space="0" w:color="auto"/>
            <w:right w:val="none" w:sz="0" w:space="0" w:color="auto"/>
          </w:divBdr>
        </w:div>
        <w:div w:id="1814256192">
          <w:marLeft w:val="446"/>
          <w:marRight w:val="0"/>
          <w:marTop w:val="0"/>
          <w:marBottom w:val="0"/>
          <w:divBdr>
            <w:top w:val="none" w:sz="0" w:space="0" w:color="auto"/>
            <w:left w:val="none" w:sz="0" w:space="0" w:color="auto"/>
            <w:bottom w:val="none" w:sz="0" w:space="0" w:color="auto"/>
            <w:right w:val="none" w:sz="0" w:space="0" w:color="auto"/>
          </w:divBdr>
        </w:div>
        <w:div w:id="1989045575">
          <w:marLeft w:val="446"/>
          <w:marRight w:val="0"/>
          <w:marTop w:val="0"/>
          <w:marBottom w:val="0"/>
          <w:divBdr>
            <w:top w:val="none" w:sz="0" w:space="0" w:color="auto"/>
            <w:left w:val="none" w:sz="0" w:space="0" w:color="auto"/>
            <w:bottom w:val="none" w:sz="0" w:space="0" w:color="auto"/>
            <w:right w:val="none" w:sz="0" w:space="0" w:color="auto"/>
          </w:divBdr>
        </w:div>
      </w:divsChild>
    </w:div>
    <w:div w:id="1946424124">
      <w:bodyDiv w:val="1"/>
      <w:marLeft w:val="0"/>
      <w:marRight w:val="0"/>
      <w:marTop w:val="0"/>
      <w:marBottom w:val="0"/>
      <w:divBdr>
        <w:top w:val="none" w:sz="0" w:space="0" w:color="auto"/>
        <w:left w:val="none" w:sz="0" w:space="0" w:color="auto"/>
        <w:bottom w:val="none" w:sz="0" w:space="0" w:color="auto"/>
        <w:right w:val="none" w:sz="0" w:space="0" w:color="auto"/>
      </w:divBdr>
    </w:div>
    <w:div w:id="1946645418">
      <w:bodyDiv w:val="1"/>
      <w:marLeft w:val="0"/>
      <w:marRight w:val="0"/>
      <w:marTop w:val="0"/>
      <w:marBottom w:val="0"/>
      <w:divBdr>
        <w:top w:val="none" w:sz="0" w:space="0" w:color="auto"/>
        <w:left w:val="none" w:sz="0" w:space="0" w:color="auto"/>
        <w:bottom w:val="none" w:sz="0" w:space="0" w:color="auto"/>
        <w:right w:val="none" w:sz="0" w:space="0" w:color="auto"/>
      </w:divBdr>
      <w:divsChild>
        <w:div w:id="1405107771">
          <w:marLeft w:val="576"/>
          <w:marRight w:val="0"/>
          <w:marTop w:val="360"/>
          <w:marBottom w:val="0"/>
          <w:divBdr>
            <w:top w:val="none" w:sz="0" w:space="0" w:color="auto"/>
            <w:left w:val="none" w:sz="0" w:space="0" w:color="auto"/>
            <w:bottom w:val="none" w:sz="0" w:space="0" w:color="auto"/>
            <w:right w:val="none" w:sz="0" w:space="0" w:color="auto"/>
          </w:divBdr>
        </w:div>
        <w:div w:id="2064403968">
          <w:marLeft w:val="576"/>
          <w:marRight w:val="0"/>
          <w:marTop w:val="360"/>
          <w:marBottom w:val="0"/>
          <w:divBdr>
            <w:top w:val="none" w:sz="0" w:space="0" w:color="auto"/>
            <w:left w:val="none" w:sz="0" w:space="0" w:color="auto"/>
            <w:bottom w:val="none" w:sz="0" w:space="0" w:color="auto"/>
            <w:right w:val="none" w:sz="0" w:space="0" w:color="auto"/>
          </w:divBdr>
        </w:div>
      </w:divsChild>
    </w:div>
    <w:div w:id="1961034431">
      <w:bodyDiv w:val="1"/>
      <w:marLeft w:val="0"/>
      <w:marRight w:val="0"/>
      <w:marTop w:val="0"/>
      <w:marBottom w:val="0"/>
      <w:divBdr>
        <w:top w:val="none" w:sz="0" w:space="0" w:color="auto"/>
        <w:left w:val="none" w:sz="0" w:space="0" w:color="auto"/>
        <w:bottom w:val="none" w:sz="0" w:space="0" w:color="auto"/>
        <w:right w:val="none" w:sz="0" w:space="0" w:color="auto"/>
      </w:divBdr>
      <w:divsChild>
        <w:div w:id="204879379">
          <w:marLeft w:val="547"/>
          <w:marRight w:val="0"/>
          <w:marTop w:val="120"/>
          <w:marBottom w:val="0"/>
          <w:divBdr>
            <w:top w:val="none" w:sz="0" w:space="0" w:color="auto"/>
            <w:left w:val="none" w:sz="0" w:space="0" w:color="auto"/>
            <w:bottom w:val="none" w:sz="0" w:space="0" w:color="auto"/>
            <w:right w:val="none" w:sz="0" w:space="0" w:color="auto"/>
          </w:divBdr>
        </w:div>
        <w:div w:id="1047949933">
          <w:marLeft w:val="547"/>
          <w:marRight w:val="0"/>
          <w:marTop w:val="120"/>
          <w:marBottom w:val="0"/>
          <w:divBdr>
            <w:top w:val="none" w:sz="0" w:space="0" w:color="auto"/>
            <w:left w:val="none" w:sz="0" w:space="0" w:color="auto"/>
            <w:bottom w:val="none" w:sz="0" w:space="0" w:color="auto"/>
            <w:right w:val="none" w:sz="0" w:space="0" w:color="auto"/>
          </w:divBdr>
        </w:div>
        <w:div w:id="1863585872">
          <w:marLeft w:val="547"/>
          <w:marRight w:val="0"/>
          <w:marTop w:val="0"/>
          <w:marBottom w:val="0"/>
          <w:divBdr>
            <w:top w:val="none" w:sz="0" w:space="0" w:color="auto"/>
            <w:left w:val="none" w:sz="0" w:space="0" w:color="auto"/>
            <w:bottom w:val="none" w:sz="0" w:space="0" w:color="auto"/>
            <w:right w:val="none" w:sz="0" w:space="0" w:color="auto"/>
          </w:divBdr>
        </w:div>
      </w:divsChild>
    </w:div>
    <w:div w:id="1968393538">
      <w:bodyDiv w:val="1"/>
      <w:marLeft w:val="0"/>
      <w:marRight w:val="0"/>
      <w:marTop w:val="0"/>
      <w:marBottom w:val="0"/>
      <w:divBdr>
        <w:top w:val="none" w:sz="0" w:space="0" w:color="auto"/>
        <w:left w:val="none" w:sz="0" w:space="0" w:color="auto"/>
        <w:bottom w:val="none" w:sz="0" w:space="0" w:color="auto"/>
        <w:right w:val="none" w:sz="0" w:space="0" w:color="auto"/>
      </w:divBdr>
      <w:divsChild>
        <w:div w:id="668366825">
          <w:marLeft w:val="576"/>
          <w:marRight w:val="0"/>
          <w:marTop w:val="360"/>
          <w:marBottom w:val="0"/>
          <w:divBdr>
            <w:top w:val="none" w:sz="0" w:space="0" w:color="auto"/>
            <w:left w:val="none" w:sz="0" w:space="0" w:color="auto"/>
            <w:bottom w:val="none" w:sz="0" w:space="0" w:color="auto"/>
            <w:right w:val="none" w:sz="0" w:space="0" w:color="auto"/>
          </w:divBdr>
        </w:div>
        <w:div w:id="1090464909">
          <w:marLeft w:val="576"/>
          <w:marRight w:val="0"/>
          <w:marTop w:val="360"/>
          <w:marBottom w:val="0"/>
          <w:divBdr>
            <w:top w:val="none" w:sz="0" w:space="0" w:color="auto"/>
            <w:left w:val="none" w:sz="0" w:space="0" w:color="auto"/>
            <w:bottom w:val="none" w:sz="0" w:space="0" w:color="auto"/>
            <w:right w:val="none" w:sz="0" w:space="0" w:color="auto"/>
          </w:divBdr>
        </w:div>
        <w:div w:id="1195119076">
          <w:marLeft w:val="576"/>
          <w:marRight w:val="0"/>
          <w:marTop w:val="360"/>
          <w:marBottom w:val="0"/>
          <w:divBdr>
            <w:top w:val="none" w:sz="0" w:space="0" w:color="auto"/>
            <w:left w:val="none" w:sz="0" w:space="0" w:color="auto"/>
            <w:bottom w:val="none" w:sz="0" w:space="0" w:color="auto"/>
            <w:right w:val="none" w:sz="0" w:space="0" w:color="auto"/>
          </w:divBdr>
        </w:div>
        <w:div w:id="2002082965">
          <w:marLeft w:val="576"/>
          <w:marRight w:val="0"/>
          <w:marTop w:val="360"/>
          <w:marBottom w:val="0"/>
          <w:divBdr>
            <w:top w:val="none" w:sz="0" w:space="0" w:color="auto"/>
            <w:left w:val="none" w:sz="0" w:space="0" w:color="auto"/>
            <w:bottom w:val="none" w:sz="0" w:space="0" w:color="auto"/>
            <w:right w:val="none" w:sz="0" w:space="0" w:color="auto"/>
          </w:divBdr>
        </w:div>
        <w:div w:id="2038696165">
          <w:marLeft w:val="576"/>
          <w:marRight w:val="0"/>
          <w:marTop w:val="360"/>
          <w:marBottom w:val="0"/>
          <w:divBdr>
            <w:top w:val="none" w:sz="0" w:space="0" w:color="auto"/>
            <w:left w:val="none" w:sz="0" w:space="0" w:color="auto"/>
            <w:bottom w:val="none" w:sz="0" w:space="0" w:color="auto"/>
            <w:right w:val="none" w:sz="0" w:space="0" w:color="auto"/>
          </w:divBdr>
        </w:div>
      </w:divsChild>
    </w:div>
    <w:div w:id="1988627528">
      <w:bodyDiv w:val="1"/>
      <w:marLeft w:val="0"/>
      <w:marRight w:val="0"/>
      <w:marTop w:val="0"/>
      <w:marBottom w:val="0"/>
      <w:divBdr>
        <w:top w:val="none" w:sz="0" w:space="0" w:color="auto"/>
        <w:left w:val="none" w:sz="0" w:space="0" w:color="auto"/>
        <w:bottom w:val="none" w:sz="0" w:space="0" w:color="auto"/>
        <w:right w:val="none" w:sz="0" w:space="0" w:color="auto"/>
      </w:divBdr>
    </w:div>
    <w:div w:id="2028286098">
      <w:bodyDiv w:val="1"/>
      <w:marLeft w:val="0"/>
      <w:marRight w:val="0"/>
      <w:marTop w:val="0"/>
      <w:marBottom w:val="0"/>
      <w:divBdr>
        <w:top w:val="none" w:sz="0" w:space="0" w:color="auto"/>
        <w:left w:val="none" w:sz="0" w:space="0" w:color="auto"/>
        <w:bottom w:val="none" w:sz="0" w:space="0" w:color="auto"/>
        <w:right w:val="none" w:sz="0" w:space="0" w:color="auto"/>
      </w:divBdr>
    </w:div>
    <w:div w:id="2035305081">
      <w:bodyDiv w:val="1"/>
      <w:marLeft w:val="0"/>
      <w:marRight w:val="0"/>
      <w:marTop w:val="0"/>
      <w:marBottom w:val="0"/>
      <w:divBdr>
        <w:top w:val="none" w:sz="0" w:space="0" w:color="auto"/>
        <w:left w:val="none" w:sz="0" w:space="0" w:color="auto"/>
        <w:bottom w:val="none" w:sz="0" w:space="0" w:color="auto"/>
        <w:right w:val="none" w:sz="0" w:space="0" w:color="auto"/>
      </w:divBdr>
    </w:div>
    <w:div w:id="2053192738">
      <w:bodyDiv w:val="1"/>
      <w:marLeft w:val="0"/>
      <w:marRight w:val="0"/>
      <w:marTop w:val="0"/>
      <w:marBottom w:val="0"/>
      <w:divBdr>
        <w:top w:val="none" w:sz="0" w:space="0" w:color="auto"/>
        <w:left w:val="none" w:sz="0" w:space="0" w:color="auto"/>
        <w:bottom w:val="none" w:sz="0" w:space="0" w:color="auto"/>
        <w:right w:val="none" w:sz="0" w:space="0" w:color="auto"/>
      </w:divBdr>
      <w:divsChild>
        <w:div w:id="902058071">
          <w:marLeft w:val="576"/>
          <w:marRight w:val="0"/>
          <w:marTop w:val="360"/>
          <w:marBottom w:val="0"/>
          <w:divBdr>
            <w:top w:val="none" w:sz="0" w:space="0" w:color="auto"/>
            <w:left w:val="none" w:sz="0" w:space="0" w:color="auto"/>
            <w:bottom w:val="none" w:sz="0" w:space="0" w:color="auto"/>
            <w:right w:val="none" w:sz="0" w:space="0" w:color="auto"/>
          </w:divBdr>
        </w:div>
        <w:div w:id="1163164420">
          <w:marLeft w:val="1051"/>
          <w:marRight w:val="0"/>
          <w:marTop w:val="360"/>
          <w:marBottom w:val="0"/>
          <w:divBdr>
            <w:top w:val="none" w:sz="0" w:space="0" w:color="auto"/>
            <w:left w:val="none" w:sz="0" w:space="0" w:color="auto"/>
            <w:bottom w:val="none" w:sz="0" w:space="0" w:color="auto"/>
            <w:right w:val="none" w:sz="0" w:space="0" w:color="auto"/>
          </w:divBdr>
        </w:div>
        <w:div w:id="1413896325">
          <w:marLeft w:val="576"/>
          <w:marRight w:val="0"/>
          <w:marTop w:val="360"/>
          <w:marBottom w:val="0"/>
          <w:divBdr>
            <w:top w:val="none" w:sz="0" w:space="0" w:color="auto"/>
            <w:left w:val="none" w:sz="0" w:space="0" w:color="auto"/>
            <w:bottom w:val="none" w:sz="0" w:space="0" w:color="auto"/>
            <w:right w:val="none" w:sz="0" w:space="0" w:color="auto"/>
          </w:divBdr>
        </w:div>
        <w:div w:id="1849053108">
          <w:marLeft w:val="1051"/>
          <w:marRight w:val="0"/>
          <w:marTop w:val="360"/>
          <w:marBottom w:val="0"/>
          <w:divBdr>
            <w:top w:val="none" w:sz="0" w:space="0" w:color="auto"/>
            <w:left w:val="none" w:sz="0" w:space="0" w:color="auto"/>
            <w:bottom w:val="none" w:sz="0" w:space="0" w:color="auto"/>
            <w:right w:val="none" w:sz="0" w:space="0" w:color="auto"/>
          </w:divBdr>
        </w:div>
        <w:div w:id="1891303617">
          <w:marLeft w:val="576"/>
          <w:marRight w:val="0"/>
          <w:marTop w:val="360"/>
          <w:marBottom w:val="0"/>
          <w:divBdr>
            <w:top w:val="none" w:sz="0" w:space="0" w:color="auto"/>
            <w:left w:val="none" w:sz="0" w:space="0" w:color="auto"/>
            <w:bottom w:val="none" w:sz="0" w:space="0" w:color="auto"/>
            <w:right w:val="none" w:sz="0" w:space="0" w:color="auto"/>
          </w:divBdr>
        </w:div>
        <w:div w:id="2052218269">
          <w:marLeft w:val="576"/>
          <w:marRight w:val="0"/>
          <w:marTop w:val="360"/>
          <w:marBottom w:val="0"/>
          <w:divBdr>
            <w:top w:val="none" w:sz="0" w:space="0" w:color="auto"/>
            <w:left w:val="none" w:sz="0" w:space="0" w:color="auto"/>
            <w:bottom w:val="none" w:sz="0" w:space="0" w:color="auto"/>
            <w:right w:val="none" w:sz="0" w:space="0" w:color="auto"/>
          </w:divBdr>
        </w:div>
      </w:divsChild>
    </w:div>
    <w:div w:id="2069525479">
      <w:bodyDiv w:val="1"/>
      <w:marLeft w:val="0"/>
      <w:marRight w:val="0"/>
      <w:marTop w:val="0"/>
      <w:marBottom w:val="0"/>
      <w:divBdr>
        <w:top w:val="none" w:sz="0" w:space="0" w:color="auto"/>
        <w:left w:val="none" w:sz="0" w:space="0" w:color="auto"/>
        <w:bottom w:val="none" w:sz="0" w:space="0" w:color="auto"/>
        <w:right w:val="none" w:sz="0" w:space="0" w:color="auto"/>
      </w:divBdr>
      <w:divsChild>
        <w:div w:id="82259710">
          <w:marLeft w:val="1008"/>
          <w:marRight w:val="0"/>
          <w:marTop w:val="0"/>
          <w:marBottom w:val="240"/>
          <w:divBdr>
            <w:top w:val="none" w:sz="0" w:space="0" w:color="auto"/>
            <w:left w:val="none" w:sz="0" w:space="0" w:color="auto"/>
            <w:bottom w:val="none" w:sz="0" w:space="0" w:color="auto"/>
            <w:right w:val="none" w:sz="0" w:space="0" w:color="auto"/>
          </w:divBdr>
        </w:div>
        <w:div w:id="1554924992">
          <w:marLeft w:val="1008"/>
          <w:marRight w:val="0"/>
          <w:marTop w:val="0"/>
          <w:marBottom w:val="240"/>
          <w:divBdr>
            <w:top w:val="none" w:sz="0" w:space="0" w:color="auto"/>
            <w:left w:val="none" w:sz="0" w:space="0" w:color="auto"/>
            <w:bottom w:val="none" w:sz="0" w:space="0" w:color="auto"/>
            <w:right w:val="none" w:sz="0" w:space="0" w:color="auto"/>
          </w:divBdr>
        </w:div>
      </w:divsChild>
    </w:div>
    <w:div w:id="2096005053">
      <w:bodyDiv w:val="1"/>
      <w:marLeft w:val="0"/>
      <w:marRight w:val="0"/>
      <w:marTop w:val="0"/>
      <w:marBottom w:val="0"/>
      <w:divBdr>
        <w:top w:val="none" w:sz="0" w:space="0" w:color="auto"/>
        <w:left w:val="none" w:sz="0" w:space="0" w:color="auto"/>
        <w:bottom w:val="none" w:sz="0" w:space="0" w:color="auto"/>
        <w:right w:val="none" w:sz="0" w:space="0" w:color="auto"/>
      </w:divBdr>
      <w:divsChild>
        <w:div w:id="165680947">
          <w:marLeft w:val="547"/>
          <w:marRight w:val="0"/>
          <w:marTop w:val="60"/>
          <w:marBottom w:val="0"/>
          <w:divBdr>
            <w:top w:val="none" w:sz="0" w:space="0" w:color="auto"/>
            <w:left w:val="none" w:sz="0" w:space="0" w:color="auto"/>
            <w:bottom w:val="none" w:sz="0" w:space="0" w:color="auto"/>
            <w:right w:val="none" w:sz="0" w:space="0" w:color="auto"/>
          </w:divBdr>
        </w:div>
        <w:div w:id="225116703">
          <w:marLeft w:val="547"/>
          <w:marRight w:val="0"/>
          <w:marTop w:val="60"/>
          <w:marBottom w:val="0"/>
          <w:divBdr>
            <w:top w:val="none" w:sz="0" w:space="0" w:color="auto"/>
            <w:left w:val="none" w:sz="0" w:space="0" w:color="auto"/>
            <w:bottom w:val="none" w:sz="0" w:space="0" w:color="auto"/>
            <w:right w:val="none" w:sz="0" w:space="0" w:color="auto"/>
          </w:divBdr>
        </w:div>
        <w:div w:id="557130424">
          <w:marLeft w:val="547"/>
          <w:marRight w:val="0"/>
          <w:marTop w:val="60"/>
          <w:marBottom w:val="0"/>
          <w:divBdr>
            <w:top w:val="none" w:sz="0" w:space="0" w:color="auto"/>
            <w:left w:val="none" w:sz="0" w:space="0" w:color="auto"/>
            <w:bottom w:val="none" w:sz="0" w:space="0" w:color="auto"/>
            <w:right w:val="none" w:sz="0" w:space="0" w:color="auto"/>
          </w:divBdr>
        </w:div>
        <w:div w:id="598486223">
          <w:marLeft w:val="547"/>
          <w:marRight w:val="0"/>
          <w:marTop w:val="60"/>
          <w:marBottom w:val="0"/>
          <w:divBdr>
            <w:top w:val="none" w:sz="0" w:space="0" w:color="auto"/>
            <w:left w:val="none" w:sz="0" w:space="0" w:color="auto"/>
            <w:bottom w:val="none" w:sz="0" w:space="0" w:color="auto"/>
            <w:right w:val="none" w:sz="0" w:space="0" w:color="auto"/>
          </w:divBdr>
        </w:div>
        <w:div w:id="616524544">
          <w:marLeft w:val="547"/>
          <w:marRight w:val="0"/>
          <w:marTop w:val="60"/>
          <w:marBottom w:val="0"/>
          <w:divBdr>
            <w:top w:val="none" w:sz="0" w:space="0" w:color="auto"/>
            <w:left w:val="none" w:sz="0" w:space="0" w:color="auto"/>
            <w:bottom w:val="none" w:sz="0" w:space="0" w:color="auto"/>
            <w:right w:val="none" w:sz="0" w:space="0" w:color="auto"/>
          </w:divBdr>
        </w:div>
        <w:div w:id="1038319599">
          <w:marLeft w:val="547"/>
          <w:marRight w:val="0"/>
          <w:marTop w:val="60"/>
          <w:marBottom w:val="0"/>
          <w:divBdr>
            <w:top w:val="none" w:sz="0" w:space="0" w:color="auto"/>
            <w:left w:val="none" w:sz="0" w:space="0" w:color="auto"/>
            <w:bottom w:val="none" w:sz="0" w:space="0" w:color="auto"/>
            <w:right w:val="none" w:sz="0" w:space="0" w:color="auto"/>
          </w:divBdr>
        </w:div>
        <w:div w:id="1098793148">
          <w:marLeft w:val="547"/>
          <w:marRight w:val="0"/>
          <w:marTop w:val="60"/>
          <w:marBottom w:val="0"/>
          <w:divBdr>
            <w:top w:val="none" w:sz="0" w:space="0" w:color="auto"/>
            <w:left w:val="none" w:sz="0" w:space="0" w:color="auto"/>
            <w:bottom w:val="none" w:sz="0" w:space="0" w:color="auto"/>
            <w:right w:val="none" w:sz="0" w:space="0" w:color="auto"/>
          </w:divBdr>
        </w:div>
        <w:div w:id="2108303153">
          <w:marLeft w:val="547"/>
          <w:marRight w:val="0"/>
          <w:marTop w:val="60"/>
          <w:marBottom w:val="0"/>
          <w:divBdr>
            <w:top w:val="none" w:sz="0" w:space="0" w:color="auto"/>
            <w:left w:val="none" w:sz="0" w:space="0" w:color="auto"/>
            <w:bottom w:val="none" w:sz="0" w:space="0" w:color="auto"/>
            <w:right w:val="none" w:sz="0" w:space="0" w:color="auto"/>
          </w:divBdr>
        </w:div>
      </w:divsChild>
    </w:div>
    <w:div w:id="210006143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0">
          <w:marLeft w:val="403"/>
          <w:marRight w:val="0"/>
          <w:marTop w:val="240"/>
          <w:marBottom w:val="0"/>
          <w:divBdr>
            <w:top w:val="none" w:sz="0" w:space="0" w:color="auto"/>
            <w:left w:val="none" w:sz="0" w:space="0" w:color="auto"/>
            <w:bottom w:val="none" w:sz="0" w:space="0" w:color="auto"/>
            <w:right w:val="none" w:sz="0" w:space="0" w:color="auto"/>
          </w:divBdr>
        </w:div>
        <w:div w:id="1508906746">
          <w:marLeft w:val="878"/>
          <w:marRight w:val="0"/>
          <w:marTop w:val="120"/>
          <w:marBottom w:val="0"/>
          <w:divBdr>
            <w:top w:val="none" w:sz="0" w:space="0" w:color="auto"/>
            <w:left w:val="none" w:sz="0" w:space="0" w:color="auto"/>
            <w:bottom w:val="none" w:sz="0" w:space="0" w:color="auto"/>
            <w:right w:val="none" w:sz="0" w:space="0" w:color="auto"/>
          </w:divBdr>
        </w:div>
        <w:div w:id="1555199057">
          <w:marLeft w:val="878"/>
          <w:marRight w:val="0"/>
          <w:marTop w:val="120"/>
          <w:marBottom w:val="0"/>
          <w:divBdr>
            <w:top w:val="none" w:sz="0" w:space="0" w:color="auto"/>
            <w:left w:val="none" w:sz="0" w:space="0" w:color="auto"/>
            <w:bottom w:val="none" w:sz="0" w:space="0" w:color="auto"/>
            <w:right w:val="none" w:sz="0" w:space="0" w:color="auto"/>
          </w:divBdr>
        </w:div>
        <w:div w:id="2079480113">
          <w:marLeft w:val="878"/>
          <w:marRight w:val="0"/>
          <w:marTop w:val="120"/>
          <w:marBottom w:val="0"/>
          <w:divBdr>
            <w:top w:val="none" w:sz="0" w:space="0" w:color="auto"/>
            <w:left w:val="none" w:sz="0" w:space="0" w:color="auto"/>
            <w:bottom w:val="none" w:sz="0" w:space="0" w:color="auto"/>
            <w:right w:val="none" w:sz="0" w:space="0" w:color="auto"/>
          </w:divBdr>
        </w:div>
      </w:divsChild>
    </w:div>
    <w:div w:id="2101221506">
      <w:bodyDiv w:val="1"/>
      <w:marLeft w:val="0"/>
      <w:marRight w:val="0"/>
      <w:marTop w:val="0"/>
      <w:marBottom w:val="0"/>
      <w:divBdr>
        <w:top w:val="none" w:sz="0" w:space="0" w:color="auto"/>
        <w:left w:val="none" w:sz="0" w:space="0" w:color="auto"/>
        <w:bottom w:val="none" w:sz="0" w:space="0" w:color="auto"/>
        <w:right w:val="none" w:sz="0" w:space="0" w:color="auto"/>
      </w:divBdr>
      <w:divsChild>
        <w:div w:id="53168218">
          <w:marLeft w:val="878"/>
          <w:marRight w:val="0"/>
          <w:marTop w:val="120"/>
          <w:marBottom w:val="0"/>
          <w:divBdr>
            <w:top w:val="none" w:sz="0" w:space="0" w:color="auto"/>
            <w:left w:val="none" w:sz="0" w:space="0" w:color="auto"/>
            <w:bottom w:val="none" w:sz="0" w:space="0" w:color="auto"/>
            <w:right w:val="none" w:sz="0" w:space="0" w:color="auto"/>
          </w:divBdr>
        </w:div>
        <w:div w:id="259024664">
          <w:marLeft w:val="403"/>
          <w:marRight w:val="0"/>
          <w:marTop w:val="240"/>
          <w:marBottom w:val="0"/>
          <w:divBdr>
            <w:top w:val="none" w:sz="0" w:space="0" w:color="auto"/>
            <w:left w:val="none" w:sz="0" w:space="0" w:color="auto"/>
            <w:bottom w:val="none" w:sz="0" w:space="0" w:color="auto"/>
            <w:right w:val="none" w:sz="0" w:space="0" w:color="auto"/>
          </w:divBdr>
        </w:div>
        <w:div w:id="620187430">
          <w:marLeft w:val="403"/>
          <w:marRight w:val="0"/>
          <w:marTop w:val="240"/>
          <w:marBottom w:val="0"/>
          <w:divBdr>
            <w:top w:val="none" w:sz="0" w:space="0" w:color="auto"/>
            <w:left w:val="none" w:sz="0" w:space="0" w:color="auto"/>
            <w:bottom w:val="none" w:sz="0" w:space="0" w:color="auto"/>
            <w:right w:val="none" w:sz="0" w:space="0" w:color="auto"/>
          </w:divBdr>
        </w:div>
        <w:div w:id="665281590">
          <w:marLeft w:val="878"/>
          <w:marRight w:val="0"/>
          <w:marTop w:val="120"/>
          <w:marBottom w:val="0"/>
          <w:divBdr>
            <w:top w:val="none" w:sz="0" w:space="0" w:color="auto"/>
            <w:left w:val="none" w:sz="0" w:space="0" w:color="auto"/>
            <w:bottom w:val="none" w:sz="0" w:space="0" w:color="auto"/>
            <w:right w:val="none" w:sz="0" w:space="0" w:color="auto"/>
          </w:divBdr>
        </w:div>
        <w:div w:id="934022000">
          <w:marLeft w:val="403"/>
          <w:marRight w:val="0"/>
          <w:marTop w:val="240"/>
          <w:marBottom w:val="0"/>
          <w:divBdr>
            <w:top w:val="none" w:sz="0" w:space="0" w:color="auto"/>
            <w:left w:val="none" w:sz="0" w:space="0" w:color="auto"/>
            <w:bottom w:val="none" w:sz="0" w:space="0" w:color="auto"/>
            <w:right w:val="none" w:sz="0" w:space="0" w:color="auto"/>
          </w:divBdr>
        </w:div>
        <w:div w:id="995763475">
          <w:marLeft w:val="878"/>
          <w:marRight w:val="0"/>
          <w:marTop w:val="120"/>
          <w:marBottom w:val="0"/>
          <w:divBdr>
            <w:top w:val="none" w:sz="0" w:space="0" w:color="auto"/>
            <w:left w:val="none" w:sz="0" w:space="0" w:color="auto"/>
            <w:bottom w:val="none" w:sz="0" w:space="0" w:color="auto"/>
            <w:right w:val="none" w:sz="0" w:space="0" w:color="auto"/>
          </w:divBdr>
        </w:div>
        <w:div w:id="1123382908">
          <w:marLeft w:val="403"/>
          <w:marRight w:val="0"/>
          <w:marTop w:val="240"/>
          <w:marBottom w:val="0"/>
          <w:divBdr>
            <w:top w:val="none" w:sz="0" w:space="0" w:color="auto"/>
            <w:left w:val="none" w:sz="0" w:space="0" w:color="auto"/>
            <w:bottom w:val="none" w:sz="0" w:space="0" w:color="auto"/>
            <w:right w:val="none" w:sz="0" w:space="0" w:color="auto"/>
          </w:divBdr>
        </w:div>
      </w:divsChild>
    </w:div>
    <w:div w:id="2105417036">
      <w:bodyDiv w:val="1"/>
      <w:marLeft w:val="0"/>
      <w:marRight w:val="0"/>
      <w:marTop w:val="0"/>
      <w:marBottom w:val="0"/>
      <w:divBdr>
        <w:top w:val="none" w:sz="0" w:space="0" w:color="auto"/>
        <w:left w:val="none" w:sz="0" w:space="0" w:color="auto"/>
        <w:bottom w:val="none" w:sz="0" w:space="0" w:color="auto"/>
        <w:right w:val="none" w:sz="0" w:space="0" w:color="auto"/>
      </w:divBdr>
      <w:divsChild>
        <w:div w:id="648822740">
          <w:marLeft w:val="1152"/>
          <w:marRight w:val="0"/>
          <w:marTop w:val="0"/>
          <w:marBottom w:val="0"/>
          <w:divBdr>
            <w:top w:val="none" w:sz="0" w:space="0" w:color="auto"/>
            <w:left w:val="none" w:sz="0" w:space="0" w:color="auto"/>
            <w:bottom w:val="none" w:sz="0" w:space="0" w:color="auto"/>
            <w:right w:val="none" w:sz="0" w:space="0" w:color="auto"/>
          </w:divBdr>
        </w:div>
        <w:div w:id="975573155">
          <w:marLeft w:val="576"/>
          <w:marRight w:val="0"/>
          <w:marTop w:val="240"/>
          <w:marBottom w:val="0"/>
          <w:divBdr>
            <w:top w:val="none" w:sz="0" w:space="0" w:color="auto"/>
            <w:left w:val="none" w:sz="0" w:space="0" w:color="auto"/>
            <w:bottom w:val="none" w:sz="0" w:space="0" w:color="auto"/>
            <w:right w:val="none" w:sz="0" w:space="0" w:color="auto"/>
          </w:divBdr>
        </w:div>
        <w:div w:id="1102915336">
          <w:marLeft w:val="1152"/>
          <w:marRight w:val="0"/>
          <w:marTop w:val="0"/>
          <w:marBottom w:val="0"/>
          <w:divBdr>
            <w:top w:val="none" w:sz="0" w:space="0" w:color="auto"/>
            <w:left w:val="none" w:sz="0" w:space="0" w:color="auto"/>
            <w:bottom w:val="none" w:sz="0" w:space="0" w:color="auto"/>
            <w:right w:val="none" w:sz="0" w:space="0" w:color="auto"/>
          </w:divBdr>
        </w:div>
        <w:div w:id="1831288766">
          <w:marLeft w:val="576"/>
          <w:marRight w:val="0"/>
          <w:marTop w:val="240"/>
          <w:marBottom w:val="0"/>
          <w:divBdr>
            <w:top w:val="none" w:sz="0" w:space="0" w:color="auto"/>
            <w:left w:val="none" w:sz="0" w:space="0" w:color="auto"/>
            <w:bottom w:val="none" w:sz="0" w:space="0" w:color="auto"/>
            <w:right w:val="none" w:sz="0" w:space="0" w:color="auto"/>
          </w:divBdr>
        </w:div>
        <w:div w:id="1842117354">
          <w:marLeft w:val="576"/>
          <w:marRight w:val="0"/>
          <w:marTop w:val="240"/>
          <w:marBottom w:val="0"/>
          <w:divBdr>
            <w:top w:val="none" w:sz="0" w:space="0" w:color="auto"/>
            <w:left w:val="none" w:sz="0" w:space="0" w:color="auto"/>
            <w:bottom w:val="none" w:sz="0" w:space="0" w:color="auto"/>
            <w:right w:val="none" w:sz="0" w:space="0" w:color="auto"/>
          </w:divBdr>
        </w:div>
      </w:divsChild>
    </w:div>
    <w:div w:id="2113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9789240052390" TargetMode="External"/><Relationship Id="rId18" Type="http://schemas.openxmlformats.org/officeDocument/2006/relationships/hyperlink" Target="https://www.who.int/publications/i/item/9789240022232" TargetMode="External"/><Relationship Id="rId26" Type="http://schemas.openxmlformats.org/officeDocument/2006/relationships/image" Target="media/image9.png"/><Relationship Id="rId39" Type="http://schemas.openxmlformats.org/officeDocument/2006/relationships/hyperlink" Target="https://journals.lww.com/md-journal/Fulltext/2022/02040/Clinical_signs_and_symptoms_associated_with_acute.14.aspx" TargetMode="External"/><Relationship Id="rId21" Type="http://schemas.openxmlformats.org/officeDocument/2006/relationships/image" Target="media/image4.png"/><Relationship Id="rId34" Type="http://schemas.openxmlformats.org/officeDocument/2006/relationships/hyperlink" Target="https://www.accessdata.fda.gov/drugsatfda_docs/label/2021/215499s000lbl.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ho.int/publications/i/item/9789240031593" TargetMode="External"/><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hyperlink" Target="https://www.prepwatch.org/resources/sop-job-aid-ipv-prep-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publications/i/item/9789240053694" TargetMode="External"/><Relationship Id="rId24" Type="http://schemas.openxmlformats.org/officeDocument/2006/relationships/image" Target="media/image7.png"/><Relationship Id="rId32" Type="http://schemas.openxmlformats.org/officeDocument/2006/relationships/hyperlink" Target="https://www.accessdata.fda.gov/drugsatfda_docs/label/2021/215499s000lbl.pdf" TargetMode="External"/><Relationship Id="rId37" Type="http://schemas.openxmlformats.org/officeDocument/2006/relationships/hyperlink" Target="https://journals.lww.com/md-journal/Fulltext/2022/02040/Clinical_signs_and_symptoms_associated_with_acute.14.aspx" TargetMode="External"/><Relationship Id="rId40" Type="http://schemas.openxmlformats.org/officeDocument/2006/relationships/hyperlink" Target="https://journals.lww.com/md-journal/Fulltext/2022/02040/Clinical_signs_and_symptoms_associated_with_acute.14.aspx" TargetMode="External"/><Relationship Id="rId5" Type="http://schemas.openxmlformats.org/officeDocument/2006/relationships/numbering" Target="numbering.xml"/><Relationship Id="rId15" Type="http://schemas.openxmlformats.org/officeDocument/2006/relationships/hyperlink" Target="https://www.who.int/publications/i/item/9789240031593"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journals.lww.com/md-journal/Fulltext/2022/02040/Clinical_signs_and_symptoms_associated_with_acute.14.aspx"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data.fda.gov/drugsatfda_docs/label/2021/215499s000lbl.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ho.int/publications-detail-redirect/9789240054097" TargetMode="External"/><Relationship Id="rId17" Type="http://schemas.openxmlformats.org/officeDocument/2006/relationships/hyperlink" Target="https://www.ema.europa.eu/documents/outside-eu-product-information/dapivirine-vaginal-ring-25-mg-product-information_en-0.pdf"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programme.aids2022.org/Abstract/Abstract/?abstractid=12893" TargetMode="External"/><Relationship Id="rId2" Type="http://schemas.openxmlformats.org/officeDocument/2006/relationships/hyperlink" Target="https://www.who.int/publications/i/item/WHO-CDS-HIV-18.22" TargetMode="External"/><Relationship Id="rId1" Type="http://schemas.openxmlformats.org/officeDocument/2006/relationships/hyperlink" Target="https://www.who.int/publications/i/item/9789240052390" TargetMode="External"/><Relationship Id="rId6" Type="http://schemas.openxmlformats.org/officeDocument/2006/relationships/hyperlink" Target="https://www.who.int/publications/i/item/9789240057425" TargetMode="External"/><Relationship Id="rId5" Type="http://schemas.openxmlformats.org/officeDocument/2006/relationships/hyperlink" Target="https://programme.aids2022.org/Abstract/Abstract/?abstractid=12707" TargetMode="External"/><Relationship Id="rId4" Type="http://schemas.openxmlformats.org/officeDocument/2006/relationships/hyperlink" Target="https://theprogramme.ias2021.org/Abstract/Abstract/24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35616bd-f3ab-4ee4-8f55-73cb5167d911">
      <UserInfo>
        <DisplayName>Katie Schwartz</DisplayName>
        <AccountId>15</AccountId>
        <AccountType/>
      </UserInfo>
      <UserInfo>
        <DisplayName>Morgan Garcia</DisplayName>
        <AccountId>20</AccountId>
        <AccountType/>
      </UserInfo>
      <UserInfo>
        <DisplayName>Njambi Njuguna</DisplayName>
        <AccountId>37</AccountId>
        <AccountType/>
      </UserInfo>
      <UserInfo>
        <DisplayName>Anita Hettema</DisplayName>
        <AccountId>41</AccountId>
        <AccountType/>
      </UserInfo>
      <UserInfo>
        <DisplayName>Kristine Torjesen</DisplayName>
        <AccountId>14</AccountId>
        <AccountType/>
      </UserInfo>
      <UserInfo>
        <DisplayName>Alisa Alano</DisplayName>
        <AccountId>17</AccountId>
        <AccountType/>
      </UserInfo>
      <UserInfo>
        <DisplayName>Rose Wilcher</DisplayName>
        <AccountId>18</AccountId>
        <AccountType/>
      </UserInfo>
      <UserInfo>
        <DisplayName>Kathleen Shears</DisplayName>
        <AccountId>124</AccountId>
        <AccountType/>
      </UserInfo>
      <UserInfo>
        <DisplayName>Chris Obermeyer</DisplayName>
        <AccountId>19</AccountId>
        <AccountType/>
      </UserInfo>
      <UserInfo>
        <DisplayName>Katie Williams</DisplayName>
        <AccountId>26</AccountId>
        <AccountType/>
      </UserInfo>
      <UserInfo>
        <DisplayName>Shyla Napier</DisplayName>
        <AccountId>27</AccountId>
        <AccountType/>
      </UserInfo>
      <UserInfo>
        <DisplayName>Casey Bishopp</DisplayName>
        <AccountId>16</AccountId>
        <AccountType/>
      </UserInfo>
    </SharedWithUsers>
    <TaxCatchAll xmlns="d35616bd-f3ab-4ee4-8f55-73cb5167d911" xsi:nil="true"/>
    <lcf76f155ced4ddcb4097134ff3c332f xmlns="1865d82a-bf83-4eaa-817a-e97c662b7d46">
      <Terms xmlns="http://schemas.microsoft.com/office/infopath/2007/PartnerControls"/>
    </lcf76f155ced4ddcb4097134ff3c332f>
    <MediaLengthInSeconds xmlns="1865d82a-bf83-4eaa-817a-e97c662b7d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0" ma:contentTypeDescription="Create a new document." ma:contentTypeScope="" ma:versionID="e1ad64d0817e8fb920737e083ae800e6">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651b5b6ae91c234a6ddc953bdaf2b0b4"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customXml/itemProps2.xml><?xml version="1.0" encoding="utf-8"?>
<ds:datastoreItem xmlns:ds="http://schemas.openxmlformats.org/officeDocument/2006/customXml" ds:itemID="{5F87C6A8-9C06-4FAD-8FE0-F42CDCA23ADB}">
  <ds:schemaRef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d35616bd-f3ab-4ee4-8f55-73cb5167d911"/>
    <ds:schemaRef ds:uri="1865d82a-bf83-4eaa-817a-e97c662b7d46"/>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7C4262B-C032-40AA-BC91-8E14B6A85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B5289-3E57-43E6-A581-640CA01756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22730</Words>
  <Characters>129566</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151993</CharactersWithSpaces>
  <SharedDoc>false</SharedDoc>
  <HLinks>
    <vt:vector size="420" baseType="variant">
      <vt:variant>
        <vt:i4>3145848</vt:i4>
      </vt:variant>
      <vt:variant>
        <vt:i4>348</vt:i4>
      </vt:variant>
      <vt:variant>
        <vt:i4>0</vt:i4>
      </vt:variant>
      <vt:variant>
        <vt:i4>5</vt:i4>
      </vt:variant>
      <vt:variant>
        <vt:lpwstr>https://www.prepwatch.org/resources/sop-job-aid-ipv-prep-services/</vt:lpwstr>
      </vt:variant>
      <vt:variant>
        <vt:lpwstr/>
      </vt:variant>
      <vt:variant>
        <vt:i4>262175</vt:i4>
      </vt:variant>
      <vt:variant>
        <vt:i4>345</vt:i4>
      </vt:variant>
      <vt:variant>
        <vt:i4>0</vt:i4>
      </vt:variant>
      <vt:variant>
        <vt:i4>5</vt:i4>
      </vt:variant>
      <vt:variant>
        <vt:lpwstr>https://journals.lww.com/md-journal/Fulltext/2022/02040/Clinical_signs_and_symptoms_associated_with_acute.14.aspx</vt:lpwstr>
      </vt:variant>
      <vt:variant>
        <vt:lpwstr/>
      </vt:variant>
      <vt:variant>
        <vt:i4>262175</vt:i4>
      </vt:variant>
      <vt:variant>
        <vt:i4>342</vt:i4>
      </vt:variant>
      <vt:variant>
        <vt:i4>0</vt:i4>
      </vt:variant>
      <vt:variant>
        <vt:i4>5</vt:i4>
      </vt:variant>
      <vt:variant>
        <vt:lpwstr>https://journals.lww.com/md-journal/Fulltext/2022/02040/Clinical_signs_and_symptoms_associated_with_acute.14.aspx</vt:lpwstr>
      </vt:variant>
      <vt:variant>
        <vt:lpwstr/>
      </vt:variant>
      <vt:variant>
        <vt:i4>1507376</vt:i4>
      </vt:variant>
      <vt:variant>
        <vt:i4>335</vt:i4>
      </vt:variant>
      <vt:variant>
        <vt:i4>0</vt:i4>
      </vt:variant>
      <vt:variant>
        <vt:i4>5</vt:i4>
      </vt:variant>
      <vt:variant>
        <vt:lpwstr/>
      </vt:variant>
      <vt:variant>
        <vt:lpwstr>_Toc120626323</vt:lpwstr>
      </vt:variant>
      <vt:variant>
        <vt:i4>1507376</vt:i4>
      </vt:variant>
      <vt:variant>
        <vt:i4>329</vt:i4>
      </vt:variant>
      <vt:variant>
        <vt:i4>0</vt:i4>
      </vt:variant>
      <vt:variant>
        <vt:i4>5</vt:i4>
      </vt:variant>
      <vt:variant>
        <vt:lpwstr/>
      </vt:variant>
      <vt:variant>
        <vt:lpwstr>_Toc120626322</vt:lpwstr>
      </vt:variant>
      <vt:variant>
        <vt:i4>1507376</vt:i4>
      </vt:variant>
      <vt:variant>
        <vt:i4>323</vt:i4>
      </vt:variant>
      <vt:variant>
        <vt:i4>0</vt:i4>
      </vt:variant>
      <vt:variant>
        <vt:i4>5</vt:i4>
      </vt:variant>
      <vt:variant>
        <vt:lpwstr/>
      </vt:variant>
      <vt:variant>
        <vt:lpwstr>_Toc120626321</vt:lpwstr>
      </vt:variant>
      <vt:variant>
        <vt:i4>1507376</vt:i4>
      </vt:variant>
      <vt:variant>
        <vt:i4>317</vt:i4>
      </vt:variant>
      <vt:variant>
        <vt:i4>0</vt:i4>
      </vt:variant>
      <vt:variant>
        <vt:i4>5</vt:i4>
      </vt:variant>
      <vt:variant>
        <vt:lpwstr/>
      </vt:variant>
      <vt:variant>
        <vt:lpwstr>_Toc120626320</vt:lpwstr>
      </vt:variant>
      <vt:variant>
        <vt:i4>1310768</vt:i4>
      </vt:variant>
      <vt:variant>
        <vt:i4>311</vt:i4>
      </vt:variant>
      <vt:variant>
        <vt:i4>0</vt:i4>
      </vt:variant>
      <vt:variant>
        <vt:i4>5</vt:i4>
      </vt:variant>
      <vt:variant>
        <vt:lpwstr/>
      </vt:variant>
      <vt:variant>
        <vt:lpwstr>_Toc120626319</vt:lpwstr>
      </vt:variant>
      <vt:variant>
        <vt:i4>1310768</vt:i4>
      </vt:variant>
      <vt:variant>
        <vt:i4>305</vt:i4>
      </vt:variant>
      <vt:variant>
        <vt:i4>0</vt:i4>
      </vt:variant>
      <vt:variant>
        <vt:i4>5</vt:i4>
      </vt:variant>
      <vt:variant>
        <vt:lpwstr/>
      </vt:variant>
      <vt:variant>
        <vt:lpwstr>_Toc120626318</vt:lpwstr>
      </vt:variant>
      <vt:variant>
        <vt:i4>1310768</vt:i4>
      </vt:variant>
      <vt:variant>
        <vt:i4>299</vt:i4>
      </vt:variant>
      <vt:variant>
        <vt:i4>0</vt:i4>
      </vt:variant>
      <vt:variant>
        <vt:i4>5</vt:i4>
      </vt:variant>
      <vt:variant>
        <vt:lpwstr/>
      </vt:variant>
      <vt:variant>
        <vt:lpwstr>_Toc120626317</vt:lpwstr>
      </vt:variant>
      <vt:variant>
        <vt:i4>1310768</vt:i4>
      </vt:variant>
      <vt:variant>
        <vt:i4>293</vt:i4>
      </vt:variant>
      <vt:variant>
        <vt:i4>0</vt:i4>
      </vt:variant>
      <vt:variant>
        <vt:i4>5</vt:i4>
      </vt:variant>
      <vt:variant>
        <vt:lpwstr/>
      </vt:variant>
      <vt:variant>
        <vt:lpwstr>_Toc120626316</vt:lpwstr>
      </vt:variant>
      <vt:variant>
        <vt:i4>1310768</vt:i4>
      </vt:variant>
      <vt:variant>
        <vt:i4>287</vt:i4>
      </vt:variant>
      <vt:variant>
        <vt:i4>0</vt:i4>
      </vt:variant>
      <vt:variant>
        <vt:i4>5</vt:i4>
      </vt:variant>
      <vt:variant>
        <vt:lpwstr/>
      </vt:variant>
      <vt:variant>
        <vt:lpwstr>_Toc120626315</vt:lpwstr>
      </vt:variant>
      <vt:variant>
        <vt:i4>1310768</vt:i4>
      </vt:variant>
      <vt:variant>
        <vt:i4>281</vt:i4>
      </vt:variant>
      <vt:variant>
        <vt:i4>0</vt:i4>
      </vt:variant>
      <vt:variant>
        <vt:i4>5</vt:i4>
      </vt:variant>
      <vt:variant>
        <vt:lpwstr/>
      </vt:variant>
      <vt:variant>
        <vt:lpwstr>_Toc120626314</vt:lpwstr>
      </vt:variant>
      <vt:variant>
        <vt:i4>1310768</vt:i4>
      </vt:variant>
      <vt:variant>
        <vt:i4>275</vt:i4>
      </vt:variant>
      <vt:variant>
        <vt:i4>0</vt:i4>
      </vt:variant>
      <vt:variant>
        <vt:i4>5</vt:i4>
      </vt:variant>
      <vt:variant>
        <vt:lpwstr/>
      </vt:variant>
      <vt:variant>
        <vt:lpwstr>_Toc120626313</vt:lpwstr>
      </vt:variant>
      <vt:variant>
        <vt:i4>1310768</vt:i4>
      </vt:variant>
      <vt:variant>
        <vt:i4>269</vt:i4>
      </vt:variant>
      <vt:variant>
        <vt:i4>0</vt:i4>
      </vt:variant>
      <vt:variant>
        <vt:i4>5</vt:i4>
      </vt:variant>
      <vt:variant>
        <vt:lpwstr/>
      </vt:variant>
      <vt:variant>
        <vt:lpwstr>_Toc120626312</vt:lpwstr>
      </vt:variant>
      <vt:variant>
        <vt:i4>1310768</vt:i4>
      </vt:variant>
      <vt:variant>
        <vt:i4>263</vt:i4>
      </vt:variant>
      <vt:variant>
        <vt:i4>0</vt:i4>
      </vt:variant>
      <vt:variant>
        <vt:i4>5</vt:i4>
      </vt:variant>
      <vt:variant>
        <vt:lpwstr/>
      </vt:variant>
      <vt:variant>
        <vt:lpwstr>_Toc120626311</vt:lpwstr>
      </vt:variant>
      <vt:variant>
        <vt:i4>1310768</vt:i4>
      </vt:variant>
      <vt:variant>
        <vt:i4>257</vt:i4>
      </vt:variant>
      <vt:variant>
        <vt:i4>0</vt:i4>
      </vt:variant>
      <vt:variant>
        <vt:i4>5</vt:i4>
      </vt:variant>
      <vt:variant>
        <vt:lpwstr/>
      </vt:variant>
      <vt:variant>
        <vt:lpwstr>_Toc120626310</vt:lpwstr>
      </vt:variant>
      <vt:variant>
        <vt:i4>1376304</vt:i4>
      </vt:variant>
      <vt:variant>
        <vt:i4>251</vt:i4>
      </vt:variant>
      <vt:variant>
        <vt:i4>0</vt:i4>
      </vt:variant>
      <vt:variant>
        <vt:i4>5</vt:i4>
      </vt:variant>
      <vt:variant>
        <vt:lpwstr/>
      </vt:variant>
      <vt:variant>
        <vt:lpwstr>_Toc120626309</vt:lpwstr>
      </vt:variant>
      <vt:variant>
        <vt:i4>1376304</vt:i4>
      </vt:variant>
      <vt:variant>
        <vt:i4>245</vt:i4>
      </vt:variant>
      <vt:variant>
        <vt:i4>0</vt:i4>
      </vt:variant>
      <vt:variant>
        <vt:i4>5</vt:i4>
      </vt:variant>
      <vt:variant>
        <vt:lpwstr/>
      </vt:variant>
      <vt:variant>
        <vt:lpwstr>_Toc120626308</vt:lpwstr>
      </vt:variant>
      <vt:variant>
        <vt:i4>1376304</vt:i4>
      </vt:variant>
      <vt:variant>
        <vt:i4>239</vt:i4>
      </vt:variant>
      <vt:variant>
        <vt:i4>0</vt:i4>
      </vt:variant>
      <vt:variant>
        <vt:i4>5</vt:i4>
      </vt:variant>
      <vt:variant>
        <vt:lpwstr/>
      </vt:variant>
      <vt:variant>
        <vt:lpwstr>_Toc120626307</vt:lpwstr>
      </vt:variant>
      <vt:variant>
        <vt:i4>1376304</vt:i4>
      </vt:variant>
      <vt:variant>
        <vt:i4>233</vt:i4>
      </vt:variant>
      <vt:variant>
        <vt:i4>0</vt:i4>
      </vt:variant>
      <vt:variant>
        <vt:i4>5</vt:i4>
      </vt:variant>
      <vt:variant>
        <vt:lpwstr/>
      </vt:variant>
      <vt:variant>
        <vt:lpwstr>_Toc120626306</vt:lpwstr>
      </vt:variant>
      <vt:variant>
        <vt:i4>1376304</vt:i4>
      </vt:variant>
      <vt:variant>
        <vt:i4>227</vt:i4>
      </vt:variant>
      <vt:variant>
        <vt:i4>0</vt:i4>
      </vt:variant>
      <vt:variant>
        <vt:i4>5</vt:i4>
      </vt:variant>
      <vt:variant>
        <vt:lpwstr/>
      </vt:variant>
      <vt:variant>
        <vt:lpwstr>_Toc120626305</vt:lpwstr>
      </vt:variant>
      <vt:variant>
        <vt:i4>1376304</vt:i4>
      </vt:variant>
      <vt:variant>
        <vt:i4>221</vt:i4>
      </vt:variant>
      <vt:variant>
        <vt:i4>0</vt:i4>
      </vt:variant>
      <vt:variant>
        <vt:i4>5</vt:i4>
      </vt:variant>
      <vt:variant>
        <vt:lpwstr/>
      </vt:variant>
      <vt:variant>
        <vt:lpwstr>_Toc120626304</vt:lpwstr>
      </vt:variant>
      <vt:variant>
        <vt:i4>1376304</vt:i4>
      </vt:variant>
      <vt:variant>
        <vt:i4>215</vt:i4>
      </vt:variant>
      <vt:variant>
        <vt:i4>0</vt:i4>
      </vt:variant>
      <vt:variant>
        <vt:i4>5</vt:i4>
      </vt:variant>
      <vt:variant>
        <vt:lpwstr/>
      </vt:variant>
      <vt:variant>
        <vt:lpwstr>_Toc120626303</vt:lpwstr>
      </vt:variant>
      <vt:variant>
        <vt:i4>1376304</vt:i4>
      </vt:variant>
      <vt:variant>
        <vt:i4>209</vt:i4>
      </vt:variant>
      <vt:variant>
        <vt:i4>0</vt:i4>
      </vt:variant>
      <vt:variant>
        <vt:i4>5</vt:i4>
      </vt:variant>
      <vt:variant>
        <vt:lpwstr/>
      </vt:variant>
      <vt:variant>
        <vt:lpwstr>_Toc120626302</vt:lpwstr>
      </vt:variant>
      <vt:variant>
        <vt:i4>1376304</vt:i4>
      </vt:variant>
      <vt:variant>
        <vt:i4>203</vt:i4>
      </vt:variant>
      <vt:variant>
        <vt:i4>0</vt:i4>
      </vt:variant>
      <vt:variant>
        <vt:i4>5</vt:i4>
      </vt:variant>
      <vt:variant>
        <vt:lpwstr/>
      </vt:variant>
      <vt:variant>
        <vt:lpwstr>_Toc120626301</vt:lpwstr>
      </vt:variant>
      <vt:variant>
        <vt:i4>1376304</vt:i4>
      </vt:variant>
      <vt:variant>
        <vt:i4>197</vt:i4>
      </vt:variant>
      <vt:variant>
        <vt:i4>0</vt:i4>
      </vt:variant>
      <vt:variant>
        <vt:i4>5</vt:i4>
      </vt:variant>
      <vt:variant>
        <vt:lpwstr/>
      </vt:variant>
      <vt:variant>
        <vt:lpwstr>_Toc120626300</vt:lpwstr>
      </vt:variant>
      <vt:variant>
        <vt:i4>1835057</vt:i4>
      </vt:variant>
      <vt:variant>
        <vt:i4>191</vt:i4>
      </vt:variant>
      <vt:variant>
        <vt:i4>0</vt:i4>
      </vt:variant>
      <vt:variant>
        <vt:i4>5</vt:i4>
      </vt:variant>
      <vt:variant>
        <vt:lpwstr/>
      </vt:variant>
      <vt:variant>
        <vt:lpwstr>_Toc120626299</vt:lpwstr>
      </vt:variant>
      <vt:variant>
        <vt:i4>1835057</vt:i4>
      </vt:variant>
      <vt:variant>
        <vt:i4>185</vt:i4>
      </vt:variant>
      <vt:variant>
        <vt:i4>0</vt:i4>
      </vt:variant>
      <vt:variant>
        <vt:i4>5</vt:i4>
      </vt:variant>
      <vt:variant>
        <vt:lpwstr/>
      </vt:variant>
      <vt:variant>
        <vt:lpwstr>_Toc120626298</vt:lpwstr>
      </vt:variant>
      <vt:variant>
        <vt:i4>1835057</vt:i4>
      </vt:variant>
      <vt:variant>
        <vt:i4>179</vt:i4>
      </vt:variant>
      <vt:variant>
        <vt:i4>0</vt:i4>
      </vt:variant>
      <vt:variant>
        <vt:i4>5</vt:i4>
      </vt:variant>
      <vt:variant>
        <vt:lpwstr/>
      </vt:variant>
      <vt:variant>
        <vt:lpwstr>_Toc120626297</vt:lpwstr>
      </vt:variant>
      <vt:variant>
        <vt:i4>1835057</vt:i4>
      </vt:variant>
      <vt:variant>
        <vt:i4>173</vt:i4>
      </vt:variant>
      <vt:variant>
        <vt:i4>0</vt:i4>
      </vt:variant>
      <vt:variant>
        <vt:i4>5</vt:i4>
      </vt:variant>
      <vt:variant>
        <vt:lpwstr/>
      </vt:variant>
      <vt:variant>
        <vt:lpwstr>_Toc120626296</vt:lpwstr>
      </vt:variant>
      <vt:variant>
        <vt:i4>1835057</vt:i4>
      </vt:variant>
      <vt:variant>
        <vt:i4>167</vt:i4>
      </vt:variant>
      <vt:variant>
        <vt:i4>0</vt:i4>
      </vt:variant>
      <vt:variant>
        <vt:i4>5</vt:i4>
      </vt:variant>
      <vt:variant>
        <vt:lpwstr/>
      </vt:variant>
      <vt:variant>
        <vt:lpwstr>_Toc120626295</vt:lpwstr>
      </vt:variant>
      <vt:variant>
        <vt:i4>1835057</vt:i4>
      </vt:variant>
      <vt:variant>
        <vt:i4>161</vt:i4>
      </vt:variant>
      <vt:variant>
        <vt:i4>0</vt:i4>
      </vt:variant>
      <vt:variant>
        <vt:i4>5</vt:i4>
      </vt:variant>
      <vt:variant>
        <vt:lpwstr/>
      </vt:variant>
      <vt:variant>
        <vt:lpwstr>_Toc120626294</vt:lpwstr>
      </vt:variant>
      <vt:variant>
        <vt:i4>1835057</vt:i4>
      </vt:variant>
      <vt:variant>
        <vt:i4>155</vt:i4>
      </vt:variant>
      <vt:variant>
        <vt:i4>0</vt:i4>
      </vt:variant>
      <vt:variant>
        <vt:i4>5</vt:i4>
      </vt:variant>
      <vt:variant>
        <vt:lpwstr/>
      </vt:variant>
      <vt:variant>
        <vt:lpwstr>_Toc120626293</vt:lpwstr>
      </vt:variant>
      <vt:variant>
        <vt:i4>1835057</vt:i4>
      </vt:variant>
      <vt:variant>
        <vt:i4>149</vt:i4>
      </vt:variant>
      <vt:variant>
        <vt:i4>0</vt:i4>
      </vt:variant>
      <vt:variant>
        <vt:i4>5</vt:i4>
      </vt:variant>
      <vt:variant>
        <vt:lpwstr/>
      </vt:variant>
      <vt:variant>
        <vt:lpwstr>_Toc120626292</vt:lpwstr>
      </vt:variant>
      <vt:variant>
        <vt:i4>1835057</vt:i4>
      </vt:variant>
      <vt:variant>
        <vt:i4>143</vt:i4>
      </vt:variant>
      <vt:variant>
        <vt:i4>0</vt:i4>
      </vt:variant>
      <vt:variant>
        <vt:i4>5</vt:i4>
      </vt:variant>
      <vt:variant>
        <vt:lpwstr/>
      </vt:variant>
      <vt:variant>
        <vt:lpwstr>_Toc120626291</vt:lpwstr>
      </vt:variant>
      <vt:variant>
        <vt:i4>1835057</vt:i4>
      </vt:variant>
      <vt:variant>
        <vt:i4>137</vt:i4>
      </vt:variant>
      <vt:variant>
        <vt:i4>0</vt:i4>
      </vt:variant>
      <vt:variant>
        <vt:i4>5</vt:i4>
      </vt:variant>
      <vt:variant>
        <vt:lpwstr/>
      </vt:variant>
      <vt:variant>
        <vt:lpwstr>_Toc120626290</vt:lpwstr>
      </vt:variant>
      <vt:variant>
        <vt:i4>1900593</vt:i4>
      </vt:variant>
      <vt:variant>
        <vt:i4>131</vt:i4>
      </vt:variant>
      <vt:variant>
        <vt:i4>0</vt:i4>
      </vt:variant>
      <vt:variant>
        <vt:i4>5</vt:i4>
      </vt:variant>
      <vt:variant>
        <vt:lpwstr/>
      </vt:variant>
      <vt:variant>
        <vt:lpwstr>_Toc120626289</vt:lpwstr>
      </vt:variant>
      <vt:variant>
        <vt:i4>1900593</vt:i4>
      </vt:variant>
      <vt:variant>
        <vt:i4>125</vt:i4>
      </vt:variant>
      <vt:variant>
        <vt:i4>0</vt:i4>
      </vt:variant>
      <vt:variant>
        <vt:i4>5</vt:i4>
      </vt:variant>
      <vt:variant>
        <vt:lpwstr/>
      </vt:variant>
      <vt:variant>
        <vt:lpwstr>_Toc120626288</vt:lpwstr>
      </vt:variant>
      <vt:variant>
        <vt:i4>1900593</vt:i4>
      </vt:variant>
      <vt:variant>
        <vt:i4>119</vt:i4>
      </vt:variant>
      <vt:variant>
        <vt:i4>0</vt:i4>
      </vt:variant>
      <vt:variant>
        <vt:i4>5</vt:i4>
      </vt:variant>
      <vt:variant>
        <vt:lpwstr/>
      </vt:variant>
      <vt:variant>
        <vt:lpwstr>_Toc120626287</vt:lpwstr>
      </vt:variant>
      <vt:variant>
        <vt:i4>1900593</vt:i4>
      </vt:variant>
      <vt:variant>
        <vt:i4>113</vt:i4>
      </vt:variant>
      <vt:variant>
        <vt:i4>0</vt:i4>
      </vt:variant>
      <vt:variant>
        <vt:i4>5</vt:i4>
      </vt:variant>
      <vt:variant>
        <vt:lpwstr/>
      </vt:variant>
      <vt:variant>
        <vt:lpwstr>_Toc120626286</vt:lpwstr>
      </vt:variant>
      <vt:variant>
        <vt:i4>1900593</vt:i4>
      </vt:variant>
      <vt:variant>
        <vt:i4>107</vt:i4>
      </vt:variant>
      <vt:variant>
        <vt:i4>0</vt:i4>
      </vt:variant>
      <vt:variant>
        <vt:i4>5</vt:i4>
      </vt:variant>
      <vt:variant>
        <vt:lpwstr/>
      </vt:variant>
      <vt:variant>
        <vt:lpwstr>_Toc120626285</vt:lpwstr>
      </vt:variant>
      <vt:variant>
        <vt:i4>1900593</vt:i4>
      </vt:variant>
      <vt:variant>
        <vt:i4>101</vt:i4>
      </vt:variant>
      <vt:variant>
        <vt:i4>0</vt:i4>
      </vt:variant>
      <vt:variant>
        <vt:i4>5</vt:i4>
      </vt:variant>
      <vt:variant>
        <vt:lpwstr/>
      </vt:variant>
      <vt:variant>
        <vt:lpwstr>_Toc120626284</vt:lpwstr>
      </vt:variant>
      <vt:variant>
        <vt:i4>1900593</vt:i4>
      </vt:variant>
      <vt:variant>
        <vt:i4>95</vt:i4>
      </vt:variant>
      <vt:variant>
        <vt:i4>0</vt:i4>
      </vt:variant>
      <vt:variant>
        <vt:i4>5</vt:i4>
      </vt:variant>
      <vt:variant>
        <vt:lpwstr/>
      </vt:variant>
      <vt:variant>
        <vt:lpwstr>_Toc120626283</vt:lpwstr>
      </vt:variant>
      <vt:variant>
        <vt:i4>1900593</vt:i4>
      </vt:variant>
      <vt:variant>
        <vt:i4>89</vt:i4>
      </vt:variant>
      <vt:variant>
        <vt:i4>0</vt:i4>
      </vt:variant>
      <vt:variant>
        <vt:i4>5</vt:i4>
      </vt:variant>
      <vt:variant>
        <vt:lpwstr/>
      </vt:variant>
      <vt:variant>
        <vt:lpwstr>_Toc120626282</vt:lpwstr>
      </vt:variant>
      <vt:variant>
        <vt:i4>1900593</vt:i4>
      </vt:variant>
      <vt:variant>
        <vt:i4>83</vt:i4>
      </vt:variant>
      <vt:variant>
        <vt:i4>0</vt:i4>
      </vt:variant>
      <vt:variant>
        <vt:i4>5</vt:i4>
      </vt:variant>
      <vt:variant>
        <vt:lpwstr/>
      </vt:variant>
      <vt:variant>
        <vt:lpwstr>_Toc120626281</vt:lpwstr>
      </vt:variant>
      <vt:variant>
        <vt:i4>1900593</vt:i4>
      </vt:variant>
      <vt:variant>
        <vt:i4>77</vt:i4>
      </vt:variant>
      <vt:variant>
        <vt:i4>0</vt:i4>
      </vt:variant>
      <vt:variant>
        <vt:i4>5</vt:i4>
      </vt:variant>
      <vt:variant>
        <vt:lpwstr/>
      </vt:variant>
      <vt:variant>
        <vt:lpwstr>_Toc120626280</vt:lpwstr>
      </vt:variant>
      <vt:variant>
        <vt:i4>1179697</vt:i4>
      </vt:variant>
      <vt:variant>
        <vt:i4>71</vt:i4>
      </vt:variant>
      <vt:variant>
        <vt:i4>0</vt:i4>
      </vt:variant>
      <vt:variant>
        <vt:i4>5</vt:i4>
      </vt:variant>
      <vt:variant>
        <vt:lpwstr/>
      </vt:variant>
      <vt:variant>
        <vt:lpwstr>_Toc120626279</vt:lpwstr>
      </vt:variant>
      <vt:variant>
        <vt:i4>1179697</vt:i4>
      </vt:variant>
      <vt:variant>
        <vt:i4>65</vt:i4>
      </vt:variant>
      <vt:variant>
        <vt:i4>0</vt:i4>
      </vt:variant>
      <vt:variant>
        <vt:i4>5</vt:i4>
      </vt:variant>
      <vt:variant>
        <vt:lpwstr/>
      </vt:variant>
      <vt:variant>
        <vt:lpwstr>_Toc120626278</vt:lpwstr>
      </vt:variant>
      <vt:variant>
        <vt:i4>1179697</vt:i4>
      </vt:variant>
      <vt:variant>
        <vt:i4>59</vt:i4>
      </vt:variant>
      <vt:variant>
        <vt:i4>0</vt:i4>
      </vt:variant>
      <vt:variant>
        <vt:i4>5</vt:i4>
      </vt:variant>
      <vt:variant>
        <vt:lpwstr/>
      </vt:variant>
      <vt:variant>
        <vt:lpwstr>_Toc120626277</vt:lpwstr>
      </vt:variant>
      <vt:variant>
        <vt:i4>1179697</vt:i4>
      </vt:variant>
      <vt:variant>
        <vt:i4>53</vt:i4>
      </vt:variant>
      <vt:variant>
        <vt:i4>0</vt:i4>
      </vt:variant>
      <vt:variant>
        <vt:i4>5</vt:i4>
      </vt:variant>
      <vt:variant>
        <vt:lpwstr/>
      </vt:variant>
      <vt:variant>
        <vt:lpwstr>_Toc120626276</vt:lpwstr>
      </vt:variant>
      <vt:variant>
        <vt:i4>1179697</vt:i4>
      </vt:variant>
      <vt:variant>
        <vt:i4>47</vt:i4>
      </vt:variant>
      <vt:variant>
        <vt:i4>0</vt:i4>
      </vt:variant>
      <vt:variant>
        <vt:i4>5</vt:i4>
      </vt:variant>
      <vt:variant>
        <vt:lpwstr/>
      </vt:variant>
      <vt:variant>
        <vt:lpwstr>_Toc120626275</vt:lpwstr>
      </vt:variant>
      <vt:variant>
        <vt:i4>1179697</vt:i4>
      </vt:variant>
      <vt:variant>
        <vt:i4>41</vt:i4>
      </vt:variant>
      <vt:variant>
        <vt:i4>0</vt:i4>
      </vt:variant>
      <vt:variant>
        <vt:i4>5</vt:i4>
      </vt:variant>
      <vt:variant>
        <vt:lpwstr/>
      </vt:variant>
      <vt:variant>
        <vt:lpwstr>_Toc120626274</vt:lpwstr>
      </vt:variant>
      <vt:variant>
        <vt:i4>1179697</vt:i4>
      </vt:variant>
      <vt:variant>
        <vt:i4>35</vt:i4>
      </vt:variant>
      <vt:variant>
        <vt:i4>0</vt:i4>
      </vt:variant>
      <vt:variant>
        <vt:i4>5</vt:i4>
      </vt:variant>
      <vt:variant>
        <vt:lpwstr/>
      </vt:variant>
      <vt:variant>
        <vt:lpwstr>_Toc120626273</vt:lpwstr>
      </vt:variant>
      <vt:variant>
        <vt:i4>1179697</vt:i4>
      </vt:variant>
      <vt:variant>
        <vt:i4>29</vt:i4>
      </vt:variant>
      <vt:variant>
        <vt:i4>0</vt:i4>
      </vt:variant>
      <vt:variant>
        <vt:i4>5</vt:i4>
      </vt:variant>
      <vt:variant>
        <vt:lpwstr/>
      </vt:variant>
      <vt:variant>
        <vt:lpwstr>_Toc120626272</vt:lpwstr>
      </vt:variant>
      <vt:variant>
        <vt:i4>1179697</vt:i4>
      </vt:variant>
      <vt:variant>
        <vt:i4>23</vt:i4>
      </vt:variant>
      <vt:variant>
        <vt:i4>0</vt:i4>
      </vt:variant>
      <vt:variant>
        <vt:i4>5</vt:i4>
      </vt:variant>
      <vt:variant>
        <vt:lpwstr/>
      </vt:variant>
      <vt:variant>
        <vt:lpwstr>_Toc120626271</vt:lpwstr>
      </vt:variant>
      <vt:variant>
        <vt:i4>1835074</vt:i4>
      </vt:variant>
      <vt:variant>
        <vt:i4>18</vt:i4>
      </vt:variant>
      <vt:variant>
        <vt:i4>0</vt:i4>
      </vt:variant>
      <vt:variant>
        <vt:i4>5</vt:i4>
      </vt:variant>
      <vt:variant>
        <vt:lpwstr>https://www.who.int/publications/i/item/9789240022232</vt:lpwstr>
      </vt:variant>
      <vt:variant>
        <vt:lpwstr/>
      </vt:variant>
      <vt:variant>
        <vt:i4>4653108</vt:i4>
      </vt:variant>
      <vt:variant>
        <vt:i4>15</vt:i4>
      </vt:variant>
      <vt:variant>
        <vt:i4>0</vt:i4>
      </vt:variant>
      <vt:variant>
        <vt:i4>5</vt:i4>
      </vt:variant>
      <vt:variant>
        <vt:lpwstr>https://www.ema.europa.eu/documents/outside-eu-product-information/dapivirine-vaginal-ring-25-mg-product-information_en-0.pdf</vt:lpwstr>
      </vt:variant>
      <vt:variant>
        <vt:lpwstr/>
      </vt:variant>
      <vt:variant>
        <vt:i4>1376324</vt:i4>
      </vt:variant>
      <vt:variant>
        <vt:i4>12</vt:i4>
      </vt:variant>
      <vt:variant>
        <vt:i4>0</vt:i4>
      </vt:variant>
      <vt:variant>
        <vt:i4>5</vt:i4>
      </vt:variant>
      <vt:variant>
        <vt:lpwstr>https://www.who.int/publications/i/item/9789240031593</vt:lpwstr>
      </vt:variant>
      <vt:variant>
        <vt:lpwstr/>
      </vt:variant>
      <vt:variant>
        <vt:i4>4391033</vt:i4>
      </vt:variant>
      <vt:variant>
        <vt:i4>9</vt:i4>
      </vt:variant>
      <vt:variant>
        <vt:i4>0</vt:i4>
      </vt:variant>
      <vt:variant>
        <vt:i4>5</vt:i4>
      </vt:variant>
      <vt:variant>
        <vt:lpwstr>https://www.accessdata.fda.gov/drugsatfda_docs/label/2021/215499s000lbl.pdf</vt:lpwstr>
      </vt:variant>
      <vt:variant>
        <vt:lpwstr/>
      </vt:variant>
      <vt:variant>
        <vt:i4>1441860</vt:i4>
      </vt:variant>
      <vt:variant>
        <vt:i4>6</vt:i4>
      </vt:variant>
      <vt:variant>
        <vt:i4>0</vt:i4>
      </vt:variant>
      <vt:variant>
        <vt:i4>5</vt:i4>
      </vt:variant>
      <vt:variant>
        <vt:lpwstr>https://www.who.int/publications/i/item/9789240052390</vt:lpwstr>
      </vt:variant>
      <vt:variant>
        <vt:lpwstr/>
      </vt:variant>
      <vt:variant>
        <vt:i4>2424882</vt:i4>
      </vt:variant>
      <vt:variant>
        <vt:i4>3</vt:i4>
      </vt:variant>
      <vt:variant>
        <vt:i4>0</vt:i4>
      </vt:variant>
      <vt:variant>
        <vt:i4>5</vt:i4>
      </vt:variant>
      <vt:variant>
        <vt:lpwstr>https://www.who.int/publications-detail-redirect/9789240054097</vt:lpwstr>
      </vt:variant>
      <vt:variant>
        <vt:lpwstr/>
      </vt:variant>
      <vt:variant>
        <vt:i4>1507393</vt:i4>
      </vt:variant>
      <vt:variant>
        <vt:i4>0</vt:i4>
      </vt:variant>
      <vt:variant>
        <vt:i4>0</vt:i4>
      </vt:variant>
      <vt:variant>
        <vt:i4>5</vt:i4>
      </vt:variant>
      <vt:variant>
        <vt:lpwstr>https://www.who.int/publications/i/item/9789240053694</vt:lpwstr>
      </vt:variant>
      <vt:variant>
        <vt:lpwstr/>
      </vt:variant>
      <vt:variant>
        <vt:i4>1572931</vt:i4>
      </vt:variant>
      <vt:variant>
        <vt:i4>18</vt:i4>
      </vt:variant>
      <vt:variant>
        <vt:i4>0</vt:i4>
      </vt:variant>
      <vt:variant>
        <vt:i4>5</vt:i4>
      </vt:variant>
      <vt:variant>
        <vt:lpwstr>https://www.who.int/publications/i/item/9789240057425</vt:lpwstr>
      </vt:variant>
      <vt:variant>
        <vt:lpwstr/>
      </vt:variant>
      <vt:variant>
        <vt:i4>7340073</vt:i4>
      </vt:variant>
      <vt:variant>
        <vt:i4>15</vt:i4>
      </vt:variant>
      <vt:variant>
        <vt:i4>0</vt:i4>
      </vt:variant>
      <vt:variant>
        <vt:i4>5</vt:i4>
      </vt:variant>
      <vt:variant>
        <vt:lpwstr>https://programme.aids2022.org/Abstract/Abstract/?abstractid=12707</vt:lpwstr>
      </vt:variant>
      <vt:variant>
        <vt:lpwstr/>
      </vt:variant>
      <vt:variant>
        <vt:i4>2752623</vt:i4>
      </vt:variant>
      <vt:variant>
        <vt:i4>12</vt:i4>
      </vt:variant>
      <vt:variant>
        <vt:i4>0</vt:i4>
      </vt:variant>
      <vt:variant>
        <vt:i4>5</vt:i4>
      </vt:variant>
      <vt:variant>
        <vt:lpwstr>https://theprogramme.ias2021.org/Abstract/Abstract/2487</vt:lpwstr>
      </vt:variant>
      <vt:variant>
        <vt:lpwstr/>
      </vt:variant>
      <vt:variant>
        <vt:i4>8060960</vt:i4>
      </vt:variant>
      <vt:variant>
        <vt:i4>9</vt:i4>
      </vt:variant>
      <vt:variant>
        <vt:i4>0</vt:i4>
      </vt:variant>
      <vt:variant>
        <vt:i4>5</vt:i4>
      </vt:variant>
      <vt:variant>
        <vt:lpwstr>https://programme.aids2022.org/Abstract/Abstract/?abstractid=12893</vt:lpwstr>
      </vt:variant>
      <vt:variant>
        <vt:lpwstr/>
      </vt:variant>
      <vt:variant>
        <vt:i4>2818159</vt:i4>
      </vt:variant>
      <vt:variant>
        <vt:i4>6</vt:i4>
      </vt:variant>
      <vt:variant>
        <vt:i4>0</vt:i4>
      </vt:variant>
      <vt:variant>
        <vt:i4>5</vt:i4>
      </vt:variant>
      <vt:variant>
        <vt:lpwstr>https://theprogramme.ias2021.org/Abstract/Abstract/2495</vt:lpwstr>
      </vt:variant>
      <vt:variant>
        <vt:lpwstr/>
      </vt:variant>
      <vt:variant>
        <vt:i4>5570632</vt:i4>
      </vt:variant>
      <vt:variant>
        <vt:i4>3</vt:i4>
      </vt:variant>
      <vt:variant>
        <vt:i4>0</vt:i4>
      </vt:variant>
      <vt:variant>
        <vt:i4>5</vt:i4>
      </vt:variant>
      <vt:variant>
        <vt:lpwstr>https://www.who.int/publications/i/item/WHO-CDS-HIV-18.22</vt:lpwstr>
      </vt:variant>
      <vt:variant>
        <vt:lpwstr/>
      </vt:variant>
      <vt:variant>
        <vt:i4>1441860</vt:i4>
      </vt:variant>
      <vt:variant>
        <vt:i4>0</vt:i4>
      </vt:variant>
      <vt:variant>
        <vt:i4>0</vt:i4>
      </vt:variant>
      <vt:variant>
        <vt:i4>5</vt:i4>
      </vt:variant>
      <vt:variant>
        <vt:lpwstr>https://www.who.int/publications/i/item/9789240052390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Obermeyer</dc:creator>
  <cp:keywords/>
  <dc:description/>
  <cp:lastModifiedBy>Katie Williams</cp:lastModifiedBy>
  <cp:revision>4</cp:revision>
  <cp:lastPrinted>2022-04-02T13:50:00Z</cp:lastPrinted>
  <dcterms:created xsi:type="dcterms:W3CDTF">2024-01-19T14:44:00Z</dcterms:created>
  <dcterms:modified xsi:type="dcterms:W3CDTF">2024-01-19T14:47:00Z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