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6EE4C" w14:textId="5DFFD3E2" w:rsidR="00AE734A" w:rsidRDefault="000D58D1" w:rsidP="00D76C78">
      <w:pPr>
        <w:ind w:right="116"/>
      </w:pPr>
      <w:r w:rsidRPr="00EE1B56">
        <w:rPr>
          <w:noProof/>
        </w:rPr>
        <w:drawing>
          <wp:anchor distT="0" distB="0" distL="114300" distR="114300" simplePos="0" relativeHeight="251667463" behindDoc="0" locked="0" layoutInCell="1" allowOverlap="1" wp14:anchorId="0DA7073F" wp14:editId="3C66E05A">
            <wp:simplePos x="0" y="0"/>
            <wp:positionH relativeFrom="column">
              <wp:posOffset>-899160</wp:posOffset>
            </wp:positionH>
            <wp:positionV relativeFrom="paragraph">
              <wp:posOffset>1089271</wp:posOffset>
            </wp:positionV>
            <wp:extent cx="546100" cy="1600200"/>
            <wp:effectExtent l="0" t="0" r="0" b="0"/>
            <wp:wrapNone/>
            <wp:docPr id="70949334" name="Picture 7094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6100" cy="1600200"/>
                    </a:xfrm>
                    <a:prstGeom prst="rect">
                      <a:avLst/>
                    </a:prstGeom>
                  </pic:spPr>
                </pic:pic>
              </a:graphicData>
            </a:graphic>
            <wp14:sizeRelH relativeFrom="page">
              <wp14:pctWidth>0</wp14:pctWidth>
            </wp14:sizeRelH>
            <wp14:sizeRelV relativeFrom="page">
              <wp14:pctHeight>0</wp14:pctHeight>
            </wp14:sizeRelV>
          </wp:anchor>
        </w:drawing>
      </w:r>
      <w:r w:rsidR="007044B1">
        <w:rPr>
          <w:noProof/>
        </w:rPr>
        <mc:AlternateContent>
          <mc:Choice Requires="wps">
            <w:drawing>
              <wp:anchor distT="0" distB="0" distL="114300" distR="114300" simplePos="0" relativeHeight="251664902" behindDoc="0" locked="0" layoutInCell="1" allowOverlap="1" wp14:anchorId="4F8D0D54" wp14:editId="49B7A6D8">
                <wp:simplePos x="0" y="0"/>
                <wp:positionH relativeFrom="column">
                  <wp:posOffset>-914400</wp:posOffset>
                </wp:positionH>
                <wp:positionV relativeFrom="paragraph">
                  <wp:posOffset>-914400</wp:posOffset>
                </wp:positionV>
                <wp:extent cx="6220918" cy="3582632"/>
                <wp:effectExtent l="0" t="0" r="0" b="0"/>
                <wp:wrapNone/>
                <wp:docPr id="5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918" cy="3582632"/>
                        </a:xfrm>
                        <a:prstGeom prst="rect">
                          <a:avLst/>
                        </a:prstGeom>
                        <a:noFill/>
                        <a:ln w="6350">
                          <a:noFill/>
                        </a:ln>
                      </wps:spPr>
                      <wps:txbx>
                        <w:txbxContent>
                          <w:p w14:paraId="694F3B7A" w14:textId="7A1230B4" w:rsidR="007044B1" w:rsidRPr="00911412" w:rsidRDefault="007044B1" w:rsidP="007044B1">
                            <w:pPr>
                              <w:pStyle w:val="Title"/>
                              <w:rPr>
                                <w:rFonts w:ascii="Poppins" w:hAnsi="Poppins" w:cs="Poppins"/>
                                <w:b/>
                                <w:bCs/>
                                <w:color w:val="FFFFFF" w:themeColor="background1"/>
                                <w:sz w:val="52"/>
                                <w:szCs w:val="52"/>
                              </w:rPr>
                            </w:pPr>
                            <w:r w:rsidRPr="00911412">
                              <w:rPr>
                                <w:rFonts w:ascii="Poppins" w:hAnsi="Poppins" w:cs="Poppins"/>
                                <w:b/>
                                <w:bCs/>
                                <w:color w:val="FFFFFF" w:themeColor="background1"/>
                                <w:sz w:val="52"/>
                                <w:szCs w:val="52"/>
                              </w:rPr>
                              <w:t xml:space="preserve">MOSAIC HIV Drug Resistance Monitoring Studies </w:t>
                            </w:r>
                          </w:p>
                          <w:p w14:paraId="1FA9AA43" w14:textId="2B342F6F" w:rsidR="007044B1" w:rsidRPr="00911412" w:rsidRDefault="00E72CEE" w:rsidP="007044B1">
                            <w:pPr>
                              <w:pStyle w:val="Subtitle"/>
                              <w:rPr>
                                <w:rFonts w:cs="Poppins"/>
                                <w:color w:val="CAE8EB" w:themeColor="accent1" w:themeTint="33"/>
                              </w:rPr>
                            </w:pPr>
                            <w:r w:rsidRPr="00911412">
                              <w:rPr>
                                <w:rFonts w:cs="Poppins"/>
                                <w:color w:val="CAE8EB" w:themeColor="accent1" w:themeTint="33"/>
                              </w:rPr>
                              <w:t xml:space="preserve">Template Manual of Procedures </w:t>
                            </w:r>
                          </w:p>
                          <w:p w14:paraId="545F43A9" w14:textId="3F1B789E" w:rsidR="00E72CEE" w:rsidRPr="00E72CEE" w:rsidRDefault="00E72CEE" w:rsidP="00E72CEE">
                            <w:pPr>
                              <w:rPr>
                                <w:rFonts w:ascii="Poppins" w:hAnsi="Poppins" w:cs="Poppins"/>
                                <w:i/>
                                <w:iCs/>
                                <w:color w:val="F8EBD7" w:themeColor="accent3" w:themeTint="33"/>
                                <w:sz w:val="22"/>
                                <w:szCs w:val="22"/>
                              </w:rPr>
                            </w:pPr>
                            <w:r w:rsidRPr="00E72CEE">
                              <w:rPr>
                                <w:rFonts w:ascii="Poppins" w:hAnsi="Poppins" w:cs="Poppins"/>
                                <w:i/>
                                <w:iCs/>
                                <w:color w:val="F8EBD7" w:themeColor="accent3" w:themeTint="33"/>
                                <w:sz w:val="22"/>
                                <w:szCs w:val="22"/>
                              </w:rPr>
                              <w:t>Template 1.0</w:t>
                            </w:r>
                            <w:r>
                              <w:rPr>
                                <w:rFonts w:ascii="Poppins" w:hAnsi="Poppins" w:cs="Poppins"/>
                                <w:i/>
                                <w:iCs/>
                                <w:color w:val="F8EBD7" w:themeColor="accent3" w:themeTint="33"/>
                                <w:sz w:val="22"/>
                                <w:szCs w:val="22"/>
                              </w:rPr>
                              <w:t xml:space="preserve"> | 4 August 2023</w:t>
                            </w:r>
                          </w:p>
                        </w:txbxContent>
                      </wps:txbx>
                      <wps:bodyPr rot="0" spcFirstLastPara="0" vertOverflow="overflow" horzOverflow="overflow" vert="horz" wrap="square" lIns="914400" tIns="228600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4F8D0D54" id="_x0000_t202" coordsize="21600,21600" o:spt="202" path="m,l,21600r21600,l21600,xe">
                <v:stroke joinstyle="miter"/>
                <v:path gradientshapeok="t" o:connecttype="rect"/>
              </v:shapetype>
              <v:shape id="Text Box 1" o:spid="_x0000_s1026" type="#_x0000_t202" style="position:absolute;margin-left:-1in;margin-top:-1in;width:489.85pt;height:282.1pt;z-index:2516649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" filled="f" stroked="f" strokeweight=".5pt">
                <v:textbox style="mso-fit-shape-to-text:t" inset="1in,180pt">
                  <w:txbxContent>
                    <w:p w14:paraId="694F3B7A" w14:textId="7A1230B4" w:rsidR="007044B1" w:rsidRPr="00911412" w:rsidRDefault="007044B1" w:rsidP="007044B1">
                      <w:pPr>
                        <w:pStyle w:val="Title"/>
                        <w:rPr>
                          <w:rFonts w:ascii="Poppins" w:hAnsi="Poppins" w:cs="Poppins"/>
                          <w:b/>
                          <w:bCs/>
                          <w:color w:val="FFFFFF" w:themeColor="background1"/>
                          <w:sz w:val="52"/>
                          <w:szCs w:val="52"/>
                        </w:rPr>
                      </w:pPr>
                      <w:r w:rsidRPr="00911412">
                        <w:rPr>
                          <w:rFonts w:ascii="Poppins" w:hAnsi="Poppins" w:cs="Poppins"/>
                          <w:b/>
                          <w:bCs/>
                          <w:color w:val="FFFFFF" w:themeColor="background1"/>
                          <w:sz w:val="52"/>
                          <w:szCs w:val="52"/>
                        </w:rPr>
                        <w:t xml:space="preserve">MOSAIC HIV Drug Resistance Monitoring Studies </w:t>
                      </w:r>
                    </w:p>
                    <w:p w14:paraId="1FA9AA43" w14:textId="2B342F6F" w:rsidR="007044B1" w:rsidRPr="00911412" w:rsidRDefault="00E72CEE" w:rsidP="007044B1">
                      <w:pPr>
                        <w:pStyle w:val="Subtitle"/>
                        <w:rPr>
                          <w:rFonts w:cs="Poppins"/>
                          <w:color w:val="CAE8EB" w:themeColor="accent1" w:themeTint="33"/>
                        </w:rPr>
                      </w:pPr>
                      <w:r w:rsidRPr="00911412">
                        <w:rPr>
                          <w:rFonts w:cs="Poppins"/>
                          <w:color w:val="CAE8EB" w:themeColor="accent1" w:themeTint="33"/>
                        </w:rPr>
                        <w:t xml:space="preserve">Template Manual of Procedures </w:t>
                      </w:r>
                    </w:p>
                    <w:p w14:paraId="545F43A9" w14:textId="3F1B789E" w:rsidR="00E72CEE" w:rsidRPr="00E72CEE" w:rsidRDefault="00E72CEE" w:rsidP="00E72CEE">
                      <w:pPr>
                        <w:rPr>
                          <w:rFonts w:ascii="Poppins" w:hAnsi="Poppins" w:cs="Poppins"/>
                          <w:i/>
                          <w:iCs/>
                          <w:color w:val="F8EBD7" w:themeColor="accent3" w:themeTint="33"/>
                          <w:sz w:val="22"/>
                          <w:szCs w:val="22"/>
                        </w:rPr>
                      </w:pPr>
                      <w:r w:rsidRPr="00E72CEE">
                        <w:rPr>
                          <w:rFonts w:ascii="Poppins" w:hAnsi="Poppins" w:cs="Poppins"/>
                          <w:i/>
                          <w:iCs/>
                          <w:color w:val="F8EBD7" w:themeColor="accent3" w:themeTint="33"/>
                          <w:sz w:val="22"/>
                          <w:szCs w:val="22"/>
                        </w:rPr>
                        <w:t>Template 1.0</w:t>
                      </w:r>
                      <w:r>
                        <w:rPr>
                          <w:rFonts w:ascii="Poppins" w:hAnsi="Poppins" w:cs="Poppins"/>
                          <w:i/>
                          <w:iCs/>
                          <w:color w:val="F8EBD7" w:themeColor="accent3" w:themeTint="33"/>
                          <w:sz w:val="22"/>
                          <w:szCs w:val="22"/>
                        </w:rPr>
                        <w:t xml:space="preserve"> | 4 August 2023</w:t>
                      </w:r>
                    </w:p>
                  </w:txbxContent>
                </v:textbox>
              </v:shape>
            </w:pict>
          </mc:Fallback>
        </mc:AlternateContent>
      </w:r>
      <w:r w:rsidR="00573B75">
        <w:br w:type="page"/>
      </w:r>
    </w:p>
    <w:p w14:paraId="7B9DD57A" w14:textId="77777777" w:rsidR="00AE734A" w:rsidRPr="00AE734A" w:rsidRDefault="00AE734A" w:rsidP="00D76C78">
      <w:pPr>
        <w:ind w:right="116"/>
      </w:pPr>
    </w:p>
    <w:p w14:paraId="70196ED5" w14:textId="78EAA6B4" w:rsidR="00676177" w:rsidRPr="007C2F16" w:rsidRDefault="00CC1C03" w:rsidP="00D76C78">
      <w:pPr>
        <w:pStyle w:val="Title"/>
        <w:pBdr>
          <w:bottom w:val="single" w:sz="4" w:space="1" w:color="auto"/>
        </w:pBdr>
        <w:spacing w:line="276" w:lineRule="auto"/>
        <w:ind w:right="116"/>
        <w:rPr>
          <w:rFonts w:ascii="Poppins" w:hAnsi="Poppins" w:cs="Poppins"/>
          <w:b/>
          <w:color w:val="29676B" w:themeColor="accent1"/>
          <w:sz w:val="26"/>
          <w:szCs w:val="26"/>
        </w:rPr>
      </w:pPr>
      <w:r w:rsidRPr="00AE734A">
        <w:rPr>
          <w:rFonts w:ascii="Poppins" w:hAnsi="Poppins" w:cs="Poppins"/>
          <w:b/>
          <w:color w:val="29676B" w:themeColor="accent1"/>
          <w:sz w:val="24"/>
          <w:szCs w:val="24"/>
        </w:rPr>
        <w:t>T</w:t>
      </w:r>
      <w:r w:rsidRPr="007C2F16">
        <w:rPr>
          <w:rFonts w:ascii="Poppins" w:hAnsi="Poppins" w:cs="Poppins"/>
          <w:b/>
          <w:color w:val="29676B" w:themeColor="accent1"/>
          <w:sz w:val="26"/>
          <w:szCs w:val="26"/>
        </w:rPr>
        <w:t>able of Contents</w:t>
      </w:r>
    </w:p>
    <w:sdt>
      <w:sdtPr>
        <w:rPr>
          <w:rFonts w:ascii="Times New Roman" w:hAnsi="Times New Roman" w:cs="Times New Roman"/>
          <w:b/>
          <w:noProof w:val="0"/>
          <w:sz w:val="20"/>
          <w:szCs w:val="20"/>
        </w:rPr>
        <w:id w:val="750322508"/>
        <w:docPartObj>
          <w:docPartGallery w:val="Table of Contents"/>
          <w:docPartUnique/>
        </w:docPartObj>
      </w:sdtPr>
      <w:sdtEndPr>
        <w:rPr>
          <w:b w:val="0"/>
          <w:bCs/>
          <w:sz w:val="22"/>
          <w:szCs w:val="22"/>
        </w:rPr>
      </w:sdtEndPr>
      <w:sdtContent>
        <w:p w14:paraId="1EE952BB" w14:textId="766063E4" w:rsidR="00540D7E" w:rsidRPr="00FD29E6" w:rsidRDefault="00540D7E" w:rsidP="00D76C78">
          <w:pPr>
            <w:pStyle w:val="TOC1"/>
            <w:spacing w:after="0" w:line="276" w:lineRule="auto"/>
            <w:ind w:right="116"/>
            <w:rPr>
              <w:rFonts w:ascii="Poppins" w:hAnsi="Poppins" w:cs="Poppins"/>
              <w:color w:val="29676B" w:themeColor="accent1"/>
              <w:sz w:val="20"/>
              <w:szCs w:val="20"/>
            </w:rPr>
          </w:pPr>
        </w:p>
        <w:p w14:paraId="6C3FDE7A" w14:textId="0027ADCF" w:rsidR="00BD1FB9" w:rsidRPr="00FD29E6" w:rsidRDefault="00B15B88" w:rsidP="00D76C78">
          <w:pPr>
            <w:pStyle w:val="TOC1"/>
            <w:tabs>
              <w:tab w:val="left" w:pos="400"/>
            </w:tabs>
            <w:spacing w:line="276" w:lineRule="auto"/>
            <w:ind w:right="116"/>
            <w:rPr>
              <w:rFonts w:ascii="Poppins" w:eastAsiaTheme="minorEastAsia" w:hAnsi="Poppins" w:cs="Poppins"/>
              <w:color w:val="29676B" w:themeColor="accent1"/>
              <w:kern w:val="2"/>
              <w:szCs w:val="22"/>
              <w14:ligatures w14:val="standardContextual"/>
            </w:rPr>
          </w:pPr>
          <w:r w:rsidRPr="00FD29E6">
            <w:rPr>
              <w:rFonts w:ascii="Poppins" w:hAnsi="Poppins" w:cs="Poppins"/>
              <w:color w:val="29676B" w:themeColor="accent1"/>
            </w:rPr>
            <w:fldChar w:fldCharType="begin"/>
          </w:r>
          <w:r w:rsidRPr="00FD29E6">
            <w:rPr>
              <w:rFonts w:ascii="Poppins" w:hAnsi="Poppins" w:cs="Poppins"/>
              <w:color w:val="29676B" w:themeColor="accent1"/>
            </w:rPr>
            <w:instrText xml:space="preserve"> TOC \o "1-3" \h \z \u </w:instrText>
          </w:r>
          <w:r w:rsidRPr="00FD29E6">
            <w:rPr>
              <w:rFonts w:ascii="Poppins" w:hAnsi="Poppins" w:cs="Poppins"/>
              <w:color w:val="29676B" w:themeColor="accent1"/>
            </w:rPr>
            <w:fldChar w:fldCharType="separate"/>
          </w:r>
          <w:hyperlink w:anchor="_Toc142048244" w:history="1">
            <w:r w:rsidR="00BD1FB9" w:rsidRPr="00FD29E6">
              <w:rPr>
                <w:rStyle w:val="Hyperlink"/>
                <w:rFonts w:ascii="Poppins" w:hAnsi="Poppins" w:cs="Poppins"/>
                <w:color w:val="29676B" w:themeColor="accent1"/>
              </w:rPr>
              <w:t>1.</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Introduction</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_Toc142048244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3</w:t>
            </w:r>
            <w:r w:rsidR="00BD1FB9" w:rsidRPr="00FD29E6">
              <w:rPr>
                <w:rFonts w:ascii="Poppins" w:hAnsi="Poppins" w:cs="Poppins"/>
                <w:webHidden/>
                <w:color w:val="29676B" w:themeColor="accent1"/>
              </w:rPr>
              <w:fldChar w:fldCharType="end"/>
            </w:r>
          </w:hyperlink>
        </w:p>
        <w:p w14:paraId="6946D7BE" w14:textId="71446D88"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45" w:history="1">
            <w:r w:rsidR="00BD1FB9" w:rsidRPr="00FD29E6">
              <w:rPr>
                <w:rStyle w:val="Hyperlink"/>
                <w:rFonts w:ascii="Poppins" w:hAnsi="Poppins" w:cs="Poppins"/>
                <w:noProof/>
                <w:color w:val="29676B" w:themeColor="accent1"/>
              </w:rPr>
              <w:t>1.1</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Protocol Specifications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_Toc142048245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3</w:t>
            </w:r>
            <w:r w:rsidR="00BD1FB9" w:rsidRPr="00FD29E6">
              <w:rPr>
                <w:rFonts w:ascii="Poppins" w:hAnsi="Poppins" w:cs="Poppins"/>
                <w:noProof/>
                <w:webHidden/>
                <w:color w:val="29676B" w:themeColor="accent1"/>
              </w:rPr>
              <w:fldChar w:fldCharType="end"/>
            </w:r>
          </w:hyperlink>
        </w:p>
        <w:p w14:paraId="5DCF83BD" w14:textId="2EA661F6"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46" w:history="1">
            <w:r w:rsidR="00BD1FB9" w:rsidRPr="00FD29E6">
              <w:rPr>
                <w:rStyle w:val="Hyperlink"/>
                <w:rFonts w:ascii="Poppins" w:hAnsi="Poppins" w:cs="Poppins"/>
                <w:noProof/>
                <w:color w:val="29676B" w:themeColor="accent1"/>
              </w:rPr>
              <w:t>1.2</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Sources of Procedural Information</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_Toc142048246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3</w:t>
            </w:r>
            <w:r w:rsidR="00BD1FB9" w:rsidRPr="00FD29E6">
              <w:rPr>
                <w:rFonts w:ascii="Poppins" w:hAnsi="Poppins" w:cs="Poppins"/>
                <w:noProof/>
                <w:webHidden/>
                <w:color w:val="29676B" w:themeColor="accent1"/>
              </w:rPr>
              <w:fldChar w:fldCharType="end"/>
            </w:r>
          </w:hyperlink>
        </w:p>
        <w:p w14:paraId="7CFDE331" w14:textId="2F712AC0"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47" w:history="1">
            <w:r w:rsidR="00BD1FB9" w:rsidRPr="00FD29E6">
              <w:rPr>
                <w:rStyle w:val="Hyperlink"/>
                <w:rFonts w:ascii="Poppins" w:hAnsi="Poppins" w:cs="Poppins"/>
                <w:noProof/>
                <w:color w:val="29676B" w:themeColor="accent1"/>
              </w:rPr>
              <w:t>1.3</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Selection of PrEP Facilities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_Toc142048247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3</w:t>
            </w:r>
            <w:r w:rsidR="00BD1FB9" w:rsidRPr="00FD29E6">
              <w:rPr>
                <w:rFonts w:ascii="Poppins" w:hAnsi="Poppins" w:cs="Poppins"/>
                <w:noProof/>
                <w:webHidden/>
                <w:color w:val="29676B" w:themeColor="accent1"/>
              </w:rPr>
              <w:fldChar w:fldCharType="end"/>
            </w:r>
          </w:hyperlink>
        </w:p>
        <w:p w14:paraId="3301C078" w14:textId="473FA078"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48" w:history="1">
            <w:r w:rsidR="00BD1FB9" w:rsidRPr="00FD29E6">
              <w:rPr>
                <w:rStyle w:val="Hyperlink"/>
                <w:rFonts w:ascii="Poppins" w:hAnsi="Poppins" w:cs="Poppins"/>
                <w:noProof/>
                <w:color w:val="29676B" w:themeColor="accent1"/>
              </w:rPr>
              <w:t>1.4</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Protocol Investigator Responsibilities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_Toc142048248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3</w:t>
            </w:r>
            <w:r w:rsidR="00BD1FB9" w:rsidRPr="00FD29E6">
              <w:rPr>
                <w:rFonts w:ascii="Poppins" w:hAnsi="Poppins" w:cs="Poppins"/>
                <w:noProof/>
                <w:webHidden/>
                <w:color w:val="29676B" w:themeColor="accent1"/>
              </w:rPr>
              <w:fldChar w:fldCharType="end"/>
            </w:r>
          </w:hyperlink>
        </w:p>
        <w:p w14:paraId="65418433" w14:textId="535C90FC"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49" w:history="1">
            <w:r w:rsidR="00BD1FB9" w:rsidRPr="00FD29E6">
              <w:rPr>
                <w:rStyle w:val="Hyperlink"/>
                <w:rFonts w:ascii="Poppins" w:hAnsi="Poppins" w:cs="Poppins"/>
                <w:noProof/>
                <w:color w:val="29676B" w:themeColor="accent1"/>
              </w:rPr>
              <w:t>1.5</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IRB/EC Submissions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_Toc142048249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4</w:t>
            </w:r>
            <w:r w:rsidR="00BD1FB9" w:rsidRPr="00FD29E6">
              <w:rPr>
                <w:rFonts w:ascii="Poppins" w:hAnsi="Poppins" w:cs="Poppins"/>
                <w:noProof/>
                <w:webHidden/>
                <w:color w:val="29676B" w:themeColor="accent1"/>
              </w:rPr>
              <w:fldChar w:fldCharType="end"/>
            </w:r>
          </w:hyperlink>
        </w:p>
        <w:p w14:paraId="1D7972BE" w14:textId="3D9554ED"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50" w:history="1">
            <w:r w:rsidR="00BD1FB9" w:rsidRPr="00FD29E6">
              <w:rPr>
                <w:rStyle w:val="Hyperlink"/>
                <w:rFonts w:ascii="Poppins" w:hAnsi="Poppins" w:cs="Poppins"/>
                <w:noProof/>
                <w:color w:val="29676B" w:themeColor="accent1"/>
              </w:rPr>
              <w:t>1.6</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Essential Document Files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_Toc142048250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4</w:t>
            </w:r>
            <w:r w:rsidR="00BD1FB9" w:rsidRPr="00FD29E6">
              <w:rPr>
                <w:rFonts w:ascii="Poppins" w:hAnsi="Poppins" w:cs="Poppins"/>
                <w:noProof/>
                <w:webHidden/>
                <w:color w:val="29676B" w:themeColor="accent1"/>
              </w:rPr>
              <w:fldChar w:fldCharType="end"/>
            </w:r>
          </w:hyperlink>
        </w:p>
        <w:p w14:paraId="5733B12C" w14:textId="6CFC1B11"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51" w:history="1">
            <w:r w:rsidR="00BD1FB9" w:rsidRPr="00FD29E6">
              <w:rPr>
                <w:rStyle w:val="Hyperlink"/>
                <w:rFonts w:ascii="Poppins" w:hAnsi="Poppins" w:cs="Poppins"/>
                <w:noProof/>
                <w:color w:val="29676B" w:themeColor="accent1"/>
              </w:rPr>
              <w:t>1.7</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Communications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_Toc142048251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6</w:t>
            </w:r>
            <w:r w:rsidR="00BD1FB9" w:rsidRPr="00FD29E6">
              <w:rPr>
                <w:rFonts w:ascii="Poppins" w:hAnsi="Poppins" w:cs="Poppins"/>
                <w:noProof/>
                <w:webHidden/>
                <w:color w:val="29676B" w:themeColor="accent1"/>
              </w:rPr>
              <w:fldChar w:fldCharType="end"/>
            </w:r>
          </w:hyperlink>
        </w:p>
        <w:p w14:paraId="7520D021" w14:textId="1324C41D" w:rsidR="00BD1FB9" w:rsidRPr="00FD29E6" w:rsidRDefault="006F682B" w:rsidP="00D76C78">
          <w:pPr>
            <w:pStyle w:val="TOC1"/>
            <w:tabs>
              <w:tab w:val="left" w:pos="400"/>
            </w:tabs>
            <w:spacing w:line="276" w:lineRule="auto"/>
            <w:ind w:right="116"/>
            <w:rPr>
              <w:rFonts w:ascii="Poppins" w:eastAsiaTheme="minorEastAsia" w:hAnsi="Poppins" w:cs="Poppins"/>
              <w:color w:val="29676B" w:themeColor="accent1"/>
              <w:kern w:val="2"/>
              <w:szCs w:val="22"/>
              <w14:ligatures w14:val="standardContextual"/>
            </w:rPr>
          </w:pPr>
          <w:hyperlink w:anchor="_Toc142048252" w:history="1">
            <w:r w:rsidR="00BD1FB9" w:rsidRPr="00FD29E6">
              <w:rPr>
                <w:rStyle w:val="Hyperlink"/>
                <w:rFonts w:ascii="Poppins" w:hAnsi="Poppins" w:cs="Poppins"/>
                <w:color w:val="29676B" w:themeColor="accent1"/>
              </w:rPr>
              <w:t>2</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Accrual and Informed Consent Introduction</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_Toc142048252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7</w:t>
            </w:r>
            <w:r w:rsidR="00BD1FB9" w:rsidRPr="00FD29E6">
              <w:rPr>
                <w:rFonts w:ascii="Poppins" w:hAnsi="Poppins" w:cs="Poppins"/>
                <w:webHidden/>
                <w:color w:val="29676B" w:themeColor="accent1"/>
              </w:rPr>
              <w:fldChar w:fldCharType="end"/>
            </w:r>
          </w:hyperlink>
        </w:p>
        <w:p w14:paraId="06DD7874" w14:textId="5FD7ED6D" w:rsidR="00BD1FB9" w:rsidRPr="00FD29E6" w:rsidRDefault="006F682B" w:rsidP="00D76C78">
          <w:pPr>
            <w:pStyle w:val="TOC1"/>
            <w:tabs>
              <w:tab w:val="left" w:pos="900"/>
            </w:tabs>
            <w:spacing w:line="276" w:lineRule="auto"/>
            <w:ind w:left="180" w:right="116"/>
            <w:rPr>
              <w:rFonts w:ascii="Poppins" w:eastAsiaTheme="minorEastAsia" w:hAnsi="Poppins" w:cs="Poppins"/>
              <w:color w:val="29676B" w:themeColor="accent1"/>
              <w:kern w:val="2"/>
              <w:szCs w:val="22"/>
              <w14:ligatures w14:val="standardContextual"/>
            </w:rPr>
          </w:pPr>
          <w:hyperlink w:anchor="_Toc142048253" w:history="1">
            <w:r w:rsidR="00BD1FB9" w:rsidRPr="00FD29E6">
              <w:rPr>
                <w:rStyle w:val="Hyperlink"/>
                <w:rFonts w:ascii="Poppins" w:hAnsi="Poppins" w:cs="Poppins"/>
                <w:color w:val="29676B" w:themeColor="accent1"/>
              </w:rPr>
              <w:t>2.1</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Participant Accrual</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_Toc142048253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7</w:t>
            </w:r>
            <w:r w:rsidR="00BD1FB9" w:rsidRPr="00FD29E6">
              <w:rPr>
                <w:rFonts w:ascii="Poppins" w:hAnsi="Poppins" w:cs="Poppins"/>
                <w:webHidden/>
                <w:color w:val="29676B" w:themeColor="accent1"/>
              </w:rPr>
              <w:fldChar w:fldCharType="end"/>
            </w:r>
          </w:hyperlink>
        </w:p>
        <w:p w14:paraId="7962B45B" w14:textId="4844D613" w:rsidR="00BD1FB9" w:rsidRPr="00FD29E6" w:rsidRDefault="006F682B" w:rsidP="00D76C78">
          <w:pPr>
            <w:pStyle w:val="TOC1"/>
            <w:tabs>
              <w:tab w:val="left" w:pos="900"/>
            </w:tabs>
            <w:spacing w:line="276" w:lineRule="auto"/>
            <w:ind w:left="180" w:right="116"/>
            <w:rPr>
              <w:rFonts w:ascii="Poppins" w:eastAsiaTheme="minorEastAsia" w:hAnsi="Poppins" w:cs="Poppins"/>
              <w:color w:val="29676B" w:themeColor="accent1"/>
              <w:kern w:val="2"/>
              <w:szCs w:val="22"/>
              <w14:ligatures w14:val="standardContextual"/>
            </w:rPr>
          </w:pPr>
          <w:hyperlink w:anchor="_Toc142048254" w:history="1">
            <w:r w:rsidR="00BD1FB9" w:rsidRPr="00FD29E6">
              <w:rPr>
                <w:rStyle w:val="Hyperlink"/>
                <w:rFonts w:ascii="Poppins" w:hAnsi="Poppins" w:cs="Poppins"/>
                <w:color w:val="29676B" w:themeColor="accent1"/>
              </w:rPr>
              <w:t>2.2</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Participant Eligibility</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_Toc142048254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7</w:t>
            </w:r>
            <w:r w:rsidR="00BD1FB9" w:rsidRPr="00FD29E6">
              <w:rPr>
                <w:rFonts w:ascii="Poppins" w:hAnsi="Poppins" w:cs="Poppins"/>
                <w:webHidden/>
                <w:color w:val="29676B" w:themeColor="accent1"/>
              </w:rPr>
              <w:fldChar w:fldCharType="end"/>
            </w:r>
          </w:hyperlink>
        </w:p>
        <w:p w14:paraId="5AAE0C6E" w14:textId="7D16C8EB" w:rsidR="00BD1FB9" w:rsidRPr="00FD29E6" w:rsidRDefault="006F682B" w:rsidP="00D76C78">
          <w:pPr>
            <w:pStyle w:val="TOC1"/>
            <w:tabs>
              <w:tab w:val="left" w:pos="900"/>
            </w:tabs>
            <w:spacing w:line="276" w:lineRule="auto"/>
            <w:ind w:left="180" w:right="116"/>
            <w:rPr>
              <w:rFonts w:ascii="Poppins" w:eastAsiaTheme="minorEastAsia" w:hAnsi="Poppins" w:cs="Poppins"/>
              <w:color w:val="29676B" w:themeColor="accent1"/>
              <w:kern w:val="2"/>
              <w:szCs w:val="22"/>
              <w14:ligatures w14:val="standardContextual"/>
            </w:rPr>
          </w:pPr>
          <w:hyperlink w:anchor="_Toc142048255" w:history="1">
            <w:r w:rsidR="00BD1FB9" w:rsidRPr="00FD29E6">
              <w:rPr>
                <w:rStyle w:val="Hyperlink"/>
                <w:rFonts w:ascii="Poppins" w:hAnsi="Poppins" w:cs="Poppins"/>
                <w:color w:val="29676B" w:themeColor="accent1"/>
              </w:rPr>
              <w:t>2.3</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Informed Consent</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_Toc142048255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7</w:t>
            </w:r>
            <w:r w:rsidR="00BD1FB9" w:rsidRPr="00FD29E6">
              <w:rPr>
                <w:rFonts w:ascii="Poppins" w:hAnsi="Poppins" w:cs="Poppins"/>
                <w:webHidden/>
                <w:color w:val="29676B" w:themeColor="accent1"/>
              </w:rPr>
              <w:fldChar w:fldCharType="end"/>
            </w:r>
          </w:hyperlink>
        </w:p>
        <w:p w14:paraId="621FBE16" w14:textId="633C6914" w:rsidR="00BD1FB9" w:rsidRPr="00FD29E6" w:rsidRDefault="006F682B" w:rsidP="00D76C78">
          <w:pPr>
            <w:pStyle w:val="TOC1"/>
            <w:tabs>
              <w:tab w:val="left" w:pos="400"/>
            </w:tabs>
            <w:spacing w:line="276" w:lineRule="auto"/>
            <w:ind w:right="116"/>
            <w:rPr>
              <w:rFonts w:ascii="Poppins" w:eastAsiaTheme="minorEastAsia" w:hAnsi="Poppins" w:cs="Poppins"/>
              <w:color w:val="29676B" w:themeColor="accent1"/>
              <w:kern w:val="2"/>
              <w:szCs w:val="22"/>
              <w14:ligatures w14:val="standardContextual"/>
            </w:rPr>
          </w:pPr>
          <w:hyperlink w:anchor="_Toc142048256" w:history="1">
            <w:r w:rsidR="00BD1FB9" w:rsidRPr="00FD29E6">
              <w:rPr>
                <w:rStyle w:val="Hyperlink"/>
                <w:rFonts w:ascii="Poppins" w:hAnsi="Poppins" w:cs="Poppins"/>
                <w:color w:val="29676B" w:themeColor="accent1"/>
              </w:rPr>
              <w:t>3.</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Study Procedures Introduction</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_Toc142048256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9</w:t>
            </w:r>
            <w:r w:rsidR="00BD1FB9" w:rsidRPr="00FD29E6">
              <w:rPr>
                <w:rFonts w:ascii="Poppins" w:hAnsi="Poppins" w:cs="Poppins"/>
                <w:webHidden/>
                <w:color w:val="29676B" w:themeColor="accent1"/>
              </w:rPr>
              <w:fldChar w:fldCharType="end"/>
            </w:r>
          </w:hyperlink>
        </w:p>
        <w:p w14:paraId="76CC41EF" w14:textId="2A3D66F5" w:rsidR="00BD1FB9" w:rsidRPr="00FD29E6" w:rsidRDefault="006F682B" w:rsidP="00D76C78">
          <w:pPr>
            <w:pStyle w:val="TOC1"/>
            <w:tabs>
              <w:tab w:val="left" w:pos="900"/>
            </w:tabs>
            <w:spacing w:line="276" w:lineRule="auto"/>
            <w:ind w:left="180" w:right="116"/>
            <w:rPr>
              <w:rFonts w:ascii="Poppins" w:eastAsiaTheme="minorEastAsia" w:hAnsi="Poppins" w:cs="Poppins"/>
              <w:color w:val="29676B" w:themeColor="accent1"/>
              <w:kern w:val="2"/>
              <w:szCs w:val="22"/>
              <w14:ligatures w14:val="standardContextual"/>
            </w:rPr>
          </w:pPr>
          <w:hyperlink w:anchor="_Toc142048257" w:history="1">
            <w:r w:rsidR="00BD1FB9" w:rsidRPr="00FD29E6">
              <w:rPr>
                <w:rStyle w:val="Hyperlink"/>
                <w:rFonts w:ascii="Poppins" w:hAnsi="Poppins" w:cs="Poppins"/>
                <w:color w:val="29676B" w:themeColor="accent1"/>
              </w:rPr>
              <w:t>3.1</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Visit Location</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_Toc142048257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9</w:t>
            </w:r>
            <w:r w:rsidR="00BD1FB9" w:rsidRPr="00FD29E6">
              <w:rPr>
                <w:rFonts w:ascii="Poppins" w:hAnsi="Poppins" w:cs="Poppins"/>
                <w:webHidden/>
                <w:color w:val="29676B" w:themeColor="accent1"/>
              </w:rPr>
              <w:fldChar w:fldCharType="end"/>
            </w:r>
          </w:hyperlink>
        </w:p>
        <w:p w14:paraId="150A55E7" w14:textId="6E6DE905" w:rsidR="00BD1FB9" w:rsidRPr="00FD29E6" w:rsidRDefault="006F682B" w:rsidP="00D76C78">
          <w:pPr>
            <w:pStyle w:val="TOC1"/>
            <w:tabs>
              <w:tab w:val="left" w:pos="900"/>
            </w:tabs>
            <w:spacing w:line="276" w:lineRule="auto"/>
            <w:ind w:left="180" w:right="116"/>
            <w:rPr>
              <w:rFonts w:ascii="Poppins" w:eastAsiaTheme="minorEastAsia" w:hAnsi="Poppins" w:cs="Poppins"/>
              <w:color w:val="29676B" w:themeColor="accent1"/>
              <w:kern w:val="2"/>
              <w:szCs w:val="22"/>
              <w14:ligatures w14:val="standardContextual"/>
            </w:rPr>
          </w:pPr>
          <w:hyperlink w:anchor="_Toc142048258" w:history="1">
            <w:r w:rsidR="00BD1FB9" w:rsidRPr="00FD29E6">
              <w:rPr>
                <w:rStyle w:val="Hyperlink"/>
                <w:rFonts w:ascii="Poppins" w:hAnsi="Poppins" w:cs="Poppins"/>
                <w:color w:val="29676B" w:themeColor="accent1"/>
              </w:rPr>
              <w:t>3.2</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Overview of Study Visit Procedures</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_Toc142048258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9</w:t>
            </w:r>
            <w:r w:rsidR="00BD1FB9" w:rsidRPr="00FD29E6">
              <w:rPr>
                <w:rFonts w:ascii="Poppins" w:hAnsi="Poppins" w:cs="Poppins"/>
                <w:webHidden/>
                <w:color w:val="29676B" w:themeColor="accent1"/>
              </w:rPr>
              <w:fldChar w:fldCharType="end"/>
            </w:r>
          </w:hyperlink>
        </w:p>
        <w:p w14:paraId="7F9C9BE4" w14:textId="27FA584B" w:rsidR="00BD1FB9" w:rsidRPr="00FD29E6" w:rsidRDefault="006F682B" w:rsidP="00D76C78">
          <w:pPr>
            <w:pStyle w:val="TOC1"/>
            <w:tabs>
              <w:tab w:val="left" w:pos="400"/>
            </w:tabs>
            <w:spacing w:line="276" w:lineRule="auto"/>
            <w:ind w:right="116"/>
            <w:rPr>
              <w:rFonts w:ascii="Poppins" w:eastAsiaTheme="minorEastAsia" w:hAnsi="Poppins" w:cs="Poppins"/>
              <w:color w:val="29676B" w:themeColor="accent1"/>
              <w:kern w:val="2"/>
              <w:szCs w:val="22"/>
              <w14:ligatures w14:val="standardContextual"/>
            </w:rPr>
          </w:pPr>
          <w:hyperlink w:anchor="_Toc142048265" w:history="1">
            <w:r w:rsidR="00BD1FB9" w:rsidRPr="00FD29E6">
              <w:rPr>
                <w:rStyle w:val="Hyperlink"/>
                <w:rFonts w:ascii="Poppins" w:hAnsi="Poppins" w:cs="Poppins"/>
                <w:color w:val="29676B" w:themeColor="accent1"/>
              </w:rPr>
              <w:t>4.</w:t>
            </w:r>
            <w:r w:rsidR="00BD1FB9" w:rsidRPr="00FD29E6">
              <w:rPr>
                <w:rFonts w:ascii="Poppins" w:eastAsiaTheme="minorEastAsia" w:hAnsi="Poppins" w:cs="Poppins"/>
                <w:color w:val="29676B" w:themeColor="accent1"/>
                <w:kern w:val="2"/>
                <w:szCs w:val="22"/>
                <w14:ligatures w14:val="standardContextual"/>
              </w:rPr>
              <w:tab/>
            </w:r>
            <w:r w:rsidR="00BD1FB9" w:rsidRPr="00FD29E6">
              <w:rPr>
                <w:rStyle w:val="Hyperlink"/>
                <w:rFonts w:ascii="Poppins" w:hAnsi="Poppins" w:cs="Poppins"/>
                <w:color w:val="29676B" w:themeColor="accent1"/>
              </w:rPr>
              <w:t>Laboratory Procedures Introduction</w:t>
            </w:r>
            <w:r w:rsidR="00BD1FB9" w:rsidRPr="00FD29E6">
              <w:rPr>
                <w:rFonts w:ascii="Poppins" w:hAnsi="Poppins" w:cs="Poppins"/>
                <w:webHidden/>
                <w:color w:val="29676B" w:themeColor="accent1"/>
              </w:rPr>
              <w:tab/>
            </w:r>
            <w:r w:rsidR="00BD1FB9" w:rsidRPr="00FD29E6">
              <w:rPr>
                <w:rFonts w:ascii="Poppins" w:hAnsi="Poppins" w:cs="Poppins"/>
                <w:webHidden/>
                <w:color w:val="29676B" w:themeColor="accent1"/>
              </w:rPr>
              <w:fldChar w:fldCharType="begin"/>
            </w:r>
            <w:r w:rsidR="00BD1FB9" w:rsidRPr="00FD29E6">
              <w:rPr>
                <w:rFonts w:ascii="Poppins" w:hAnsi="Poppins" w:cs="Poppins"/>
                <w:webHidden/>
                <w:color w:val="29676B" w:themeColor="accent1"/>
              </w:rPr>
              <w:instrText xml:space="preserve"> PAGEREF _Toc142048265 \h </w:instrText>
            </w:r>
            <w:r w:rsidR="00BD1FB9" w:rsidRPr="00FD29E6">
              <w:rPr>
                <w:rFonts w:ascii="Poppins" w:hAnsi="Poppins" w:cs="Poppins"/>
                <w:webHidden/>
                <w:color w:val="29676B" w:themeColor="accent1"/>
              </w:rPr>
            </w:r>
            <w:r w:rsidR="00BD1FB9" w:rsidRPr="00FD29E6">
              <w:rPr>
                <w:rFonts w:ascii="Poppins" w:hAnsi="Poppins" w:cs="Poppins"/>
                <w:webHidden/>
                <w:color w:val="29676B" w:themeColor="accent1"/>
              </w:rPr>
              <w:fldChar w:fldCharType="separate"/>
            </w:r>
            <w:r w:rsidR="001B6828">
              <w:rPr>
                <w:rFonts w:ascii="Poppins" w:hAnsi="Poppins" w:cs="Poppins"/>
                <w:webHidden/>
                <w:color w:val="29676B" w:themeColor="accent1"/>
              </w:rPr>
              <w:t>16</w:t>
            </w:r>
            <w:r w:rsidR="00BD1FB9" w:rsidRPr="00FD29E6">
              <w:rPr>
                <w:rFonts w:ascii="Poppins" w:hAnsi="Poppins" w:cs="Poppins"/>
                <w:webHidden/>
                <w:color w:val="29676B" w:themeColor="accent1"/>
              </w:rPr>
              <w:fldChar w:fldCharType="end"/>
            </w:r>
          </w:hyperlink>
        </w:p>
        <w:p w14:paraId="361580DA" w14:textId="6040E486"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66" w:history="1">
            <w:r w:rsidR="00BD1FB9" w:rsidRPr="00FD29E6">
              <w:rPr>
                <w:rStyle w:val="Hyperlink"/>
                <w:rFonts w:ascii="Poppins" w:hAnsi="Poppins" w:cs="Poppins"/>
                <w:noProof/>
                <w:color w:val="29676B" w:themeColor="accent1"/>
              </w:rPr>
              <w:t>4.1</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Current Protocol Specifications</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_Toc142048266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16</w:t>
            </w:r>
            <w:r w:rsidR="00BD1FB9" w:rsidRPr="00FD29E6">
              <w:rPr>
                <w:rFonts w:ascii="Poppins" w:hAnsi="Poppins" w:cs="Poppins"/>
                <w:noProof/>
                <w:webHidden/>
                <w:color w:val="29676B" w:themeColor="accent1"/>
              </w:rPr>
              <w:fldChar w:fldCharType="end"/>
            </w:r>
          </w:hyperlink>
        </w:p>
        <w:p w14:paraId="71FCEAF5" w14:textId="711115B8"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67" w:history="1">
            <w:r w:rsidR="00BD1FB9" w:rsidRPr="00FD29E6">
              <w:rPr>
                <w:rStyle w:val="Hyperlink"/>
                <w:rFonts w:ascii="Poppins" w:hAnsi="Poppins" w:cs="Poppins"/>
                <w:noProof/>
                <w:color w:val="29676B" w:themeColor="accent1"/>
              </w:rPr>
              <w:t>4.2</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Equipment and Materials Required for Dried Blood Spot (DBS) Processing and Storage</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_Toc142048267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16</w:t>
            </w:r>
            <w:r w:rsidR="00BD1FB9" w:rsidRPr="00FD29E6">
              <w:rPr>
                <w:rFonts w:ascii="Poppins" w:hAnsi="Poppins" w:cs="Poppins"/>
                <w:noProof/>
                <w:webHidden/>
                <w:color w:val="29676B" w:themeColor="accent1"/>
              </w:rPr>
              <w:fldChar w:fldCharType="end"/>
            </w:r>
          </w:hyperlink>
        </w:p>
        <w:p w14:paraId="0ECEA8F3" w14:textId="0955470B"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68" w:history="1">
            <w:r w:rsidR="00BD1FB9" w:rsidRPr="00FD29E6">
              <w:rPr>
                <w:rStyle w:val="Hyperlink"/>
                <w:rFonts w:ascii="Poppins" w:hAnsi="Poppins" w:cs="Poppins"/>
                <w:noProof/>
                <w:color w:val="29676B" w:themeColor="accent1"/>
              </w:rPr>
              <w:t>4.3</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Procedures for Sample Processing and Storage</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_Toc142048268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17</w:t>
            </w:r>
            <w:r w:rsidR="00BD1FB9" w:rsidRPr="00FD29E6">
              <w:rPr>
                <w:rFonts w:ascii="Poppins" w:hAnsi="Poppins" w:cs="Poppins"/>
                <w:noProof/>
                <w:webHidden/>
                <w:color w:val="29676B" w:themeColor="accent1"/>
              </w:rPr>
              <w:fldChar w:fldCharType="end"/>
            </w:r>
          </w:hyperlink>
        </w:p>
        <w:p w14:paraId="68594F1C" w14:textId="52BA29D4" w:rsidR="00BD1FB9" w:rsidRPr="00FD29E6" w:rsidRDefault="006F682B" w:rsidP="00D76C78">
          <w:pPr>
            <w:pStyle w:val="TOC2"/>
            <w:spacing w:line="276" w:lineRule="auto"/>
            <w:ind w:right="116"/>
            <w:rPr>
              <w:rFonts w:ascii="Poppins" w:eastAsiaTheme="minorEastAsia" w:hAnsi="Poppins" w:cs="Poppins"/>
              <w:noProof/>
              <w:color w:val="29676B" w:themeColor="accent1"/>
              <w:kern w:val="2"/>
              <w:szCs w:val="22"/>
              <w14:ligatures w14:val="standardContextual"/>
            </w:rPr>
          </w:pPr>
          <w:hyperlink w:anchor="_Toc142048273" w:history="1">
            <w:r w:rsidR="00BD1FB9" w:rsidRPr="00FD29E6">
              <w:rPr>
                <w:rStyle w:val="Hyperlink"/>
                <w:rFonts w:ascii="Poppins" w:hAnsi="Poppins" w:cs="Poppins"/>
                <w:noProof/>
                <w:color w:val="29676B" w:themeColor="accent1"/>
              </w:rPr>
              <w:t>4.4</w:t>
            </w:r>
            <w:r w:rsidR="00BD1FB9" w:rsidRPr="00FD29E6">
              <w:rPr>
                <w:rFonts w:ascii="Poppins" w:eastAsiaTheme="minorEastAsia" w:hAnsi="Poppins" w:cs="Poppins"/>
                <w:noProof/>
                <w:color w:val="29676B" w:themeColor="accent1"/>
                <w:kern w:val="2"/>
                <w:szCs w:val="22"/>
                <w14:ligatures w14:val="standardContextual"/>
              </w:rPr>
              <w:tab/>
            </w:r>
            <w:r w:rsidR="00BD1FB9" w:rsidRPr="00FD29E6">
              <w:rPr>
                <w:rStyle w:val="Hyperlink"/>
                <w:rFonts w:ascii="Poppins" w:hAnsi="Poppins" w:cs="Poppins"/>
                <w:noProof/>
                <w:color w:val="29676B" w:themeColor="accent1"/>
              </w:rPr>
              <w:t>Procedures for Shipment of Samples to Back-up Laboratory</w:t>
            </w:r>
            <w:r w:rsidR="00BD1FB9" w:rsidRPr="00FD29E6">
              <w:rPr>
                <w:rFonts w:ascii="Poppins" w:hAnsi="Poppins" w:cs="Poppins"/>
                <w:noProof/>
                <w:webHidden/>
                <w:color w:val="29676B" w:themeColor="accent1"/>
              </w:rPr>
              <w:tab/>
            </w:r>
            <w:r w:rsidR="00BD1FB9" w:rsidRPr="00FD29E6">
              <w:rPr>
                <w:rFonts w:ascii="Poppins" w:hAnsi="Poppins" w:cs="Poppins"/>
                <w:noProof/>
                <w:webHidden/>
                <w:color w:val="29676B" w:themeColor="accent1"/>
              </w:rPr>
              <w:fldChar w:fldCharType="begin"/>
            </w:r>
            <w:r w:rsidR="00BD1FB9" w:rsidRPr="00FD29E6">
              <w:rPr>
                <w:rFonts w:ascii="Poppins" w:hAnsi="Poppins" w:cs="Poppins"/>
                <w:noProof/>
                <w:webHidden/>
                <w:color w:val="29676B" w:themeColor="accent1"/>
              </w:rPr>
              <w:instrText xml:space="preserve"> PAGEREF _Toc142048273 \h </w:instrText>
            </w:r>
            <w:r w:rsidR="00BD1FB9" w:rsidRPr="00FD29E6">
              <w:rPr>
                <w:rFonts w:ascii="Poppins" w:hAnsi="Poppins" w:cs="Poppins"/>
                <w:noProof/>
                <w:webHidden/>
                <w:color w:val="29676B" w:themeColor="accent1"/>
              </w:rPr>
            </w:r>
            <w:r w:rsidR="00BD1FB9" w:rsidRPr="00FD29E6">
              <w:rPr>
                <w:rFonts w:ascii="Poppins" w:hAnsi="Poppins" w:cs="Poppins"/>
                <w:noProof/>
                <w:webHidden/>
                <w:color w:val="29676B" w:themeColor="accent1"/>
              </w:rPr>
              <w:fldChar w:fldCharType="separate"/>
            </w:r>
            <w:r w:rsidR="001B6828">
              <w:rPr>
                <w:rFonts w:ascii="Poppins" w:hAnsi="Poppins" w:cs="Poppins"/>
                <w:noProof/>
                <w:webHidden/>
                <w:color w:val="29676B" w:themeColor="accent1"/>
              </w:rPr>
              <w:t>20</w:t>
            </w:r>
            <w:r w:rsidR="00BD1FB9" w:rsidRPr="00FD29E6">
              <w:rPr>
                <w:rFonts w:ascii="Poppins" w:hAnsi="Poppins" w:cs="Poppins"/>
                <w:noProof/>
                <w:webHidden/>
                <w:color w:val="29676B" w:themeColor="accent1"/>
              </w:rPr>
              <w:fldChar w:fldCharType="end"/>
            </w:r>
          </w:hyperlink>
        </w:p>
        <w:p w14:paraId="7DDCA9D7" w14:textId="3DCE44C5" w:rsidR="00D126AB" w:rsidRPr="00FD29E6" w:rsidRDefault="00B15B88" w:rsidP="00D76C78">
          <w:pPr>
            <w:spacing w:after="120" w:line="276" w:lineRule="auto"/>
            <w:ind w:right="116"/>
            <w:rPr>
              <w:rFonts w:ascii="Arial Narrow" w:hAnsi="Arial Narrow" w:cs="Arial"/>
              <w:b/>
              <w:sz w:val="22"/>
              <w:szCs w:val="22"/>
            </w:rPr>
          </w:pPr>
          <w:r w:rsidRPr="00FD29E6">
            <w:rPr>
              <w:rFonts w:ascii="Poppins" w:hAnsi="Poppins" w:cs="Poppins"/>
              <w:noProof/>
              <w:color w:val="29676B" w:themeColor="accent1"/>
              <w:sz w:val="22"/>
              <w:szCs w:val="32"/>
            </w:rPr>
            <w:fldChar w:fldCharType="end"/>
          </w:r>
        </w:p>
      </w:sdtContent>
    </w:sdt>
    <w:p w14:paraId="6A304835" w14:textId="77777777" w:rsidR="00296D3B" w:rsidRDefault="00296D3B" w:rsidP="00D76C78">
      <w:pPr>
        <w:pBdr>
          <w:top w:val="single" w:sz="4" w:space="1" w:color="auto"/>
        </w:pBdr>
        <w:spacing w:line="276" w:lineRule="auto"/>
        <w:ind w:right="116"/>
        <w:rPr>
          <w:sz w:val="22"/>
        </w:rPr>
      </w:pPr>
    </w:p>
    <w:p w14:paraId="587C5D66" w14:textId="77EC7215" w:rsidR="00911412" w:rsidRDefault="00911412" w:rsidP="00D76C78">
      <w:pPr>
        <w:ind w:right="116"/>
        <w:rPr>
          <w:sz w:val="22"/>
        </w:rPr>
      </w:pPr>
      <w:r>
        <w:rPr>
          <w:sz w:val="22"/>
        </w:rPr>
        <w:br w:type="page"/>
      </w:r>
    </w:p>
    <w:p w14:paraId="56FE2980" w14:textId="7C6BF271" w:rsidR="002D7153" w:rsidRPr="00911412" w:rsidRDefault="002D7153" w:rsidP="00D76C78">
      <w:pPr>
        <w:pStyle w:val="Heading1"/>
        <w:spacing w:line="276" w:lineRule="auto"/>
        <w:ind w:left="288" w:right="116" w:hanging="288"/>
        <w:rPr>
          <w:rFonts w:ascii="Poppins" w:hAnsi="Poppins" w:cs="Poppins"/>
          <w:color w:val="29676B" w:themeColor="accent1"/>
          <w:sz w:val="26"/>
          <w:szCs w:val="26"/>
        </w:rPr>
      </w:pPr>
      <w:bookmarkStart w:id="0" w:name="_Toc142048244"/>
      <w:r w:rsidRPr="00911412">
        <w:rPr>
          <w:rFonts w:ascii="Poppins" w:hAnsi="Poppins" w:cs="Poppins"/>
          <w:color w:val="29676B" w:themeColor="accent1"/>
          <w:sz w:val="26"/>
          <w:szCs w:val="26"/>
        </w:rPr>
        <w:lastRenderedPageBreak/>
        <w:t>Introduction</w:t>
      </w:r>
      <w:bookmarkEnd w:id="0"/>
    </w:p>
    <w:p w14:paraId="2A01ED90" w14:textId="03864305" w:rsidR="00F21C82" w:rsidRDefault="00F21C82" w:rsidP="00D76C78">
      <w:pPr>
        <w:pStyle w:val="BodyText2"/>
        <w:spacing w:line="276" w:lineRule="auto"/>
        <w:ind w:right="116"/>
        <w:jc w:val="left"/>
        <w:rPr>
          <w:rFonts w:ascii="Calibri" w:hAnsi="Calibri" w:cs="Calibri"/>
          <w:color w:val="494641" w:themeColor="text2" w:themeShade="BF"/>
          <w:sz w:val="21"/>
          <w:szCs w:val="21"/>
        </w:rPr>
      </w:pPr>
      <w:r w:rsidRPr="00FD0D14">
        <w:rPr>
          <w:rFonts w:ascii="Calibri" w:hAnsi="Calibri" w:cs="Calibri"/>
          <w:color w:val="494641" w:themeColor="text2" w:themeShade="BF"/>
          <w:sz w:val="21"/>
          <w:szCs w:val="21"/>
        </w:rPr>
        <w:t xml:space="preserve">This </w:t>
      </w:r>
      <w:r w:rsidR="0063623C" w:rsidRPr="00FD0D14">
        <w:rPr>
          <w:rFonts w:ascii="Calibri" w:hAnsi="Calibri" w:cs="Calibri"/>
          <w:color w:val="494641" w:themeColor="text2" w:themeShade="BF"/>
          <w:sz w:val="21"/>
          <w:szCs w:val="21"/>
        </w:rPr>
        <w:t xml:space="preserve">Manual of </w:t>
      </w:r>
      <w:r w:rsidR="00AB3C68" w:rsidRPr="00FD0D14">
        <w:rPr>
          <w:rFonts w:ascii="Calibri" w:hAnsi="Calibri" w:cs="Calibri"/>
          <w:color w:val="494641" w:themeColor="text2" w:themeShade="BF"/>
          <w:sz w:val="21"/>
          <w:szCs w:val="21"/>
        </w:rPr>
        <w:t>Procedures</w:t>
      </w:r>
      <w:r w:rsidR="0063623C" w:rsidRPr="00FD0D14">
        <w:rPr>
          <w:rFonts w:ascii="Calibri" w:hAnsi="Calibri" w:cs="Calibri"/>
          <w:color w:val="494641" w:themeColor="text2" w:themeShade="BF"/>
          <w:sz w:val="21"/>
          <w:szCs w:val="21"/>
        </w:rPr>
        <w:t xml:space="preserve"> (MOP)</w:t>
      </w:r>
      <w:r w:rsidRPr="00FD0D14">
        <w:rPr>
          <w:rFonts w:ascii="Calibri" w:hAnsi="Calibri" w:cs="Calibri"/>
          <w:color w:val="494641" w:themeColor="text2" w:themeShade="BF"/>
          <w:sz w:val="21"/>
          <w:szCs w:val="21"/>
        </w:rPr>
        <w:t xml:space="preserve"> specifies procedural information for </w:t>
      </w:r>
      <w:r w:rsidR="00610300" w:rsidRPr="00FD0D14">
        <w:rPr>
          <w:rFonts w:ascii="Calibri" w:hAnsi="Calibri" w:cs="Calibri"/>
          <w:color w:val="494641" w:themeColor="text2" w:themeShade="BF"/>
          <w:sz w:val="21"/>
          <w:szCs w:val="21"/>
        </w:rPr>
        <w:t xml:space="preserve">the </w:t>
      </w:r>
      <w:r w:rsidR="00BF4AAD" w:rsidRPr="00FD0D14">
        <w:rPr>
          <w:rFonts w:ascii="Calibri" w:hAnsi="Calibri" w:cs="Calibri"/>
          <w:color w:val="494641" w:themeColor="text2" w:themeShade="BF"/>
          <w:sz w:val="21"/>
          <w:szCs w:val="21"/>
        </w:rPr>
        <w:t xml:space="preserve">Maximizing Options to Advance Informed Choice for HIV Prevention (MOSAIC) </w:t>
      </w:r>
      <w:r w:rsidR="006E6F67" w:rsidRPr="00FD0D14">
        <w:rPr>
          <w:rFonts w:ascii="Calibri" w:hAnsi="Calibri" w:cs="Calibri"/>
          <w:color w:val="494641" w:themeColor="text2" w:themeShade="BF"/>
          <w:sz w:val="21"/>
          <w:szCs w:val="21"/>
        </w:rPr>
        <w:t xml:space="preserve">HIV Drug Resistance </w:t>
      </w:r>
      <w:r w:rsidR="00845C56" w:rsidRPr="00FD0D14">
        <w:rPr>
          <w:rFonts w:ascii="Calibri" w:hAnsi="Calibri" w:cs="Calibri"/>
          <w:color w:val="494641" w:themeColor="text2" w:themeShade="BF"/>
          <w:sz w:val="21"/>
          <w:szCs w:val="21"/>
        </w:rPr>
        <w:t xml:space="preserve">(HIVDR) </w:t>
      </w:r>
      <w:r w:rsidR="006E6F67" w:rsidRPr="00FD0D14">
        <w:rPr>
          <w:rFonts w:ascii="Calibri" w:hAnsi="Calibri" w:cs="Calibri"/>
          <w:color w:val="494641" w:themeColor="text2" w:themeShade="BF"/>
          <w:sz w:val="21"/>
          <w:szCs w:val="21"/>
        </w:rPr>
        <w:t xml:space="preserve">monitoring studies. </w:t>
      </w:r>
    </w:p>
    <w:p w14:paraId="4EAF33C3" w14:textId="77777777" w:rsidR="00B2413A" w:rsidRPr="00B2413A" w:rsidRDefault="00B2413A" w:rsidP="00D76C78">
      <w:pPr>
        <w:pStyle w:val="BodyText2"/>
        <w:spacing w:line="276" w:lineRule="auto"/>
        <w:ind w:right="116"/>
        <w:jc w:val="left"/>
        <w:rPr>
          <w:rFonts w:ascii="Calibri" w:hAnsi="Calibri" w:cs="Calibri"/>
          <w:color w:val="494641" w:themeColor="text2" w:themeShade="BF"/>
          <w:sz w:val="21"/>
          <w:szCs w:val="21"/>
        </w:rPr>
      </w:pPr>
    </w:p>
    <w:p w14:paraId="270368F5" w14:textId="5EE1DA9A" w:rsidR="00F21C82" w:rsidRPr="00400271" w:rsidRDefault="00F21C82" w:rsidP="00D76C78">
      <w:pPr>
        <w:pStyle w:val="Heading2"/>
        <w:numPr>
          <w:ilvl w:val="1"/>
          <w:numId w:val="20"/>
        </w:numPr>
        <w:spacing w:after="60" w:line="276" w:lineRule="auto"/>
        <w:ind w:left="288" w:right="116" w:hanging="288"/>
        <w:rPr>
          <w:rFonts w:ascii="Poppins SemiBold" w:hAnsi="Poppins SemiBold" w:cs="Poppins SemiBold"/>
          <w:bCs/>
          <w:color w:val="29676B" w:themeColor="accent1"/>
          <w:sz w:val="21"/>
          <w:szCs w:val="21"/>
        </w:rPr>
      </w:pPr>
      <w:bookmarkStart w:id="1" w:name="_Toc533575483"/>
      <w:bookmarkStart w:id="2" w:name="_Toc142048245"/>
      <w:r w:rsidRPr="00400271">
        <w:rPr>
          <w:rFonts w:ascii="Poppins SemiBold" w:hAnsi="Poppins SemiBold" w:cs="Poppins SemiBold"/>
          <w:bCs/>
          <w:color w:val="29676B" w:themeColor="accent1"/>
          <w:sz w:val="21"/>
          <w:szCs w:val="21"/>
        </w:rPr>
        <w:t>Protocol Specifications</w:t>
      </w:r>
      <w:bookmarkEnd w:id="1"/>
      <w:bookmarkEnd w:id="2"/>
    </w:p>
    <w:p w14:paraId="469F4CCB" w14:textId="2A4D6599" w:rsidR="00400271" w:rsidRDefault="00F21C82" w:rsidP="00D76C78">
      <w:pPr>
        <w:pStyle w:val="BodyText"/>
        <w:spacing w:line="276" w:lineRule="auto"/>
        <w:ind w:right="116"/>
        <w:rPr>
          <w:rFonts w:ascii="Calibri" w:hAnsi="Calibri" w:cs="Calibri"/>
          <w:color w:val="494641" w:themeColor="text2" w:themeShade="BF"/>
          <w:sz w:val="21"/>
          <w:szCs w:val="21"/>
        </w:rPr>
      </w:pPr>
      <w:r w:rsidRPr="00B60751">
        <w:rPr>
          <w:rFonts w:ascii="Calibri" w:hAnsi="Calibri" w:cs="Calibri"/>
          <w:color w:val="494641" w:themeColor="text2" w:themeShade="BF"/>
          <w:sz w:val="21"/>
          <w:szCs w:val="21"/>
        </w:rPr>
        <w:t xml:space="preserve">Each country team is responsible for maintaining archived and current versions of the study protocol, including annual renewal documents in their essential protocol documents. All PrEP facilities participating in each protocol are expected to operate under the protocol version that is currently approved by the local institutional review board/ethics committee (IRB/EC). </w:t>
      </w:r>
    </w:p>
    <w:p w14:paraId="792179C0" w14:textId="77777777" w:rsidR="00B2413A" w:rsidRPr="00400271" w:rsidRDefault="00B2413A" w:rsidP="00D76C78">
      <w:pPr>
        <w:pStyle w:val="BodyText"/>
        <w:spacing w:line="276" w:lineRule="auto"/>
        <w:ind w:right="116"/>
        <w:rPr>
          <w:rFonts w:ascii="Calibri" w:hAnsi="Calibri" w:cs="Calibri"/>
          <w:color w:val="494641" w:themeColor="text2" w:themeShade="BF"/>
          <w:sz w:val="21"/>
          <w:szCs w:val="21"/>
        </w:rPr>
      </w:pPr>
    </w:p>
    <w:p w14:paraId="15E13EBE" w14:textId="77777777" w:rsidR="00F21C82" w:rsidRPr="00400271" w:rsidRDefault="00F21C82"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3" w:name="_Toc533575484"/>
      <w:bookmarkStart w:id="4" w:name="_Toc142048246"/>
      <w:r w:rsidRPr="00400271">
        <w:rPr>
          <w:rFonts w:ascii="Poppins SemiBold" w:hAnsi="Poppins SemiBold" w:cs="Poppins SemiBold"/>
          <w:bCs/>
          <w:color w:val="29676B" w:themeColor="accent1"/>
          <w:sz w:val="21"/>
          <w:szCs w:val="21"/>
        </w:rPr>
        <w:t>Sources of Procedural Information</w:t>
      </w:r>
      <w:bookmarkEnd w:id="3"/>
      <w:bookmarkEnd w:id="4"/>
    </w:p>
    <w:p w14:paraId="10FFF00D" w14:textId="3519D6FF" w:rsidR="00F21C82" w:rsidRDefault="00F21C82" w:rsidP="00D76C78">
      <w:pPr>
        <w:pStyle w:val="BodyTextIndent2"/>
        <w:spacing w:line="276" w:lineRule="auto"/>
        <w:ind w:left="0" w:right="116"/>
        <w:rPr>
          <w:rFonts w:ascii="Calibri" w:hAnsi="Calibri" w:cs="Calibri"/>
          <w:color w:val="494641" w:themeColor="text2" w:themeShade="BF"/>
          <w:sz w:val="21"/>
          <w:szCs w:val="21"/>
        </w:rPr>
      </w:pPr>
      <w:r w:rsidRPr="00B60751">
        <w:rPr>
          <w:rFonts w:ascii="Calibri" w:hAnsi="Calibri" w:cs="Calibri"/>
          <w:color w:val="494641" w:themeColor="text2" w:themeShade="BF"/>
          <w:sz w:val="21"/>
          <w:szCs w:val="21"/>
        </w:rPr>
        <w:t xml:space="preserve">The </w:t>
      </w:r>
      <w:r w:rsidR="0063623C" w:rsidRPr="00B60751">
        <w:rPr>
          <w:rFonts w:ascii="Calibri" w:hAnsi="Calibri" w:cs="Calibri"/>
          <w:color w:val="494641" w:themeColor="text2" w:themeShade="BF"/>
          <w:sz w:val="21"/>
          <w:szCs w:val="21"/>
        </w:rPr>
        <w:t>MOP</w:t>
      </w:r>
      <w:r w:rsidRPr="00B60751">
        <w:rPr>
          <w:rFonts w:ascii="Calibri" w:hAnsi="Calibri" w:cs="Calibri"/>
          <w:color w:val="494641" w:themeColor="text2" w:themeShade="BF"/>
          <w:sz w:val="21"/>
          <w:szCs w:val="21"/>
        </w:rPr>
        <w:t xml:space="preserve"> serves to supplement the study protocol. It does not replace or substitute the protocol or its contents. In the event this manual is inconsistent with the information and guidance provided in the protocol, the specifications in the protocol will take precedence. In the event study implementation questions are not adequately addressed by the applicable study protocol or this manual or if any inconsistencies between the two documents are identified, please notify</w:t>
      </w:r>
      <w:r w:rsidR="00983354" w:rsidRPr="00B60751">
        <w:rPr>
          <w:rFonts w:ascii="Calibri" w:hAnsi="Calibri" w:cs="Calibri"/>
          <w:color w:val="494641" w:themeColor="text2" w:themeShade="BF"/>
          <w:sz w:val="21"/>
          <w:szCs w:val="21"/>
        </w:rPr>
        <w:t xml:space="preserve"> the </w:t>
      </w:r>
      <w:r w:rsidR="0025684B" w:rsidRPr="00B60751">
        <w:rPr>
          <w:rFonts w:ascii="Calibri" w:hAnsi="Calibri" w:cs="Calibri"/>
          <w:i/>
          <w:iCs/>
          <w:color w:val="494641" w:themeColor="text2" w:themeShade="BF"/>
          <w:sz w:val="21"/>
          <w:szCs w:val="21"/>
        </w:rPr>
        <w:t xml:space="preserve">[insert title of in-country </w:t>
      </w:r>
      <w:r w:rsidR="00B84BB9" w:rsidRPr="00B60751">
        <w:rPr>
          <w:rFonts w:ascii="Calibri" w:hAnsi="Calibri" w:cs="Calibri"/>
          <w:i/>
          <w:iCs/>
          <w:color w:val="494641" w:themeColor="text2" w:themeShade="BF"/>
          <w:sz w:val="21"/>
          <w:szCs w:val="21"/>
        </w:rPr>
        <w:t>manager</w:t>
      </w:r>
      <w:r w:rsidR="009B32C7" w:rsidRPr="00B60751">
        <w:rPr>
          <w:rFonts w:ascii="Calibri" w:hAnsi="Calibri" w:cs="Calibri"/>
          <w:color w:val="494641" w:themeColor="text2" w:themeShade="BF"/>
          <w:sz w:val="21"/>
          <w:szCs w:val="21"/>
        </w:rPr>
        <w:t>]</w:t>
      </w:r>
      <w:r w:rsidR="00983354" w:rsidRPr="00B60751">
        <w:rPr>
          <w:rFonts w:ascii="Calibri" w:hAnsi="Calibri" w:cs="Calibri"/>
          <w:color w:val="494641" w:themeColor="text2" w:themeShade="BF"/>
          <w:sz w:val="21"/>
          <w:szCs w:val="21"/>
        </w:rPr>
        <w:t>, who will in turn notify</w:t>
      </w:r>
      <w:r w:rsidRPr="00B60751">
        <w:rPr>
          <w:rFonts w:ascii="Calibri" w:hAnsi="Calibri" w:cs="Calibri"/>
          <w:color w:val="494641" w:themeColor="text2" w:themeShade="BF"/>
          <w:sz w:val="21"/>
          <w:szCs w:val="21"/>
        </w:rPr>
        <w:t xml:space="preserve"> the </w:t>
      </w:r>
      <w:r w:rsidR="009B32C7" w:rsidRPr="00B60751">
        <w:rPr>
          <w:rFonts w:ascii="Calibri" w:hAnsi="Calibri" w:cs="Calibri"/>
          <w:color w:val="494641" w:themeColor="text2" w:themeShade="BF"/>
          <w:sz w:val="21"/>
          <w:szCs w:val="21"/>
        </w:rPr>
        <w:t>[</w:t>
      </w:r>
      <w:r w:rsidR="009B32C7" w:rsidRPr="00B60751">
        <w:rPr>
          <w:rFonts w:ascii="Calibri" w:hAnsi="Calibri" w:cs="Calibri"/>
          <w:i/>
          <w:iCs/>
          <w:color w:val="494641" w:themeColor="text2" w:themeShade="BF"/>
          <w:sz w:val="21"/>
          <w:szCs w:val="21"/>
        </w:rPr>
        <w:t>insert title/</w:t>
      </w:r>
      <w:r w:rsidR="00E54A4E" w:rsidRPr="00B60751">
        <w:rPr>
          <w:rFonts w:ascii="Calibri" w:hAnsi="Calibri" w:cs="Calibri"/>
          <w:i/>
          <w:iCs/>
          <w:color w:val="494641" w:themeColor="text2" w:themeShade="BF"/>
          <w:sz w:val="21"/>
          <w:szCs w:val="21"/>
        </w:rPr>
        <w:t>organization</w:t>
      </w:r>
      <w:r w:rsidR="009B32C7" w:rsidRPr="00B60751">
        <w:rPr>
          <w:rFonts w:ascii="Calibri" w:hAnsi="Calibri" w:cs="Calibri"/>
          <w:i/>
          <w:iCs/>
          <w:color w:val="494641" w:themeColor="text2" w:themeShade="BF"/>
          <w:sz w:val="21"/>
          <w:szCs w:val="21"/>
        </w:rPr>
        <w:t xml:space="preserve"> </w:t>
      </w:r>
      <w:r w:rsidR="00E80716" w:rsidRPr="00B60751">
        <w:rPr>
          <w:rFonts w:ascii="Calibri" w:hAnsi="Calibri" w:cs="Calibri"/>
          <w:i/>
          <w:iCs/>
          <w:color w:val="494641" w:themeColor="text2" w:themeShade="BF"/>
          <w:sz w:val="21"/>
          <w:szCs w:val="21"/>
        </w:rPr>
        <w:t>of</w:t>
      </w:r>
      <w:r w:rsidR="0060331F" w:rsidRPr="00B60751">
        <w:rPr>
          <w:rFonts w:ascii="Calibri" w:hAnsi="Calibri" w:cs="Calibri"/>
          <w:i/>
          <w:iCs/>
          <w:color w:val="494641" w:themeColor="text2" w:themeShade="BF"/>
          <w:sz w:val="21"/>
          <w:szCs w:val="21"/>
        </w:rPr>
        <w:t xml:space="preserve"> global </w:t>
      </w:r>
      <w:r w:rsidR="00E80716" w:rsidRPr="00B60751">
        <w:rPr>
          <w:rFonts w:ascii="Calibri" w:hAnsi="Calibri" w:cs="Calibri"/>
          <w:i/>
          <w:iCs/>
          <w:color w:val="494641" w:themeColor="text2" w:themeShade="BF"/>
          <w:sz w:val="21"/>
          <w:szCs w:val="21"/>
        </w:rPr>
        <w:t>or headquarters staff if applicable</w:t>
      </w:r>
      <w:r w:rsidR="00E80716" w:rsidRPr="00B60751">
        <w:rPr>
          <w:rFonts w:ascii="Calibri" w:hAnsi="Calibri" w:cs="Calibri"/>
          <w:color w:val="494641" w:themeColor="text2" w:themeShade="BF"/>
          <w:sz w:val="21"/>
          <w:szCs w:val="21"/>
        </w:rPr>
        <w:t>]</w:t>
      </w:r>
      <w:r w:rsidR="000C5F0B" w:rsidRPr="00B60751">
        <w:rPr>
          <w:rFonts w:ascii="Calibri" w:hAnsi="Calibri" w:cs="Calibri"/>
          <w:color w:val="494641" w:themeColor="text2" w:themeShade="BF"/>
          <w:sz w:val="21"/>
          <w:szCs w:val="21"/>
        </w:rPr>
        <w:t xml:space="preserve">. The </w:t>
      </w:r>
      <w:r w:rsidR="00E54A4E" w:rsidRPr="00B60751">
        <w:rPr>
          <w:rFonts w:ascii="Calibri" w:hAnsi="Calibri" w:cs="Calibri"/>
          <w:color w:val="494641" w:themeColor="text2" w:themeShade="BF"/>
          <w:sz w:val="21"/>
          <w:szCs w:val="21"/>
        </w:rPr>
        <w:t>[</w:t>
      </w:r>
      <w:r w:rsidR="00E54A4E" w:rsidRPr="00B60751">
        <w:rPr>
          <w:rFonts w:ascii="Calibri" w:hAnsi="Calibri" w:cs="Calibri"/>
          <w:i/>
          <w:iCs/>
          <w:color w:val="494641" w:themeColor="text2" w:themeShade="BF"/>
          <w:sz w:val="21"/>
          <w:szCs w:val="21"/>
        </w:rPr>
        <w:t>insert title/organization</w:t>
      </w:r>
      <w:r w:rsidR="00E54A4E" w:rsidRPr="00B60751">
        <w:rPr>
          <w:rFonts w:ascii="Calibri" w:hAnsi="Calibri" w:cs="Calibri"/>
          <w:color w:val="494641" w:themeColor="text2" w:themeShade="BF"/>
          <w:sz w:val="21"/>
          <w:szCs w:val="21"/>
        </w:rPr>
        <w:t>]</w:t>
      </w:r>
      <w:r w:rsidR="00435D2C" w:rsidRPr="00B60751">
        <w:rPr>
          <w:rFonts w:ascii="Calibri" w:hAnsi="Calibri" w:cs="Calibri"/>
          <w:color w:val="494641" w:themeColor="text2" w:themeShade="BF"/>
          <w:sz w:val="21"/>
          <w:szCs w:val="21"/>
        </w:rPr>
        <w:t xml:space="preserve"> staff</w:t>
      </w:r>
      <w:r w:rsidR="009F43EB" w:rsidRPr="00B60751">
        <w:rPr>
          <w:rFonts w:ascii="Calibri" w:hAnsi="Calibri" w:cs="Calibri"/>
          <w:color w:val="494641" w:themeColor="text2" w:themeShade="BF"/>
          <w:sz w:val="21"/>
          <w:szCs w:val="21"/>
        </w:rPr>
        <w:t xml:space="preserve"> </w:t>
      </w:r>
      <w:r w:rsidR="000C5F0B" w:rsidRPr="00B60751">
        <w:rPr>
          <w:rFonts w:ascii="Calibri" w:hAnsi="Calibri" w:cs="Calibri"/>
          <w:color w:val="494641" w:themeColor="text2" w:themeShade="BF"/>
          <w:sz w:val="21"/>
          <w:szCs w:val="21"/>
        </w:rPr>
        <w:t>should also be contacted for any general questions on protocol implementation or study procedures.</w:t>
      </w:r>
    </w:p>
    <w:p w14:paraId="7D9E03A5" w14:textId="77777777" w:rsidR="00B2413A" w:rsidRPr="00B2413A" w:rsidRDefault="00B2413A" w:rsidP="00D76C78">
      <w:pPr>
        <w:pStyle w:val="BodyTextIndent2"/>
        <w:spacing w:line="276" w:lineRule="auto"/>
        <w:ind w:left="0" w:right="116"/>
        <w:rPr>
          <w:rFonts w:ascii="Calibri" w:hAnsi="Calibri" w:cs="Calibri"/>
          <w:color w:val="494641" w:themeColor="text2" w:themeShade="BF"/>
          <w:sz w:val="21"/>
          <w:szCs w:val="21"/>
        </w:rPr>
      </w:pPr>
    </w:p>
    <w:p w14:paraId="7F3BBD84" w14:textId="77777777" w:rsidR="001F1D0A" w:rsidRPr="00FC717A" w:rsidRDefault="00762C10"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5" w:name="_Toc142048247"/>
      <w:bookmarkStart w:id="6" w:name="_Toc533575485"/>
      <w:r w:rsidRPr="00FC717A">
        <w:rPr>
          <w:rFonts w:ascii="Poppins SemiBold" w:hAnsi="Poppins SemiBold" w:cs="Poppins SemiBold"/>
          <w:bCs/>
          <w:color w:val="29676B" w:themeColor="accent1"/>
          <w:sz w:val="21"/>
          <w:szCs w:val="21"/>
        </w:rPr>
        <w:t>Selection of PrEP Facilities</w:t>
      </w:r>
      <w:bookmarkEnd w:id="5"/>
    </w:p>
    <w:p w14:paraId="0AE69C9D" w14:textId="51954EED" w:rsidR="00762C10" w:rsidRDefault="00AF11A7" w:rsidP="00D76C78">
      <w:pPr>
        <w:pStyle w:val="BodyTextIndent2"/>
        <w:spacing w:line="276" w:lineRule="auto"/>
        <w:ind w:left="0"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 xml:space="preserve">The protocol is designed such that all facilities providing PrEP (including private, public, NGO or other) are eligible to participate in the study. </w:t>
      </w:r>
      <w:r w:rsidR="001F1D0A" w:rsidRPr="00FC717A">
        <w:rPr>
          <w:rFonts w:ascii="Calibri" w:hAnsi="Calibri" w:cs="Calibri"/>
          <w:color w:val="494641" w:themeColor="text2" w:themeShade="BF"/>
          <w:sz w:val="21"/>
          <w:szCs w:val="21"/>
        </w:rPr>
        <w:t xml:space="preserve">Each </w:t>
      </w:r>
      <w:r w:rsidR="00BA407A" w:rsidRPr="00FC717A">
        <w:rPr>
          <w:rFonts w:ascii="Calibri" w:hAnsi="Calibri" w:cs="Calibri"/>
          <w:color w:val="494641" w:themeColor="text2" w:themeShade="BF"/>
          <w:sz w:val="21"/>
          <w:szCs w:val="21"/>
        </w:rPr>
        <w:t xml:space="preserve">HIVDR </w:t>
      </w:r>
      <w:r w:rsidR="001F1D0A" w:rsidRPr="00FC717A">
        <w:rPr>
          <w:rFonts w:ascii="Calibri" w:hAnsi="Calibri" w:cs="Calibri"/>
          <w:color w:val="494641" w:themeColor="text2" w:themeShade="BF"/>
          <w:sz w:val="21"/>
          <w:szCs w:val="21"/>
        </w:rPr>
        <w:t>protocol</w:t>
      </w:r>
      <w:r w:rsidR="00BA407A" w:rsidRPr="00FC717A">
        <w:rPr>
          <w:rFonts w:ascii="Calibri" w:hAnsi="Calibri" w:cs="Calibri"/>
          <w:color w:val="494641" w:themeColor="text2" w:themeShade="BF"/>
          <w:sz w:val="21"/>
          <w:szCs w:val="21"/>
        </w:rPr>
        <w:t xml:space="preserve"> team</w:t>
      </w:r>
      <w:r w:rsidR="001F1D0A" w:rsidRPr="00FC717A">
        <w:rPr>
          <w:rFonts w:ascii="Calibri" w:hAnsi="Calibri" w:cs="Calibri"/>
          <w:color w:val="494641" w:themeColor="text2" w:themeShade="BF"/>
          <w:sz w:val="21"/>
          <w:szCs w:val="21"/>
        </w:rPr>
        <w:t xml:space="preserve"> will</w:t>
      </w:r>
      <w:r w:rsidR="00C8487A" w:rsidRPr="00FC717A">
        <w:rPr>
          <w:rFonts w:ascii="Calibri" w:hAnsi="Calibri" w:cs="Calibri"/>
          <w:color w:val="494641" w:themeColor="text2" w:themeShade="BF"/>
          <w:sz w:val="21"/>
          <w:szCs w:val="21"/>
        </w:rPr>
        <w:t xml:space="preserve"> work with the ministry of health and/or or protocol investigators to</w:t>
      </w:r>
      <w:r w:rsidR="00BA407A" w:rsidRPr="00FC717A">
        <w:rPr>
          <w:rFonts w:ascii="Calibri" w:hAnsi="Calibri" w:cs="Calibri"/>
          <w:color w:val="494641" w:themeColor="text2" w:themeShade="BF"/>
          <w:sz w:val="21"/>
          <w:szCs w:val="21"/>
        </w:rPr>
        <w:t xml:space="preserve"> </w:t>
      </w:r>
      <w:r w:rsidR="00F34C15" w:rsidRPr="00FC717A">
        <w:rPr>
          <w:rFonts w:ascii="Calibri" w:hAnsi="Calibri" w:cs="Calibri"/>
          <w:color w:val="494641" w:themeColor="text2" w:themeShade="BF"/>
          <w:sz w:val="21"/>
          <w:szCs w:val="21"/>
        </w:rPr>
        <w:t xml:space="preserve">specifically </w:t>
      </w:r>
      <w:r w:rsidR="00BA407A" w:rsidRPr="00FC717A">
        <w:rPr>
          <w:rFonts w:ascii="Calibri" w:hAnsi="Calibri" w:cs="Calibri"/>
          <w:color w:val="494641" w:themeColor="text2" w:themeShade="BF"/>
          <w:sz w:val="21"/>
          <w:szCs w:val="21"/>
        </w:rPr>
        <w:t xml:space="preserve">determine </w:t>
      </w:r>
      <w:r w:rsidR="00C8487A" w:rsidRPr="00FC717A">
        <w:rPr>
          <w:rFonts w:ascii="Calibri" w:hAnsi="Calibri" w:cs="Calibri"/>
          <w:color w:val="494641" w:themeColor="text2" w:themeShade="BF"/>
          <w:sz w:val="21"/>
          <w:szCs w:val="21"/>
        </w:rPr>
        <w:t xml:space="preserve">the </w:t>
      </w:r>
      <w:r w:rsidR="00BA407A" w:rsidRPr="00FC717A">
        <w:rPr>
          <w:rFonts w:ascii="Calibri" w:hAnsi="Calibri" w:cs="Calibri"/>
          <w:color w:val="494641" w:themeColor="text2" w:themeShade="BF"/>
          <w:sz w:val="21"/>
          <w:szCs w:val="21"/>
        </w:rPr>
        <w:t xml:space="preserve">PrEP facilities participating in </w:t>
      </w:r>
      <w:r w:rsidR="00F34C15" w:rsidRPr="00FC717A">
        <w:rPr>
          <w:rFonts w:ascii="Calibri" w:hAnsi="Calibri" w:cs="Calibri"/>
          <w:color w:val="494641" w:themeColor="text2" w:themeShade="BF"/>
          <w:sz w:val="21"/>
          <w:szCs w:val="21"/>
        </w:rPr>
        <w:t xml:space="preserve">each </w:t>
      </w:r>
      <w:r w:rsidR="00BA407A" w:rsidRPr="00FC717A">
        <w:rPr>
          <w:rFonts w:ascii="Calibri" w:hAnsi="Calibri" w:cs="Calibri"/>
          <w:color w:val="494641" w:themeColor="text2" w:themeShade="BF"/>
          <w:sz w:val="21"/>
          <w:szCs w:val="21"/>
        </w:rPr>
        <w:t>stud</w:t>
      </w:r>
      <w:r w:rsidR="00BA5E50" w:rsidRPr="00FC717A">
        <w:rPr>
          <w:rFonts w:ascii="Calibri" w:hAnsi="Calibri" w:cs="Calibri"/>
          <w:color w:val="494641" w:themeColor="text2" w:themeShade="BF"/>
          <w:sz w:val="21"/>
          <w:szCs w:val="21"/>
        </w:rPr>
        <w:t>y</w:t>
      </w:r>
      <w:r w:rsidR="003017A8" w:rsidRPr="00FC717A">
        <w:rPr>
          <w:rFonts w:ascii="Calibri" w:hAnsi="Calibri" w:cs="Calibri"/>
          <w:color w:val="494641" w:themeColor="text2" w:themeShade="BF"/>
          <w:sz w:val="21"/>
          <w:szCs w:val="21"/>
        </w:rPr>
        <w:t xml:space="preserve">. These </w:t>
      </w:r>
      <w:r w:rsidR="00CD6BD8" w:rsidRPr="00FC717A">
        <w:rPr>
          <w:rFonts w:ascii="Calibri" w:hAnsi="Calibri" w:cs="Calibri"/>
          <w:color w:val="494641" w:themeColor="text2" w:themeShade="BF"/>
          <w:sz w:val="21"/>
          <w:szCs w:val="21"/>
        </w:rPr>
        <w:t>may</w:t>
      </w:r>
      <w:r w:rsidR="001502DE" w:rsidRPr="00FC717A">
        <w:rPr>
          <w:rFonts w:ascii="Calibri" w:hAnsi="Calibri" w:cs="Calibri"/>
          <w:color w:val="494641" w:themeColor="text2" w:themeShade="BF"/>
          <w:sz w:val="21"/>
          <w:szCs w:val="21"/>
        </w:rPr>
        <w:t xml:space="preserve"> include facilities providing oral PrEP, </w:t>
      </w:r>
      <w:r w:rsidR="00CD6BD8" w:rsidRPr="00FC717A">
        <w:rPr>
          <w:rFonts w:ascii="Calibri" w:hAnsi="Calibri" w:cs="Calibri"/>
          <w:color w:val="494641" w:themeColor="text2" w:themeShade="BF"/>
          <w:sz w:val="21"/>
          <w:szCs w:val="21"/>
        </w:rPr>
        <w:t xml:space="preserve">PrEP </w:t>
      </w:r>
      <w:r w:rsidR="001502DE" w:rsidRPr="00FC717A">
        <w:rPr>
          <w:rFonts w:ascii="Calibri" w:hAnsi="Calibri" w:cs="Calibri"/>
          <w:color w:val="494641" w:themeColor="text2" w:themeShade="BF"/>
          <w:sz w:val="21"/>
          <w:szCs w:val="21"/>
        </w:rPr>
        <w:t xml:space="preserve">ring, </w:t>
      </w:r>
      <w:r w:rsidR="00CD6BD8" w:rsidRPr="00FC717A">
        <w:rPr>
          <w:rFonts w:ascii="Calibri" w:hAnsi="Calibri" w:cs="Calibri"/>
          <w:color w:val="494641" w:themeColor="text2" w:themeShade="BF"/>
          <w:sz w:val="21"/>
          <w:szCs w:val="21"/>
        </w:rPr>
        <w:t>and/or injectable PrEP, depending on local regulatory approval</w:t>
      </w:r>
      <w:r w:rsidR="009F1104" w:rsidRPr="00FC717A">
        <w:rPr>
          <w:rFonts w:ascii="Calibri" w:hAnsi="Calibri" w:cs="Calibri"/>
          <w:color w:val="494641" w:themeColor="text2" w:themeShade="BF"/>
          <w:sz w:val="21"/>
          <w:szCs w:val="21"/>
        </w:rPr>
        <w:t xml:space="preserve"> and</w:t>
      </w:r>
      <w:r w:rsidR="00CD6BD8" w:rsidRPr="00FC717A">
        <w:rPr>
          <w:rFonts w:ascii="Calibri" w:hAnsi="Calibri" w:cs="Calibri"/>
          <w:color w:val="494641" w:themeColor="text2" w:themeShade="BF"/>
          <w:sz w:val="21"/>
          <w:szCs w:val="21"/>
        </w:rPr>
        <w:t xml:space="preserve"> </w:t>
      </w:r>
      <w:r w:rsidR="009F1104" w:rsidRPr="00FC717A">
        <w:rPr>
          <w:rFonts w:ascii="Calibri" w:hAnsi="Calibri" w:cs="Calibri"/>
          <w:color w:val="494641" w:themeColor="text2" w:themeShade="BF"/>
          <w:sz w:val="21"/>
          <w:szCs w:val="21"/>
        </w:rPr>
        <w:t xml:space="preserve">PrEP </w:t>
      </w:r>
      <w:r w:rsidR="00CD6BD8" w:rsidRPr="00FC717A">
        <w:rPr>
          <w:rFonts w:ascii="Calibri" w:hAnsi="Calibri" w:cs="Calibri"/>
          <w:color w:val="494641" w:themeColor="text2" w:themeShade="BF"/>
          <w:sz w:val="21"/>
          <w:szCs w:val="21"/>
        </w:rPr>
        <w:t>availability.</w:t>
      </w:r>
    </w:p>
    <w:p w14:paraId="4B7E2FE5" w14:textId="77777777" w:rsidR="00B2413A" w:rsidRPr="00B2413A" w:rsidRDefault="00B2413A" w:rsidP="00D76C78">
      <w:pPr>
        <w:pStyle w:val="BodyTextIndent2"/>
        <w:spacing w:line="276" w:lineRule="auto"/>
        <w:ind w:left="0" w:right="116"/>
        <w:rPr>
          <w:rFonts w:ascii="Calibri" w:hAnsi="Calibri" w:cs="Calibri"/>
          <w:color w:val="494641" w:themeColor="text2" w:themeShade="BF"/>
          <w:sz w:val="21"/>
          <w:szCs w:val="21"/>
        </w:rPr>
      </w:pPr>
    </w:p>
    <w:p w14:paraId="45A8ECD4" w14:textId="0715F3E1" w:rsidR="00F21C82" w:rsidRPr="00FC717A" w:rsidRDefault="000C5F0B"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7" w:name="_Toc142048248"/>
      <w:r w:rsidRPr="00FC717A">
        <w:rPr>
          <w:rFonts w:ascii="Poppins SemiBold" w:hAnsi="Poppins SemiBold" w:cs="Poppins SemiBold"/>
          <w:bCs/>
          <w:color w:val="29676B" w:themeColor="accent1"/>
          <w:sz w:val="21"/>
          <w:szCs w:val="21"/>
        </w:rPr>
        <w:t xml:space="preserve">Protocol </w:t>
      </w:r>
      <w:r w:rsidR="00F21C82" w:rsidRPr="00FC717A">
        <w:rPr>
          <w:rFonts w:ascii="Poppins SemiBold" w:hAnsi="Poppins SemiBold" w:cs="Poppins SemiBold"/>
          <w:bCs/>
          <w:color w:val="29676B" w:themeColor="accent1"/>
          <w:sz w:val="21"/>
          <w:szCs w:val="21"/>
        </w:rPr>
        <w:t>Investigator Responsibilities</w:t>
      </w:r>
      <w:bookmarkEnd w:id="6"/>
      <w:bookmarkEnd w:id="7"/>
    </w:p>
    <w:p w14:paraId="7CFF6A67" w14:textId="11DDCC4E" w:rsidR="002828B0" w:rsidRPr="00FC717A" w:rsidRDefault="000C5F0B" w:rsidP="00D76C78">
      <w:pPr>
        <w:pStyle w:val="BodyText"/>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Each investigator listed in the protocol</w:t>
      </w:r>
      <w:r w:rsidR="00F21C82" w:rsidRPr="00FC717A">
        <w:rPr>
          <w:rFonts w:ascii="Calibri" w:hAnsi="Calibri" w:cs="Calibri"/>
          <w:color w:val="494641" w:themeColor="text2" w:themeShade="BF"/>
          <w:sz w:val="21"/>
          <w:szCs w:val="21"/>
        </w:rPr>
        <w:t xml:space="preserve"> must conduct</w:t>
      </w:r>
      <w:r w:rsidRPr="00FC717A">
        <w:rPr>
          <w:rFonts w:ascii="Calibri" w:hAnsi="Calibri" w:cs="Calibri"/>
          <w:color w:val="494641" w:themeColor="text2" w:themeShade="BF"/>
          <w:sz w:val="21"/>
          <w:szCs w:val="21"/>
        </w:rPr>
        <w:t xml:space="preserve"> their applicable study</w:t>
      </w:r>
      <w:r w:rsidR="00F21C82" w:rsidRPr="00FC717A">
        <w:rPr>
          <w:rFonts w:ascii="Calibri" w:hAnsi="Calibri" w:cs="Calibri"/>
          <w:color w:val="494641" w:themeColor="text2" w:themeShade="BF"/>
          <w:sz w:val="21"/>
          <w:szCs w:val="21"/>
        </w:rPr>
        <w:t xml:space="preserve"> in accordance with the International Conference on Harmonisation Consolidated Guidance for Good Clinical Practice (GCP). </w:t>
      </w:r>
      <w:r w:rsidR="002828B0" w:rsidRPr="00FC717A">
        <w:rPr>
          <w:rFonts w:ascii="Calibri" w:hAnsi="Calibri" w:cs="Calibri"/>
          <w:color w:val="494641" w:themeColor="text2" w:themeShade="BF"/>
          <w:sz w:val="21"/>
          <w:szCs w:val="21"/>
        </w:rPr>
        <w:t xml:space="preserve">Although clinic staff are not necessarily operating in </w:t>
      </w:r>
      <w:r w:rsidR="008F7473" w:rsidRPr="00FC717A">
        <w:rPr>
          <w:rFonts w:ascii="Calibri" w:hAnsi="Calibri" w:cs="Calibri"/>
          <w:color w:val="494641" w:themeColor="text2" w:themeShade="BF"/>
          <w:sz w:val="21"/>
          <w:szCs w:val="21"/>
        </w:rPr>
        <w:t xml:space="preserve">clinical </w:t>
      </w:r>
      <w:r w:rsidR="002828B0" w:rsidRPr="00FC717A">
        <w:rPr>
          <w:rFonts w:ascii="Calibri" w:hAnsi="Calibri" w:cs="Calibri"/>
          <w:color w:val="494641" w:themeColor="text2" w:themeShade="BF"/>
          <w:sz w:val="21"/>
          <w:szCs w:val="21"/>
        </w:rPr>
        <w:t>research centers, it is expected that clinic staff will:</w:t>
      </w:r>
    </w:p>
    <w:p w14:paraId="6101E4F1" w14:textId="36DC1037" w:rsidR="002828B0" w:rsidRPr="00FC717A" w:rsidRDefault="002828B0" w:rsidP="00D76C78">
      <w:pPr>
        <w:pStyle w:val="BodyText"/>
        <w:numPr>
          <w:ilvl w:val="0"/>
          <w:numId w:val="29"/>
        </w:numPr>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 xml:space="preserve">Document all observations, including eligibility criteria, for each participant in adequate and accurate source </w:t>
      </w:r>
      <w:proofErr w:type="gramStart"/>
      <w:r w:rsidRPr="00FC717A">
        <w:rPr>
          <w:rFonts w:ascii="Calibri" w:hAnsi="Calibri" w:cs="Calibri"/>
          <w:color w:val="494641" w:themeColor="text2" w:themeShade="BF"/>
          <w:sz w:val="21"/>
          <w:szCs w:val="21"/>
        </w:rPr>
        <w:t>documents</w:t>
      </w:r>
      <w:proofErr w:type="gramEnd"/>
      <w:r w:rsidRPr="00FC717A">
        <w:rPr>
          <w:rFonts w:ascii="Calibri" w:hAnsi="Calibri" w:cs="Calibri"/>
          <w:color w:val="494641" w:themeColor="text2" w:themeShade="BF"/>
          <w:sz w:val="21"/>
          <w:szCs w:val="21"/>
        </w:rPr>
        <w:t xml:space="preserve"> </w:t>
      </w:r>
    </w:p>
    <w:p w14:paraId="2E18D4D7" w14:textId="796BA58B" w:rsidR="002828B0" w:rsidRPr="00FC717A" w:rsidRDefault="002828B0" w:rsidP="00D76C78">
      <w:pPr>
        <w:pStyle w:val="BodyText"/>
        <w:numPr>
          <w:ilvl w:val="0"/>
          <w:numId w:val="29"/>
        </w:numPr>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Ensure data on lab requisition form</w:t>
      </w:r>
      <w:r w:rsidR="00BD2420" w:rsidRPr="00FC717A">
        <w:rPr>
          <w:rFonts w:ascii="Calibri" w:hAnsi="Calibri" w:cs="Calibri"/>
          <w:color w:val="494641" w:themeColor="text2" w:themeShade="BF"/>
          <w:sz w:val="21"/>
          <w:szCs w:val="21"/>
        </w:rPr>
        <w:t>s and case report forms</w:t>
      </w:r>
      <w:r w:rsidRPr="00FC717A">
        <w:rPr>
          <w:rFonts w:ascii="Calibri" w:hAnsi="Calibri" w:cs="Calibri"/>
          <w:color w:val="494641" w:themeColor="text2" w:themeShade="BF"/>
          <w:sz w:val="21"/>
          <w:szCs w:val="21"/>
        </w:rPr>
        <w:t xml:space="preserve"> </w:t>
      </w:r>
      <w:r w:rsidR="00BD2420" w:rsidRPr="00FC717A">
        <w:rPr>
          <w:rFonts w:ascii="Calibri" w:hAnsi="Calibri" w:cs="Calibri"/>
          <w:color w:val="494641" w:themeColor="text2" w:themeShade="BF"/>
          <w:sz w:val="21"/>
          <w:szCs w:val="21"/>
        </w:rPr>
        <w:t>are</w:t>
      </w:r>
      <w:r w:rsidRPr="00FC717A">
        <w:rPr>
          <w:rFonts w:ascii="Calibri" w:hAnsi="Calibri" w:cs="Calibri"/>
          <w:color w:val="494641" w:themeColor="text2" w:themeShade="BF"/>
          <w:sz w:val="21"/>
          <w:szCs w:val="21"/>
        </w:rPr>
        <w:t xml:space="preserve"> accurate, complete, legible</w:t>
      </w:r>
      <w:r w:rsidR="00653B53" w:rsidRPr="00FC717A">
        <w:rPr>
          <w:rFonts w:ascii="Calibri" w:hAnsi="Calibri" w:cs="Calibri"/>
          <w:color w:val="494641" w:themeColor="text2" w:themeShade="BF"/>
          <w:sz w:val="21"/>
          <w:szCs w:val="21"/>
        </w:rPr>
        <w:t>,</w:t>
      </w:r>
      <w:r w:rsidRPr="00FC717A">
        <w:rPr>
          <w:rFonts w:ascii="Calibri" w:hAnsi="Calibri" w:cs="Calibri"/>
          <w:color w:val="494641" w:themeColor="text2" w:themeShade="BF"/>
          <w:sz w:val="21"/>
          <w:szCs w:val="21"/>
        </w:rPr>
        <w:t xml:space="preserve"> and </w:t>
      </w:r>
      <w:proofErr w:type="gramStart"/>
      <w:r w:rsidRPr="00FC717A">
        <w:rPr>
          <w:rFonts w:ascii="Calibri" w:hAnsi="Calibri" w:cs="Calibri"/>
          <w:color w:val="494641" w:themeColor="text2" w:themeShade="BF"/>
          <w:sz w:val="21"/>
          <w:szCs w:val="21"/>
        </w:rPr>
        <w:t>timely</w:t>
      </w:r>
      <w:proofErr w:type="gramEnd"/>
      <w:r w:rsidRPr="00FC717A">
        <w:rPr>
          <w:rFonts w:ascii="Calibri" w:hAnsi="Calibri" w:cs="Calibri"/>
          <w:color w:val="494641" w:themeColor="text2" w:themeShade="BF"/>
          <w:sz w:val="21"/>
          <w:szCs w:val="21"/>
        </w:rPr>
        <w:t xml:space="preserve"> </w:t>
      </w:r>
    </w:p>
    <w:p w14:paraId="09A9FAAD" w14:textId="636AE47A" w:rsidR="002828B0" w:rsidRPr="00FC717A" w:rsidRDefault="002828B0" w:rsidP="00D76C78">
      <w:pPr>
        <w:pStyle w:val="BodyText"/>
        <w:numPr>
          <w:ilvl w:val="0"/>
          <w:numId w:val="29"/>
        </w:numPr>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Document changes or corrections to the lab requisition form</w:t>
      </w:r>
      <w:r w:rsidR="00BD2420" w:rsidRPr="00FC717A">
        <w:rPr>
          <w:rFonts w:ascii="Calibri" w:hAnsi="Calibri" w:cs="Calibri"/>
          <w:color w:val="494641" w:themeColor="text2" w:themeShade="BF"/>
          <w:sz w:val="21"/>
          <w:szCs w:val="21"/>
        </w:rPr>
        <w:t>s and case report forms</w:t>
      </w:r>
      <w:r w:rsidRPr="00FC717A">
        <w:rPr>
          <w:rFonts w:ascii="Calibri" w:hAnsi="Calibri" w:cs="Calibri"/>
          <w:color w:val="494641" w:themeColor="text2" w:themeShade="BF"/>
          <w:sz w:val="21"/>
          <w:szCs w:val="21"/>
        </w:rPr>
        <w:t xml:space="preserve"> with initials and date, and ensure that the original entry is not </w:t>
      </w:r>
      <w:proofErr w:type="gramStart"/>
      <w:r w:rsidRPr="00FC717A">
        <w:rPr>
          <w:rFonts w:ascii="Calibri" w:hAnsi="Calibri" w:cs="Calibri"/>
          <w:color w:val="494641" w:themeColor="text2" w:themeShade="BF"/>
          <w:sz w:val="21"/>
          <w:szCs w:val="21"/>
        </w:rPr>
        <w:t>obscured</w:t>
      </w:r>
      <w:proofErr w:type="gramEnd"/>
      <w:r w:rsidRPr="00FC717A">
        <w:rPr>
          <w:rFonts w:ascii="Calibri" w:hAnsi="Calibri" w:cs="Calibri"/>
          <w:color w:val="494641" w:themeColor="text2" w:themeShade="BF"/>
          <w:sz w:val="21"/>
          <w:szCs w:val="21"/>
        </w:rPr>
        <w:t xml:space="preserve"> </w:t>
      </w:r>
    </w:p>
    <w:p w14:paraId="590265A9" w14:textId="0FAC0186" w:rsidR="002828B0" w:rsidRPr="00FC717A" w:rsidRDefault="002828B0" w:rsidP="00D76C78">
      <w:pPr>
        <w:pStyle w:val="BodyText"/>
        <w:numPr>
          <w:ilvl w:val="0"/>
          <w:numId w:val="29"/>
        </w:numPr>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 xml:space="preserve">Maintain SOPs, job aids, or other materials for easy </w:t>
      </w:r>
      <w:proofErr w:type="gramStart"/>
      <w:r w:rsidRPr="00FC717A">
        <w:rPr>
          <w:rFonts w:ascii="Calibri" w:hAnsi="Calibri" w:cs="Calibri"/>
          <w:color w:val="494641" w:themeColor="text2" w:themeShade="BF"/>
          <w:sz w:val="21"/>
          <w:szCs w:val="21"/>
        </w:rPr>
        <w:t>reference</w:t>
      </w:r>
      <w:proofErr w:type="gramEnd"/>
      <w:r w:rsidRPr="00FC717A">
        <w:rPr>
          <w:rFonts w:ascii="Calibri" w:hAnsi="Calibri" w:cs="Calibri"/>
          <w:color w:val="494641" w:themeColor="text2" w:themeShade="BF"/>
          <w:sz w:val="21"/>
          <w:szCs w:val="21"/>
        </w:rPr>
        <w:t xml:space="preserve"> </w:t>
      </w:r>
    </w:p>
    <w:p w14:paraId="2598AF86" w14:textId="49FA7BF5" w:rsidR="002828B0" w:rsidRPr="00FC717A" w:rsidRDefault="002828B0" w:rsidP="00D76C78">
      <w:pPr>
        <w:pStyle w:val="BodyText"/>
        <w:numPr>
          <w:ilvl w:val="0"/>
          <w:numId w:val="29"/>
        </w:numPr>
        <w:spacing w:after="60"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lastRenderedPageBreak/>
        <w:t>Ensure confidentiality of medical records</w:t>
      </w:r>
      <w:r w:rsidR="00B7462B" w:rsidRPr="00FC717A">
        <w:rPr>
          <w:rFonts w:ascii="Calibri" w:hAnsi="Calibri" w:cs="Calibri"/>
          <w:color w:val="494641" w:themeColor="text2" w:themeShade="BF"/>
          <w:sz w:val="21"/>
          <w:szCs w:val="21"/>
        </w:rPr>
        <w:t xml:space="preserve"> by maintaining records in locked rooms, as per country-specific guidelines for protecting health information</w:t>
      </w:r>
    </w:p>
    <w:p w14:paraId="7D1C6249" w14:textId="68347664" w:rsidR="00F21C82" w:rsidRDefault="00131E02" w:rsidP="00D76C78">
      <w:pPr>
        <w:pStyle w:val="BodyText"/>
        <w:numPr>
          <w:ilvl w:val="0"/>
          <w:numId w:val="11"/>
        </w:numPr>
        <w:spacing w:line="276" w:lineRule="auto"/>
        <w:ind w:right="116"/>
        <w:rPr>
          <w:rFonts w:ascii="Calibri" w:hAnsi="Calibri" w:cs="Calibri"/>
          <w:color w:val="494641" w:themeColor="text2" w:themeShade="BF"/>
          <w:sz w:val="21"/>
          <w:szCs w:val="21"/>
        </w:rPr>
      </w:pPr>
      <w:r w:rsidRPr="00FC717A">
        <w:rPr>
          <w:rFonts w:ascii="Calibri" w:hAnsi="Calibri" w:cs="Calibri"/>
          <w:color w:val="494641" w:themeColor="text2" w:themeShade="BF"/>
          <w:sz w:val="21"/>
          <w:szCs w:val="21"/>
        </w:rPr>
        <w:t>Store signed informed consent forms separately from other study documents</w:t>
      </w:r>
      <w:r w:rsidR="00E03E84" w:rsidRPr="00FC717A">
        <w:rPr>
          <w:rFonts w:ascii="Calibri" w:hAnsi="Calibri" w:cs="Calibri"/>
          <w:color w:val="494641" w:themeColor="text2" w:themeShade="BF"/>
          <w:sz w:val="21"/>
          <w:szCs w:val="21"/>
        </w:rPr>
        <w:t xml:space="preserve"> </w:t>
      </w:r>
      <w:r w:rsidR="00206C08" w:rsidRPr="00FC717A">
        <w:rPr>
          <w:rFonts w:ascii="Calibri" w:hAnsi="Calibri" w:cs="Calibri"/>
          <w:color w:val="494641" w:themeColor="text2" w:themeShade="BF"/>
          <w:sz w:val="21"/>
          <w:szCs w:val="21"/>
        </w:rPr>
        <w:t>that include</w:t>
      </w:r>
      <w:r w:rsidR="00E03E84" w:rsidRPr="00FC717A">
        <w:rPr>
          <w:rFonts w:ascii="Calibri" w:hAnsi="Calibri" w:cs="Calibri"/>
          <w:color w:val="494641" w:themeColor="text2" w:themeShade="BF"/>
          <w:sz w:val="21"/>
          <w:szCs w:val="21"/>
        </w:rPr>
        <w:t xml:space="preserve"> the </w:t>
      </w:r>
      <w:r w:rsidR="00206C08" w:rsidRPr="00FC717A">
        <w:rPr>
          <w:rFonts w:ascii="Calibri" w:hAnsi="Calibri" w:cs="Calibri"/>
          <w:color w:val="494641" w:themeColor="text2" w:themeShade="BF"/>
          <w:sz w:val="21"/>
          <w:szCs w:val="21"/>
        </w:rPr>
        <w:t xml:space="preserve">PrEP ID number or </w:t>
      </w:r>
      <w:proofErr w:type="gramStart"/>
      <w:r w:rsidR="00206C08" w:rsidRPr="00FC717A">
        <w:rPr>
          <w:rFonts w:ascii="Calibri" w:hAnsi="Calibri" w:cs="Calibri"/>
          <w:color w:val="494641" w:themeColor="text2" w:themeShade="BF"/>
          <w:sz w:val="21"/>
          <w:szCs w:val="21"/>
        </w:rPr>
        <w:t>barcode</w:t>
      </w:r>
      <w:proofErr w:type="gramEnd"/>
    </w:p>
    <w:p w14:paraId="2F33C569" w14:textId="77777777" w:rsidR="00B2413A" w:rsidRPr="00B2413A" w:rsidRDefault="00B2413A" w:rsidP="00D76C78">
      <w:pPr>
        <w:pStyle w:val="BodyText"/>
        <w:spacing w:line="276" w:lineRule="auto"/>
        <w:ind w:left="720" w:right="116"/>
        <w:rPr>
          <w:rFonts w:ascii="Calibri" w:hAnsi="Calibri" w:cs="Calibri"/>
          <w:color w:val="494641" w:themeColor="text2" w:themeShade="BF"/>
          <w:sz w:val="21"/>
          <w:szCs w:val="21"/>
        </w:rPr>
      </w:pPr>
    </w:p>
    <w:p w14:paraId="44F38853" w14:textId="77777777" w:rsidR="00F21C82" w:rsidRPr="00FC717A" w:rsidRDefault="00F21C82"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8" w:name="_Toc533575488"/>
      <w:bookmarkStart w:id="9" w:name="_Toc142048249"/>
      <w:r w:rsidRPr="00FC717A">
        <w:rPr>
          <w:rFonts w:ascii="Poppins SemiBold" w:hAnsi="Poppins SemiBold" w:cs="Poppins SemiBold"/>
          <w:bCs/>
          <w:color w:val="29676B" w:themeColor="accent1"/>
          <w:sz w:val="21"/>
          <w:szCs w:val="21"/>
        </w:rPr>
        <w:t>IRB/EC Submissions</w:t>
      </w:r>
      <w:bookmarkEnd w:id="8"/>
      <w:bookmarkEnd w:id="9"/>
    </w:p>
    <w:p w14:paraId="63E710A7" w14:textId="6C6E966C" w:rsidR="00DE43CC" w:rsidRPr="00FC717A" w:rsidRDefault="000C5F0B" w:rsidP="00D76C78">
      <w:pPr>
        <w:pStyle w:val="BodyTextIndent"/>
        <w:keepLines w:val="0"/>
        <w:tabs>
          <w:tab w:val="left" w:pos="1800"/>
        </w:tabs>
        <w:spacing w:after="60" w:line="276" w:lineRule="auto"/>
        <w:ind w:left="0"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 xml:space="preserve">The </w:t>
      </w:r>
      <w:r w:rsidR="00A206C4" w:rsidRPr="00FC717A">
        <w:rPr>
          <w:rFonts w:ascii="Calibri" w:eastAsia="SimSun" w:hAnsi="Calibri" w:cs="Calibri"/>
          <w:color w:val="494641" w:themeColor="text2" w:themeShade="BF"/>
          <w:sz w:val="21"/>
          <w:szCs w:val="21"/>
        </w:rPr>
        <w:t>[</w:t>
      </w:r>
      <w:r w:rsidR="00A206C4" w:rsidRPr="00FC717A">
        <w:rPr>
          <w:rFonts w:ascii="Calibri" w:eastAsia="SimSun" w:hAnsi="Calibri" w:cs="Calibri"/>
          <w:i/>
          <w:iCs/>
          <w:color w:val="494641" w:themeColor="text2" w:themeShade="BF"/>
          <w:sz w:val="21"/>
          <w:szCs w:val="21"/>
        </w:rPr>
        <w:t xml:space="preserve">insert title of </w:t>
      </w:r>
      <w:r w:rsidR="00206C08" w:rsidRPr="00FC717A">
        <w:rPr>
          <w:rFonts w:ascii="Calibri" w:eastAsia="SimSun" w:hAnsi="Calibri" w:cs="Calibri"/>
          <w:i/>
          <w:iCs/>
          <w:color w:val="494641" w:themeColor="text2" w:themeShade="BF"/>
          <w:sz w:val="21"/>
          <w:szCs w:val="21"/>
        </w:rPr>
        <w:t>project manager</w:t>
      </w:r>
      <w:r w:rsidR="00B064C3" w:rsidRPr="00FC717A">
        <w:rPr>
          <w:rFonts w:ascii="Calibri" w:eastAsia="SimSun" w:hAnsi="Calibri" w:cs="Calibri"/>
          <w:i/>
          <w:iCs/>
          <w:color w:val="494641" w:themeColor="text2" w:themeShade="BF"/>
          <w:sz w:val="21"/>
          <w:szCs w:val="21"/>
        </w:rPr>
        <w:t>s</w:t>
      </w:r>
      <w:r w:rsidR="00A206C4" w:rsidRPr="00FC717A">
        <w:rPr>
          <w:rFonts w:ascii="Calibri" w:eastAsia="SimSun" w:hAnsi="Calibri" w:cs="Calibri"/>
          <w:i/>
          <w:iCs/>
          <w:color w:val="494641" w:themeColor="text2" w:themeShade="BF"/>
          <w:sz w:val="21"/>
          <w:szCs w:val="21"/>
        </w:rPr>
        <w:t>, as</w:t>
      </w:r>
      <w:r w:rsidR="003B00FB" w:rsidRPr="00FC717A">
        <w:rPr>
          <w:rFonts w:ascii="Calibri" w:eastAsia="SimSun" w:hAnsi="Calibri" w:cs="Calibri"/>
          <w:i/>
          <w:iCs/>
          <w:color w:val="494641" w:themeColor="text2" w:themeShade="BF"/>
          <w:sz w:val="21"/>
          <w:szCs w:val="21"/>
        </w:rPr>
        <w:t xml:space="preserve"> applicable</w:t>
      </w:r>
      <w:r w:rsidR="003B00FB" w:rsidRPr="00FC717A">
        <w:rPr>
          <w:rFonts w:ascii="Calibri" w:eastAsia="SimSun" w:hAnsi="Calibri" w:cs="Calibri"/>
          <w:color w:val="494641" w:themeColor="text2" w:themeShade="BF"/>
          <w:sz w:val="21"/>
          <w:szCs w:val="21"/>
        </w:rPr>
        <w:t>]</w:t>
      </w:r>
      <w:r w:rsidR="00206C08" w:rsidRPr="00FC717A">
        <w:rPr>
          <w:rFonts w:ascii="Calibri" w:eastAsia="SimSun" w:hAnsi="Calibri" w:cs="Calibri"/>
          <w:color w:val="494641" w:themeColor="text2" w:themeShade="BF"/>
          <w:sz w:val="21"/>
          <w:szCs w:val="21"/>
        </w:rPr>
        <w:t xml:space="preserve"> </w:t>
      </w:r>
      <w:r w:rsidRPr="00FC717A">
        <w:rPr>
          <w:rFonts w:ascii="Calibri" w:eastAsia="SimSun" w:hAnsi="Calibri" w:cs="Calibri"/>
          <w:color w:val="494641" w:themeColor="text2" w:themeShade="BF"/>
          <w:sz w:val="21"/>
          <w:szCs w:val="21"/>
        </w:rPr>
        <w:t xml:space="preserve">in each country are </w:t>
      </w:r>
      <w:r w:rsidR="00F21C82" w:rsidRPr="00FC717A">
        <w:rPr>
          <w:rFonts w:ascii="Calibri" w:eastAsia="SimSun" w:hAnsi="Calibri" w:cs="Calibri"/>
          <w:color w:val="494641" w:themeColor="text2" w:themeShade="BF"/>
          <w:sz w:val="21"/>
          <w:szCs w:val="21"/>
        </w:rPr>
        <w:t>encouraged to request that their IRB/ECs acknowledge receipt for all documents submitted to them, and to request that the IRBs/ECs note both the effective date and the expiry dates of all approvals. Documentation of all correspondence to and from all responsible IRBs/ECs (i.e.</w:t>
      </w:r>
      <w:r w:rsidR="001A20AE" w:rsidRPr="00FC717A">
        <w:rPr>
          <w:rFonts w:ascii="Calibri" w:eastAsia="SimSun" w:hAnsi="Calibri" w:cs="Calibri"/>
          <w:color w:val="494641" w:themeColor="text2" w:themeShade="BF"/>
          <w:sz w:val="21"/>
          <w:szCs w:val="21"/>
        </w:rPr>
        <w:t>,</w:t>
      </w:r>
      <w:r w:rsidR="00F21C82" w:rsidRPr="00FC717A">
        <w:rPr>
          <w:rFonts w:ascii="Calibri" w:eastAsia="SimSun" w:hAnsi="Calibri" w:cs="Calibri"/>
          <w:color w:val="494641" w:themeColor="text2" w:themeShade="BF"/>
          <w:sz w:val="21"/>
          <w:szCs w:val="21"/>
        </w:rPr>
        <w:t xml:space="preserve"> complete copies of all submissions, responses, and approvals) </w:t>
      </w:r>
      <w:r w:rsidRPr="00FC717A">
        <w:rPr>
          <w:rFonts w:ascii="Calibri" w:eastAsia="SimSun" w:hAnsi="Calibri" w:cs="Calibri"/>
          <w:color w:val="494641" w:themeColor="text2" w:themeShade="BF"/>
          <w:sz w:val="21"/>
          <w:szCs w:val="21"/>
        </w:rPr>
        <w:t>should</w:t>
      </w:r>
      <w:r w:rsidR="00F21C82" w:rsidRPr="00FC717A">
        <w:rPr>
          <w:rFonts w:ascii="Calibri" w:eastAsia="SimSun" w:hAnsi="Calibri" w:cs="Calibri"/>
          <w:color w:val="494641" w:themeColor="text2" w:themeShade="BF"/>
          <w:sz w:val="21"/>
          <w:szCs w:val="21"/>
        </w:rPr>
        <w:t xml:space="preserve"> be maintained </w:t>
      </w:r>
      <w:r w:rsidR="0040779D" w:rsidRPr="00FC717A">
        <w:rPr>
          <w:rFonts w:ascii="Calibri" w:eastAsia="SimSun" w:hAnsi="Calibri" w:cs="Calibri"/>
          <w:color w:val="494641" w:themeColor="text2" w:themeShade="BF"/>
          <w:sz w:val="21"/>
          <w:szCs w:val="21"/>
        </w:rPr>
        <w:t xml:space="preserve">in </w:t>
      </w:r>
      <w:r w:rsidR="00F21C82" w:rsidRPr="00FC717A">
        <w:rPr>
          <w:rFonts w:ascii="Calibri" w:eastAsia="SimSun" w:hAnsi="Calibri" w:cs="Calibri"/>
          <w:color w:val="494641" w:themeColor="text2" w:themeShade="BF"/>
          <w:sz w:val="21"/>
          <w:szCs w:val="21"/>
        </w:rPr>
        <w:t>essential document files</w:t>
      </w:r>
      <w:r w:rsidR="00F34C15" w:rsidRPr="00FC717A">
        <w:rPr>
          <w:rFonts w:ascii="Calibri" w:eastAsia="SimSun" w:hAnsi="Calibri" w:cs="Calibri"/>
          <w:color w:val="494641" w:themeColor="text2" w:themeShade="BF"/>
          <w:sz w:val="21"/>
          <w:szCs w:val="21"/>
        </w:rPr>
        <w:t xml:space="preserve"> (Table 1)</w:t>
      </w:r>
      <w:r w:rsidR="00F21C82" w:rsidRPr="00FC717A">
        <w:rPr>
          <w:rFonts w:ascii="Calibri" w:eastAsia="SimSun" w:hAnsi="Calibri" w:cs="Calibri"/>
          <w:color w:val="494641" w:themeColor="text2" w:themeShade="BF"/>
          <w:sz w:val="21"/>
          <w:szCs w:val="21"/>
        </w:rPr>
        <w:t xml:space="preserve">. </w:t>
      </w:r>
      <w:r w:rsidR="00DE43CC" w:rsidRPr="00FC717A">
        <w:rPr>
          <w:rFonts w:ascii="Calibri" w:eastAsia="SimSun" w:hAnsi="Calibri" w:cs="Calibri"/>
          <w:color w:val="494641" w:themeColor="text2" w:themeShade="BF"/>
          <w:sz w:val="21"/>
          <w:szCs w:val="21"/>
        </w:rPr>
        <w:t xml:space="preserve">The following are documents for IRB/EC submission and approval requirements pertinent to </w:t>
      </w:r>
      <w:r w:rsidR="009C2D8F" w:rsidRPr="00FC717A">
        <w:rPr>
          <w:rFonts w:ascii="Calibri" w:eastAsia="SimSun" w:hAnsi="Calibri" w:cs="Calibri"/>
          <w:color w:val="494641" w:themeColor="text2" w:themeShade="BF"/>
          <w:sz w:val="21"/>
          <w:szCs w:val="21"/>
        </w:rPr>
        <w:t>the MOSAIC HIVDR studies</w:t>
      </w:r>
      <w:r w:rsidR="00DE43CC" w:rsidRPr="00FC717A">
        <w:rPr>
          <w:rFonts w:ascii="Calibri" w:eastAsia="SimSun" w:hAnsi="Calibri" w:cs="Calibri"/>
          <w:color w:val="494641" w:themeColor="text2" w:themeShade="BF"/>
          <w:sz w:val="21"/>
          <w:szCs w:val="21"/>
        </w:rPr>
        <w:t>:</w:t>
      </w:r>
    </w:p>
    <w:p w14:paraId="36BF7054" w14:textId="278B3C5C" w:rsidR="00DE43CC" w:rsidRPr="00FC717A"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 xml:space="preserve">Initial protocol and subsequent protocol amendments, including informed consent </w:t>
      </w:r>
      <w:proofErr w:type="gramStart"/>
      <w:r w:rsidRPr="00FC717A">
        <w:rPr>
          <w:rFonts w:ascii="Calibri" w:eastAsia="SimSun" w:hAnsi="Calibri" w:cs="Calibri"/>
          <w:color w:val="494641" w:themeColor="text2" w:themeShade="BF"/>
          <w:sz w:val="21"/>
          <w:szCs w:val="21"/>
        </w:rPr>
        <w:t>forms</w:t>
      </w:r>
      <w:proofErr w:type="gramEnd"/>
      <w:r w:rsidRPr="00FC717A">
        <w:rPr>
          <w:rFonts w:ascii="Calibri" w:eastAsia="SimSun" w:hAnsi="Calibri" w:cs="Calibri"/>
          <w:color w:val="494641" w:themeColor="text2" w:themeShade="BF"/>
          <w:sz w:val="21"/>
          <w:szCs w:val="21"/>
        </w:rPr>
        <w:t xml:space="preserve"> </w:t>
      </w:r>
    </w:p>
    <w:p w14:paraId="08558389" w14:textId="1970AE1D" w:rsidR="00DE43CC" w:rsidRPr="00FC717A"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Study status reports/updates (per IRB/EC policy)</w:t>
      </w:r>
    </w:p>
    <w:p w14:paraId="508B0EC3" w14:textId="0B9743EF" w:rsidR="00DE43CC" w:rsidRPr="00FC717A"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Protocol deviations (per IRB/EC requirements)</w:t>
      </w:r>
    </w:p>
    <w:p w14:paraId="4515CEDD" w14:textId="21F60998" w:rsidR="00DE43CC" w:rsidRPr="00FC717A"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 xml:space="preserve">Protocol investigator </w:t>
      </w:r>
      <w:r w:rsidR="00FF4995" w:rsidRPr="00FC717A">
        <w:rPr>
          <w:rFonts w:ascii="Calibri" w:eastAsia="SimSun" w:hAnsi="Calibri" w:cs="Calibri"/>
          <w:color w:val="494641" w:themeColor="text2" w:themeShade="BF"/>
          <w:sz w:val="21"/>
          <w:szCs w:val="21"/>
        </w:rPr>
        <w:t xml:space="preserve">qualification </w:t>
      </w:r>
      <w:r w:rsidRPr="00FC717A">
        <w:rPr>
          <w:rFonts w:ascii="Calibri" w:eastAsia="SimSun" w:hAnsi="Calibri" w:cs="Calibri"/>
          <w:color w:val="494641" w:themeColor="text2" w:themeShade="BF"/>
          <w:sz w:val="21"/>
          <w:szCs w:val="21"/>
        </w:rPr>
        <w:t>documentation, including CVs</w:t>
      </w:r>
      <w:r w:rsidR="004F04BC" w:rsidRPr="00FC717A">
        <w:rPr>
          <w:rFonts w:ascii="Calibri" w:eastAsia="SimSun" w:hAnsi="Calibri" w:cs="Calibri"/>
          <w:color w:val="494641" w:themeColor="text2" w:themeShade="BF"/>
          <w:sz w:val="21"/>
          <w:szCs w:val="21"/>
        </w:rPr>
        <w:t xml:space="preserve"> and proof of </w:t>
      </w:r>
      <w:r w:rsidR="00081093" w:rsidRPr="00FC717A">
        <w:rPr>
          <w:rFonts w:ascii="Calibri" w:eastAsia="SimSun" w:hAnsi="Calibri" w:cs="Calibri"/>
          <w:color w:val="494641" w:themeColor="text2" w:themeShade="BF"/>
          <w:sz w:val="21"/>
          <w:szCs w:val="21"/>
        </w:rPr>
        <w:t xml:space="preserve">ethics training such as a training completion </w:t>
      </w:r>
      <w:proofErr w:type="gramStart"/>
      <w:r w:rsidR="00081093" w:rsidRPr="00FC717A">
        <w:rPr>
          <w:rFonts w:ascii="Calibri" w:eastAsia="SimSun" w:hAnsi="Calibri" w:cs="Calibri"/>
          <w:color w:val="494641" w:themeColor="text2" w:themeShade="BF"/>
          <w:sz w:val="21"/>
          <w:szCs w:val="21"/>
        </w:rPr>
        <w:t>certificates</w:t>
      </w:r>
      <w:proofErr w:type="gramEnd"/>
    </w:p>
    <w:p w14:paraId="566C26F4" w14:textId="01C235B8" w:rsidR="00F21C82" w:rsidRPr="00FC717A"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Other documentation required/requested by the IRB/EC</w:t>
      </w:r>
    </w:p>
    <w:p w14:paraId="7112CC40" w14:textId="109004D6" w:rsidR="00556436" w:rsidRDefault="00DE43CC" w:rsidP="00D76C78">
      <w:pPr>
        <w:pStyle w:val="BodyTextIndent"/>
        <w:keepLines w:val="0"/>
        <w:numPr>
          <w:ilvl w:val="0"/>
          <w:numId w:val="45"/>
        </w:numPr>
        <w:tabs>
          <w:tab w:val="left" w:pos="1800"/>
        </w:tabs>
        <w:spacing w:after="60" w:line="276" w:lineRule="auto"/>
        <w:ind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Final study report/closure report</w:t>
      </w:r>
    </w:p>
    <w:p w14:paraId="71DFB105" w14:textId="77777777" w:rsidR="00B2413A" w:rsidRPr="00B2413A" w:rsidRDefault="00B2413A" w:rsidP="00D76C78">
      <w:pPr>
        <w:pStyle w:val="BodyTextIndent"/>
        <w:keepLines w:val="0"/>
        <w:tabs>
          <w:tab w:val="left" w:pos="1800"/>
        </w:tabs>
        <w:spacing w:after="60" w:line="276" w:lineRule="auto"/>
        <w:ind w:left="0" w:right="116"/>
        <w:rPr>
          <w:rFonts w:ascii="Calibri" w:eastAsia="SimSun" w:hAnsi="Calibri" w:cs="Calibri"/>
          <w:color w:val="494641" w:themeColor="text2" w:themeShade="BF"/>
          <w:sz w:val="21"/>
          <w:szCs w:val="21"/>
        </w:rPr>
      </w:pPr>
    </w:p>
    <w:p w14:paraId="661A6A62" w14:textId="1E7020F3" w:rsidR="00B42DFD" w:rsidRPr="006F1426" w:rsidRDefault="00B42DFD"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10" w:name="_Toc142048250"/>
      <w:r w:rsidRPr="006F1426">
        <w:rPr>
          <w:rFonts w:ascii="Poppins SemiBold" w:hAnsi="Poppins SemiBold" w:cs="Poppins SemiBold"/>
          <w:bCs/>
          <w:color w:val="29676B" w:themeColor="accent1"/>
          <w:sz w:val="21"/>
          <w:szCs w:val="21"/>
        </w:rPr>
        <w:t>Essential Document Files</w:t>
      </w:r>
      <w:bookmarkEnd w:id="10"/>
    </w:p>
    <w:p w14:paraId="0E72AB7F" w14:textId="68F8CA6A" w:rsidR="00513C4F" w:rsidRPr="00FC717A" w:rsidRDefault="003B00FB" w:rsidP="00D76C78">
      <w:pPr>
        <w:pStyle w:val="BodyTextIndent"/>
        <w:tabs>
          <w:tab w:val="left" w:pos="1800"/>
        </w:tabs>
        <w:spacing w:line="276" w:lineRule="auto"/>
        <w:ind w:left="0"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w:t>
      </w:r>
      <w:r w:rsidRPr="00FC717A">
        <w:rPr>
          <w:rFonts w:ascii="Calibri" w:eastAsia="SimSun" w:hAnsi="Calibri" w:cs="Calibri"/>
          <w:i/>
          <w:iCs/>
          <w:color w:val="494641" w:themeColor="text2" w:themeShade="BF"/>
          <w:sz w:val="21"/>
          <w:szCs w:val="21"/>
        </w:rPr>
        <w:t>Insert project management staff as applicable]</w:t>
      </w:r>
      <w:r w:rsidR="00665FD9" w:rsidRPr="00FC717A">
        <w:rPr>
          <w:rFonts w:ascii="Calibri" w:eastAsia="SimSun" w:hAnsi="Calibri" w:cs="Calibri"/>
          <w:i/>
          <w:iCs/>
          <w:color w:val="494641" w:themeColor="text2" w:themeShade="BF"/>
          <w:sz w:val="21"/>
          <w:szCs w:val="21"/>
        </w:rPr>
        <w:t>,</w:t>
      </w:r>
      <w:r w:rsidR="00665FD9" w:rsidRPr="00FC717A">
        <w:rPr>
          <w:rFonts w:ascii="Calibri" w:eastAsia="SimSun" w:hAnsi="Calibri" w:cs="Calibri"/>
          <w:color w:val="494641" w:themeColor="text2" w:themeShade="BF"/>
          <w:sz w:val="21"/>
          <w:szCs w:val="21"/>
        </w:rPr>
        <w:t xml:space="preserve"> and PrEP clinic staff,</w:t>
      </w:r>
      <w:r w:rsidR="00026ECF" w:rsidRPr="00FC717A">
        <w:rPr>
          <w:rFonts w:ascii="Calibri" w:eastAsia="SimSun" w:hAnsi="Calibri" w:cs="Calibri"/>
          <w:color w:val="494641" w:themeColor="text2" w:themeShade="BF"/>
          <w:sz w:val="21"/>
          <w:szCs w:val="21"/>
        </w:rPr>
        <w:t xml:space="preserve"> are responsible for proper collection, management, storage, quality control, and quality assurance of study-related documentation.</w:t>
      </w:r>
      <w:r w:rsidR="00B00E4C" w:rsidRPr="00FC717A">
        <w:rPr>
          <w:rFonts w:ascii="Calibri" w:eastAsia="SimSun" w:hAnsi="Calibri" w:cs="Calibri"/>
          <w:color w:val="494641" w:themeColor="text2" w:themeShade="BF"/>
          <w:sz w:val="21"/>
          <w:szCs w:val="21"/>
        </w:rPr>
        <w:t xml:space="preserve"> </w:t>
      </w:r>
    </w:p>
    <w:p w14:paraId="5FFC2893" w14:textId="77777777" w:rsidR="00E53B27" w:rsidRPr="00FC717A" w:rsidRDefault="00E53B27" w:rsidP="00D76C78">
      <w:pPr>
        <w:pStyle w:val="BodyTextIndent"/>
        <w:tabs>
          <w:tab w:val="left" w:pos="1800"/>
        </w:tabs>
        <w:spacing w:line="276" w:lineRule="auto"/>
        <w:ind w:left="0" w:right="116"/>
        <w:rPr>
          <w:rFonts w:ascii="Calibri" w:eastAsia="SimSun" w:hAnsi="Calibri" w:cs="Calibri"/>
          <w:color w:val="494641" w:themeColor="text2" w:themeShade="BF"/>
          <w:sz w:val="21"/>
          <w:szCs w:val="21"/>
        </w:rPr>
      </w:pPr>
    </w:p>
    <w:p w14:paraId="1B4A563C" w14:textId="0BBC5A2C" w:rsidR="00D13A50" w:rsidRDefault="006A0A1D" w:rsidP="00D76C78">
      <w:pPr>
        <w:pStyle w:val="BodyTextIndent"/>
        <w:tabs>
          <w:tab w:val="left" w:pos="1800"/>
        </w:tabs>
        <w:spacing w:line="276" w:lineRule="auto"/>
        <w:ind w:left="0" w:right="116"/>
        <w:rPr>
          <w:rFonts w:ascii="Calibri" w:eastAsia="SimSun" w:hAnsi="Calibri" w:cs="Calibri"/>
          <w:color w:val="494641" w:themeColor="text2" w:themeShade="BF"/>
          <w:sz w:val="21"/>
          <w:szCs w:val="21"/>
        </w:rPr>
      </w:pPr>
      <w:r w:rsidRPr="00FC717A">
        <w:rPr>
          <w:rFonts w:ascii="Calibri" w:eastAsia="SimSun" w:hAnsi="Calibri" w:cs="Calibri"/>
          <w:color w:val="494641" w:themeColor="text2" w:themeShade="BF"/>
          <w:sz w:val="21"/>
          <w:szCs w:val="21"/>
        </w:rPr>
        <w:t xml:space="preserve">Table 1 provides </w:t>
      </w:r>
      <w:r w:rsidR="00B42DFD" w:rsidRPr="00FC717A">
        <w:rPr>
          <w:rFonts w:ascii="Calibri" w:eastAsia="SimSun" w:hAnsi="Calibri" w:cs="Calibri"/>
          <w:color w:val="494641" w:themeColor="text2" w:themeShade="BF"/>
          <w:sz w:val="21"/>
          <w:szCs w:val="21"/>
        </w:rPr>
        <w:t>a list of essential documents</w:t>
      </w:r>
      <w:r w:rsidRPr="00FC717A">
        <w:rPr>
          <w:rFonts w:ascii="Calibri" w:eastAsia="SimSun" w:hAnsi="Calibri" w:cs="Calibri"/>
          <w:color w:val="494641" w:themeColor="text2" w:themeShade="BF"/>
          <w:sz w:val="21"/>
          <w:szCs w:val="21"/>
        </w:rPr>
        <w:t xml:space="preserve"> utilized for HIVDR studies</w:t>
      </w:r>
      <w:r w:rsidR="00B42DFD" w:rsidRPr="00FC717A">
        <w:rPr>
          <w:rFonts w:ascii="Calibri" w:eastAsia="SimSun" w:hAnsi="Calibri" w:cs="Calibri"/>
          <w:color w:val="494641" w:themeColor="text2" w:themeShade="BF"/>
          <w:sz w:val="21"/>
          <w:szCs w:val="21"/>
        </w:rPr>
        <w:t>.</w:t>
      </w:r>
      <w:r w:rsidRPr="00FC717A">
        <w:rPr>
          <w:rFonts w:ascii="Calibri" w:eastAsia="SimSun" w:hAnsi="Calibri" w:cs="Calibri"/>
          <w:color w:val="494641" w:themeColor="text2" w:themeShade="BF"/>
          <w:sz w:val="21"/>
          <w:szCs w:val="21"/>
        </w:rPr>
        <w:t xml:space="preserve"> The </w:t>
      </w:r>
      <w:r w:rsidR="00B42DFD" w:rsidRPr="00FC717A">
        <w:rPr>
          <w:rFonts w:ascii="Calibri" w:eastAsia="SimSun" w:hAnsi="Calibri" w:cs="Calibri"/>
          <w:color w:val="494641" w:themeColor="text2" w:themeShade="BF"/>
          <w:sz w:val="21"/>
          <w:szCs w:val="21"/>
        </w:rPr>
        <w:t xml:space="preserve">description of these documents is </w:t>
      </w:r>
      <w:r w:rsidR="00702EB2" w:rsidRPr="00FC717A">
        <w:rPr>
          <w:rFonts w:ascii="Calibri" w:eastAsia="SimSun" w:hAnsi="Calibri" w:cs="Calibri"/>
          <w:color w:val="494641" w:themeColor="text2" w:themeShade="BF"/>
          <w:sz w:val="21"/>
          <w:szCs w:val="21"/>
        </w:rPr>
        <w:t>provided</w:t>
      </w:r>
      <w:r w:rsidR="00B42DFD" w:rsidRPr="00FC717A">
        <w:rPr>
          <w:rFonts w:ascii="Calibri" w:eastAsia="SimSun" w:hAnsi="Calibri" w:cs="Calibri"/>
          <w:color w:val="494641" w:themeColor="text2" w:themeShade="BF"/>
          <w:sz w:val="21"/>
          <w:szCs w:val="21"/>
        </w:rPr>
        <w:t xml:space="preserve"> with a recommended location where they should be filed during the conduct of </w:t>
      </w:r>
      <w:r w:rsidRPr="00FC717A">
        <w:rPr>
          <w:rFonts w:ascii="Calibri" w:eastAsia="SimSun" w:hAnsi="Calibri" w:cs="Calibri"/>
          <w:color w:val="494641" w:themeColor="text2" w:themeShade="BF"/>
          <w:sz w:val="21"/>
          <w:szCs w:val="21"/>
        </w:rPr>
        <w:t>these studies</w:t>
      </w:r>
      <w:r w:rsidR="00B42DFD" w:rsidRPr="00FC717A">
        <w:rPr>
          <w:rFonts w:ascii="Calibri" w:eastAsia="SimSun" w:hAnsi="Calibri" w:cs="Calibri"/>
          <w:color w:val="494641" w:themeColor="text2" w:themeShade="BF"/>
          <w:sz w:val="21"/>
          <w:szCs w:val="21"/>
        </w:rPr>
        <w:t>.</w:t>
      </w:r>
    </w:p>
    <w:p w14:paraId="391EAEF9" w14:textId="77777777" w:rsidR="00B2413A" w:rsidRPr="00B2413A" w:rsidRDefault="00B2413A" w:rsidP="00D76C78">
      <w:pPr>
        <w:pStyle w:val="BodyTextIndent"/>
        <w:tabs>
          <w:tab w:val="left" w:pos="1800"/>
        </w:tabs>
        <w:spacing w:line="276" w:lineRule="auto"/>
        <w:ind w:left="0" w:right="116"/>
        <w:rPr>
          <w:rFonts w:ascii="Calibri" w:eastAsia="SimSun" w:hAnsi="Calibri" w:cs="Calibri"/>
          <w:color w:val="494641" w:themeColor="text2" w:themeShade="BF"/>
          <w:sz w:val="21"/>
          <w:szCs w:val="21"/>
        </w:rPr>
      </w:pPr>
    </w:p>
    <w:p w14:paraId="1826519E"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0F3C9CE2"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7EE8C1D7"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284109D5"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7503FB3F"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5A8C59A0"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0B610231"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766F68EB"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793C9A48"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4D839872" w14:textId="77777777" w:rsidR="00FD211D" w:rsidRDefault="00FD211D"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p>
    <w:p w14:paraId="103993F8" w14:textId="24F7B265" w:rsidR="00B42DFD" w:rsidRPr="0070637B" w:rsidRDefault="00D13A50" w:rsidP="00D76C78">
      <w:pPr>
        <w:pStyle w:val="BodyTextIndent"/>
        <w:tabs>
          <w:tab w:val="left" w:pos="1800"/>
        </w:tabs>
        <w:spacing w:after="120"/>
        <w:ind w:left="0" w:right="116"/>
        <w:rPr>
          <w:rFonts w:ascii="Calibri" w:eastAsia="SimSun" w:hAnsi="Calibri" w:cs="Calibri"/>
          <w:b/>
          <w:bCs/>
          <w:i/>
          <w:iCs/>
          <w:color w:val="29676B" w:themeColor="accent1"/>
          <w:sz w:val="21"/>
          <w:szCs w:val="21"/>
        </w:rPr>
      </w:pPr>
      <w:r w:rsidRPr="0070637B">
        <w:rPr>
          <w:rFonts w:ascii="Calibri" w:eastAsia="SimSun" w:hAnsi="Calibri" w:cs="Calibri"/>
          <w:b/>
          <w:bCs/>
          <w:i/>
          <w:iCs/>
          <w:color w:val="29676B" w:themeColor="accent1"/>
          <w:sz w:val="21"/>
          <w:szCs w:val="21"/>
        </w:rPr>
        <w:lastRenderedPageBreak/>
        <w:t>Table 1</w:t>
      </w:r>
      <w:r w:rsidR="0070637B" w:rsidRPr="0070637B">
        <w:rPr>
          <w:rFonts w:ascii="Calibri" w:eastAsia="SimSun" w:hAnsi="Calibri" w:cs="Calibri"/>
          <w:b/>
          <w:bCs/>
          <w:i/>
          <w:iCs/>
          <w:color w:val="29676B" w:themeColor="accent1"/>
          <w:sz w:val="21"/>
          <w:szCs w:val="21"/>
        </w:rPr>
        <w:t xml:space="preserve">. </w:t>
      </w:r>
      <w:r w:rsidRPr="0070637B">
        <w:rPr>
          <w:rFonts w:ascii="Calibri" w:eastAsia="SimSun" w:hAnsi="Calibri" w:cs="Calibri"/>
          <w:b/>
          <w:bCs/>
          <w:i/>
          <w:iCs/>
          <w:color w:val="29676B" w:themeColor="accent1"/>
          <w:sz w:val="21"/>
          <w:szCs w:val="21"/>
        </w:rPr>
        <w:t>Essential Files and Location</w:t>
      </w:r>
    </w:p>
    <w:tbl>
      <w:tblPr>
        <w:tblStyle w:val="GridTable4-Accent1"/>
        <w:tblW w:w="0" w:type="auto"/>
        <w:tblBorders>
          <w:top w:val="single" w:sz="4" w:space="0" w:color="CAE8EB" w:themeColor="accent1" w:themeTint="33"/>
          <w:left w:val="single" w:sz="4" w:space="0" w:color="CAE8EB" w:themeColor="accent1" w:themeTint="33"/>
          <w:bottom w:val="single" w:sz="4" w:space="0" w:color="CAE8EB" w:themeColor="accent1" w:themeTint="33"/>
          <w:right w:val="single" w:sz="4" w:space="0" w:color="CAE8EB" w:themeColor="accent1" w:themeTint="33"/>
          <w:insideH w:val="single" w:sz="4" w:space="0" w:color="CAE8EB" w:themeColor="accent1" w:themeTint="33"/>
          <w:insideV w:val="single" w:sz="4" w:space="0" w:color="CAE8EB" w:themeColor="accent1" w:themeTint="33"/>
        </w:tblBorders>
        <w:tblCellMar>
          <w:top w:w="72" w:type="dxa"/>
          <w:bottom w:w="72" w:type="dxa"/>
        </w:tblCellMar>
        <w:tblLook w:val="04A0" w:firstRow="1" w:lastRow="0" w:firstColumn="1" w:lastColumn="0" w:noHBand="0" w:noVBand="1"/>
      </w:tblPr>
      <w:tblGrid>
        <w:gridCol w:w="3005"/>
        <w:gridCol w:w="3005"/>
        <w:gridCol w:w="3006"/>
      </w:tblGrid>
      <w:tr w:rsidR="002702BF" w:rsidRPr="00AB7CF3" w14:paraId="2A4EFD68" w14:textId="77777777" w:rsidTr="00FD21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372E2EBA" w14:textId="18665A8A" w:rsidR="002702BF" w:rsidRPr="0070637B" w:rsidRDefault="002702BF" w:rsidP="00D76C78">
            <w:pPr>
              <w:pStyle w:val="BodyTextIndent"/>
              <w:keepLines w:val="0"/>
              <w:tabs>
                <w:tab w:val="left" w:pos="1800"/>
              </w:tabs>
              <w:spacing w:line="276" w:lineRule="auto"/>
              <w:ind w:left="0" w:right="116"/>
              <w:rPr>
                <w:rFonts w:ascii="Calibri" w:eastAsia="SimSun" w:hAnsi="Calibri" w:cs="Calibri"/>
                <w:sz w:val="21"/>
                <w:szCs w:val="21"/>
              </w:rPr>
            </w:pPr>
            <w:r w:rsidRPr="0070637B">
              <w:rPr>
                <w:rFonts w:ascii="Calibri" w:eastAsia="SimSun" w:hAnsi="Calibri" w:cs="Calibri"/>
                <w:sz w:val="21"/>
                <w:szCs w:val="21"/>
              </w:rPr>
              <w:t>Document</w:t>
            </w:r>
          </w:p>
        </w:tc>
        <w:tc>
          <w:tcPr>
            <w:tcW w:w="3005" w:type="dxa"/>
            <w:tcBorders>
              <w:top w:val="none" w:sz="0" w:space="0" w:color="auto"/>
              <w:left w:val="none" w:sz="0" w:space="0" w:color="auto"/>
              <w:bottom w:val="none" w:sz="0" w:space="0" w:color="auto"/>
              <w:right w:val="none" w:sz="0" w:space="0" w:color="auto"/>
            </w:tcBorders>
          </w:tcPr>
          <w:p w14:paraId="01C36047" w14:textId="089C0115" w:rsidR="002702BF" w:rsidRPr="0070637B" w:rsidRDefault="002702BF" w:rsidP="00D76C78">
            <w:pPr>
              <w:pStyle w:val="BodyTextIndent"/>
              <w:keepLines w:val="0"/>
              <w:tabs>
                <w:tab w:val="left" w:pos="1800"/>
              </w:tabs>
              <w:spacing w:line="276" w:lineRule="auto"/>
              <w:ind w:left="0" w:right="116"/>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1"/>
                <w:szCs w:val="21"/>
              </w:rPr>
            </w:pPr>
            <w:r w:rsidRPr="0070637B">
              <w:rPr>
                <w:rFonts w:ascii="Calibri" w:eastAsia="SimSun" w:hAnsi="Calibri" w:cs="Calibri"/>
                <w:sz w:val="21"/>
                <w:szCs w:val="21"/>
              </w:rPr>
              <w:t>Description</w:t>
            </w:r>
          </w:p>
        </w:tc>
        <w:tc>
          <w:tcPr>
            <w:tcW w:w="3006" w:type="dxa"/>
            <w:tcBorders>
              <w:top w:val="none" w:sz="0" w:space="0" w:color="auto"/>
              <w:left w:val="none" w:sz="0" w:space="0" w:color="auto"/>
              <w:bottom w:val="none" w:sz="0" w:space="0" w:color="auto"/>
              <w:right w:val="none" w:sz="0" w:space="0" w:color="auto"/>
            </w:tcBorders>
          </w:tcPr>
          <w:p w14:paraId="3F513AF1" w14:textId="6D0A3EDB" w:rsidR="002702BF" w:rsidRPr="0070637B" w:rsidRDefault="002702BF" w:rsidP="00D76C78">
            <w:pPr>
              <w:pStyle w:val="BodyTextIndent"/>
              <w:keepLines w:val="0"/>
              <w:tabs>
                <w:tab w:val="left" w:pos="1800"/>
              </w:tabs>
              <w:spacing w:line="276" w:lineRule="auto"/>
              <w:ind w:left="0" w:right="116"/>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1"/>
                <w:szCs w:val="21"/>
              </w:rPr>
            </w:pPr>
            <w:r w:rsidRPr="0070637B">
              <w:rPr>
                <w:rFonts w:ascii="Calibri" w:eastAsia="SimSun" w:hAnsi="Calibri" w:cs="Calibri"/>
                <w:sz w:val="21"/>
                <w:szCs w:val="21"/>
              </w:rPr>
              <w:t>Suggested Location</w:t>
            </w:r>
          </w:p>
        </w:tc>
      </w:tr>
      <w:tr w:rsidR="000551C8" w:rsidRPr="00AB7CF3" w14:paraId="061FC8A1" w14:textId="77777777" w:rsidTr="0070637B">
        <w:trPr>
          <w:cnfStyle w:val="000000100000" w:firstRow="0" w:lastRow="0" w:firstColumn="0" w:lastColumn="0" w:oddVBand="0" w:evenVBand="0" w:oddHBand="1" w:evenHBand="0" w:firstRowFirstColumn="0" w:firstRowLastColumn="0" w:lastRowFirstColumn="0" w:lastRowLastColumn="0"/>
          <w:trHeight w:val="3689"/>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335C3EB2" w14:textId="25221752" w:rsidR="000551C8" w:rsidRPr="0070637B" w:rsidRDefault="000551C8"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Case Report Form (CRF)</w:t>
            </w:r>
          </w:p>
        </w:tc>
        <w:tc>
          <w:tcPr>
            <w:tcW w:w="3005" w:type="dxa"/>
            <w:shd w:val="clear" w:color="auto" w:fill="E6F4F6"/>
          </w:tcPr>
          <w:p w14:paraId="74DE0A2D" w14:textId="1EEE6B93" w:rsidR="000551C8" w:rsidRPr="0070637B" w:rsidRDefault="000551C8"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Paper form completed by site healthcare worker (HCW) for each participant, to capture required protocol information</w:t>
            </w:r>
          </w:p>
        </w:tc>
        <w:tc>
          <w:tcPr>
            <w:tcW w:w="3006" w:type="dxa"/>
            <w:shd w:val="clear" w:color="auto" w:fill="E6F4F6"/>
          </w:tcPr>
          <w:p w14:paraId="0539668C" w14:textId="445681EB" w:rsidR="000551C8" w:rsidRPr="0070637B" w:rsidRDefault="000551C8"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Forms sent with sample shipment.</w:t>
            </w:r>
            <w:r w:rsidRPr="0070637B" w:rsidDel="00303D37">
              <w:rPr>
                <w:rFonts w:ascii="Calibri" w:eastAsia="SimSun" w:hAnsi="Calibri" w:cs="Calibri"/>
                <w:color w:val="494641" w:themeColor="text2" w:themeShade="BF"/>
                <w:sz w:val="21"/>
                <w:szCs w:val="21"/>
              </w:rPr>
              <w:t xml:space="preserve"> </w:t>
            </w:r>
            <w:r w:rsidRPr="0070637B">
              <w:rPr>
                <w:rFonts w:ascii="Calibri" w:eastAsia="SimSun" w:hAnsi="Calibri" w:cs="Calibri"/>
                <w:color w:val="494641" w:themeColor="text2" w:themeShade="BF"/>
                <w:sz w:val="21"/>
                <w:szCs w:val="21"/>
              </w:rPr>
              <w:t xml:space="preserve">Copy is immediately sent to </w:t>
            </w:r>
            <w:r w:rsidR="00E53B27"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w:t>
            </w:r>
            <w:r w:rsidR="00E53B27" w:rsidRPr="0070637B">
              <w:rPr>
                <w:rFonts w:ascii="Calibri" w:eastAsia="SimSun" w:hAnsi="Calibri" w:cs="Calibri"/>
                <w:color w:val="494641" w:themeColor="text2" w:themeShade="BF"/>
                <w:sz w:val="21"/>
                <w:szCs w:val="21"/>
              </w:rPr>
              <w:t>]</w:t>
            </w:r>
            <w:r w:rsidRPr="0070637B">
              <w:rPr>
                <w:rFonts w:ascii="Calibri" w:eastAsia="SimSun" w:hAnsi="Calibri" w:cs="Calibri"/>
                <w:color w:val="494641" w:themeColor="text2" w:themeShade="BF"/>
                <w:sz w:val="21"/>
                <w:szCs w:val="21"/>
              </w:rPr>
              <w:t xml:space="preserve">, CRF data uploaded into central </w:t>
            </w:r>
            <w:r w:rsidR="003E056A" w:rsidRPr="0070637B">
              <w:rPr>
                <w:rFonts w:ascii="Calibri" w:eastAsia="SimSun" w:hAnsi="Calibri" w:cs="Calibri"/>
                <w:color w:val="494641" w:themeColor="text2" w:themeShade="BF"/>
                <w:sz w:val="21"/>
                <w:szCs w:val="21"/>
              </w:rPr>
              <w:t xml:space="preserve">study </w:t>
            </w:r>
            <w:r w:rsidRPr="0070637B">
              <w:rPr>
                <w:rFonts w:ascii="Calibri" w:eastAsia="SimSun" w:hAnsi="Calibri" w:cs="Calibri"/>
                <w:color w:val="494641" w:themeColor="text2" w:themeShade="BF"/>
                <w:sz w:val="21"/>
                <w:szCs w:val="21"/>
              </w:rPr>
              <w:t>database</w:t>
            </w:r>
            <w:r w:rsidR="003E056A" w:rsidRPr="0070637B">
              <w:rPr>
                <w:rFonts w:ascii="Calibri" w:eastAsia="SimSun" w:hAnsi="Calibri" w:cs="Calibri"/>
                <w:color w:val="494641" w:themeColor="text2" w:themeShade="BF"/>
                <w:sz w:val="21"/>
                <w:szCs w:val="21"/>
              </w:rPr>
              <w:t xml:space="preserve"> by </w:t>
            </w:r>
            <w:r w:rsidR="001145EA" w:rsidRPr="0070637B">
              <w:rPr>
                <w:rFonts w:ascii="Calibri" w:eastAsia="SimSun" w:hAnsi="Calibri" w:cs="Calibri"/>
                <w:color w:val="494641" w:themeColor="text2" w:themeShade="BF"/>
                <w:sz w:val="21"/>
                <w:szCs w:val="21"/>
              </w:rPr>
              <w:t>[</w:t>
            </w:r>
            <w:r w:rsidR="00967C5A" w:rsidRPr="0070637B">
              <w:rPr>
                <w:rFonts w:ascii="Calibri" w:eastAsia="SimSun" w:hAnsi="Calibri" w:cs="Calibri"/>
                <w:i/>
                <w:iCs/>
                <w:color w:val="494641" w:themeColor="text2" w:themeShade="BF"/>
                <w:sz w:val="21"/>
                <w:szCs w:val="21"/>
              </w:rPr>
              <w:t>country project manager</w:t>
            </w:r>
            <w:r w:rsidR="00CC4D95" w:rsidRPr="0070637B">
              <w:rPr>
                <w:rFonts w:ascii="Calibri" w:eastAsia="SimSun" w:hAnsi="Calibri" w:cs="Calibri"/>
                <w:color w:val="494641" w:themeColor="text2" w:themeShade="BF"/>
                <w:sz w:val="21"/>
                <w:szCs w:val="21"/>
              </w:rPr>
              <w:t>]</w:t>
            </w:r>
            <w:r w:rsidRPr="0070637B">
              <w:rPr>
                <w:rFonts w:ascii="Calibri" w:eastAsia="SimSun" w:hAnsi="Calibri" w:cs="Calibri"/>
                <w:color w:val="494641" w:themeColor="text2" w:themeShade="BF"/>
                <w:sz w:val="21"/>
                <w:szCs w:val="21"/>
              </w:rPr>
              <w:t xml:space="preserve">. Original forms sent to </w:t>
            </w:r>
            <w:r w:rsidR="00E53B27" w:rsidRPr="0070637B">
              <w:rPr>
                <w:rFonts w:ascii="Calibri" w:eastAsia="SimSun" w:hAnsi="Calibri" w:cs="Calibri"/>
                <w:color w:val="494641" w:themeColor="text2" w:themeShade="BF"/>
                <w:sz w:val="21"/>
                <w:szCs w:val="21"/>
              </w:rPr>
              <w:t>[</w:t>
            </w:r>
            <w:r w:rsidR="00154EBE" w:rsidRPr="0070637B">
              <w:rPr>
                <w:rFonts w:ascii="Calibri" w:eastAsia="SimSun" w:hAnsi="Calibri" w:cs="Calibri"/>
                <w:i/>
                <w:iCs/>
                <w:color w:val="494641" w:themeColor="text2" w:themeShade="BF"/>
                <w:sz w:val="21"/>
                <w:szCs w:val="21"/>
              </w:rPr>
              <w:t xml:space="preserve">country </w:t>
            </w:r>
            <w:r w:rsidRPr="0070637B">
              <w:rPr>
                <w:rFonts w:ascii="Calibri" w:eastAsia="SimSun" w:hAnsi="Calibri" w:cs="Calibri"/>
                <w:i/>
                <w:iCs/>
                <w:color w:val="494641" w:themeColor="text2" w:themeShade="BF"/>
                <w:sz w:val="21"/>
                <w:szCs w:val="21"/>
              </w:rPr>
              <w:t>project manager</w:t>
            </w:r>
            <w:r w:rsidR="006B6043" w:rsidRPr="0070637B">
              <w:rPr>
                <w:rFonts w:ascii="Calibri" w:eastAsia="SimSun" w:hAnsi="Calibri" w:cs="Calibri"/>
                <w:i/>
                <w:iCs/>
                <w:color w:val="494641" w:themeColor="text2" w:themeShade="BF"/>
                <w:sz w:val="21"/>
                <w:szCs w:val="21"/>
              </w:rPr>
              <w:t>s</w:t>
            </w:r>
            <w:r w:rsidR="00E53B27" w:rsidRPr="0070637B">
              <w:rPr>
                <w:rFonts w:ascii="Calibri" w:eastAsia="SimSun" w:hAnsi="Calibri" w:cs="Calibri"/>
                <w:color w:val="494641" w:themeColor="text2" w:themeShade="BF"/>
                <w:sz w:val="21"/>
                <w:szCs w:val="21"/>
              </w:rPr>
              <w:t>]</w:t>
            </w:r>
            <w:r w:rsidRPr="0070637B">
              <w:rPr>
                <w:rFonts w:ascii="Calibri" w:eastAsia="SimSun" w:hAnsi="Calibri" w:cs="Calibri"/>
                <w:color w:val="494641" w:themeColor="text2" w:themeShade="BF"/>
                <w:sz w:val="21"/>
                <w:szCs w:val="21"/>
              </w:rPr>
              <w:t xml:space="preserve"> at periodic intervals.</w:t>
            </w:r>
          </w:p>
        </w:tc>
      </w:tr>
      <w:tr w:rsidR="0070637B" w:rsidRPr="00AB7CF3" w14:paraId="707BAC63" w14:textId="77777777" w:rsidTr="0070637B">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4034B797" w14:textId="218A79BB"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Laboratory Requisition Form (LRF)</w:t>
            </w:r>
          </w:p>
        </w:tc>
        <w:tc>
          <w:tcPr>
            <w:tcW w:w="3005" w:type="dxa"/>
            <w:shd w:val="clear" w:color="auto" w:fill="FFFFFF" w:themeFill="background1"/>
          </w:tcPr>
          <w:p w14:paraId="417402E2" w14:textId="586CB201"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Paper form completed by site healthcare worker (HCW) and receiving laboratory for each participant</w:t>
            </w:r>
          </w:p>
        </w:tc>
        <w:tc>
          <w:tcPr>
            <w:tcW w:w="3006" w:type="dxa"/>
            <w:shd w:val="clear" w:color="auto" w:fill="FFFFFF" w:themeFill="background1"/>
          </w:tcPr>
          <w:p w14:paraId="1A9F6894" w14:textId="77777777"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p>
        </w:tc>
      </w:tr>
      <w:tr w:rsidR="0070637B" w:rsidRPr="00AB7CF3" w14:paraId="69CDA36C" w14:textId="77777777" w:rsidTr="0070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0C606BB5" w14:textId="57B93E59"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Communications</w:t>
            </w:r>
          </w:p>
        </w:tc>
        <w:tc>
          <w:tcPr>
            <w:tcW w:w="3005" w:type="dxa"/>
            <w:shd w:val="clear" w:color="auto" w:fill="E6F4F6"/>
          </w:tcPr>
          <w:p w14:paraId="6A10C077" w14:textId="76AF70E6"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Relevant correspondence, including meeting notes, memos, and notes to file</w:t>
            </w:r>
          </w:p>
        </w:tc>
        <w:tc>
          <w:tcPr>
            <w:tcW w:w="3006" w:type="dxa"/>
            <w:shd w:val="clear" w:color="auto" w:fill="E6F4F6"/>
          </w:tcPr>
          <w:p w14:paraId="1FB47A89" w14:textId="5CAE910B"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 and headquarters staff, as applicable</w:t>
            </w:r>
            <w:r w:rsidRPr="0070637B">
              <w:rPr>
                <w:rFonts w:ascii="Calibri" w:eastAsia="SimSun" w:hAnsi="Calibri" w:cs="Calibri"/>
                <w:color w:val="494641" w:themeColor="text2" w:themeShade="BF"/>
                <w:sz w:val="21"/>
                <w:szCs w:val="21"/>
              </w:rPr>
              <w:t>]</w:t>
            </w:r>
          </w:p>
        </w:tc>
      </w:tr>
      <w:tr w:rsidR="0070637B" w:rsidRPr="00AB7CF3" w14:paraId="4ED15513" w14:textId="77777777" w:rsidTr="0070637B">
        <w:tc>
          <w:tcPr>
            <w:cnfStyle w:val="001000000000" w:firstRow="0" w:lastRow="0" w:firstColumn="1" w:lastColumn="0" w:oddVBand="0" w:evenVBand="0" w:oddHBand="0" w:evenHBand="0" w:firstRowFirstColumn="0" w:firstRowLastColumn="0" w:lastRowFirstColumn="0" w:lastRowLastColumn="0"/>
            <w:tcW w:w="3005" w:type="dxa"/>
          </w:tcPr>
          <w:p w14:paraId="7A7158A2" w14:textId="4915760C"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Informed Consent Form (ICF)</w:t>
            </w:r>
          </w:p>
        </w:tc>
        <w:tc>
          <w:tcPr>
            <w:tcW w:w="3005" w:type="dxa"/>
          </w:tcPr>
          <w:p w14:paraId="6962311D" w14:textId="51D88134"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ICF provides description of study to potential participants</w:t>
            </w:r>
          </w:p>
        </w:tc>
        <w:tc>
          <w:tcPr>
            <w:tcW w:w="3006" w:type="dxa"/>
          </w:tcPr>
          <w:p w14:paraId="770325E2" w14:textId="2F1DB6D6"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Participant chart*</w:t>
            </w:r>
          </w:p>
        </w:tc>
      </w:tr>
      <w:tr w:rsidR="0070637B" w:rsidRPr="00AB7CF3" w14:paraId="6A788513" w14:textId="77777777" w:rsidTr="0070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4EBCC3EE" w14:textId="427D7B81"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Investigator qualification, such as CVs and GCP/HSP certification</w:t>
            </w:r>
          </w:p>
        </w:tc>
        <w:tc>
          <w:tcPr>
            <w:tcW w:w="3005" w:type="dxa"/>
            <w:shd w:val="clear" w:color="auto" w:fill="E6F4F6"/>
          </w:tcPr>
          <w:p w14:paraId="3AB55083" w14:textId="4836CC19"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Documents for investigators listed in protocols, to demonstrate qualifications to conduct the study</w:t>
            </w:r>
          </w:p>
        </w:tc>
        <w:tc>
          <w:tcPr>
            <w:tcW w:w="3006" w:type="dxa"/>
            <w:shd w:val="clear" w:color="auto" w:fill="E6F4F6"/>
          </w:tcPr>
          <w:p w14:paraId="58DE7D44" w14:textId="62D5AD88"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w:t>
            </w:r>
            <w:r w:rsidRPr="0070637B">
              <w:rPr>
                <w:rFonts w:ascii="Calibri" w:eastAsia="SimSun" w:hAnsi="Calibri" w:cs="Calibri"/>
                <w:color w:val="494641" w:themeColor="text2" w:themeShade="BF"/>
                <w:sz w:val="21"/>
                <w:szCs w:val="21"/>
              </w:rPr>
              <w:t>]</w:t>
            </w:r>
          </w:p>
        </w:tc>
      </w:tr>
      <w:tr w:rsidR="0070637B" w:rsidRPr="00AB7CF3" w14:paraId="0F3F36CB" w14:textId="77777777" w:rsidTr="0070637B">
        <w:tc>
          <w:tcPr>
            <w:cnfStyle w:val="001000000000" w:firstRow="0" w:lastRow="0" w:firstColumn="1" w:lastColumn="0" w:oddVBand="0" w:evenVBand="0" w:oddHBand="0" w:evenHBand="0" w:firstRowFirstColumn="0" w:firstRowLastColumn="0" w:lastRowFirstColumn="0" w:lastRowLastColumn="0"/>
            <w:tcW w:w="3005" w:type="dxa"/>
          </w:tcPr>
          <w:p w14:paraId="2E82C274" w14:textId="77777777"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 xml:space="preserve">IRB/EC approvals and correspondence, including protocol deviation </w:t>
            </w:r>
            <w:proofErr w:type="gramStart"/>
            <w:r w:rsidRPr="0070637B">
              <w:rPr>
                <w:rFonts w:ascii="Calibri" w:eastAsia="SimSun" w:hAnsi="Calibri" w:cs="Calibri"/>
                <w:color w:val="494641" w:themeColor="text2" w:themeShade="BF"/>
                <w:sz w:val="21"/>
                <w:szCs w:val="21"/>
              </w:rPr>
              <w:t>tracking</w:t>
            </w:r>
            <w:proofErr w:type="gramEnd"/>
          </w:p>
          <w:p w14:paraId="4FB98B0D" w14:textId="02310B14"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p>
        </w:tc>
        <w:tc>
          <w:tcPr>
            <w:tcW w:w="3005" w:type="dxa"/>
          </w:tcPr>
          <w:p w14:paraId="1C1840B3" w14:textId="0E14998F"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Copies of all materials submitted to and approved by the IRB/EC</w:t>
            </w:r>
          </w:p>
        </w:tc>
        <w:tc>
          <w:tcPr>
            <w:tcW w:w="3006" w:type="dxa"/>
          </w:tcPr>
          <w:p w14:paraId="6976D7BC" w14:textId="1BFCA321"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w:t>
            </w:r>
            <w:r w:rsidRPr="0070637B">
              <w:rPr>
                <w:rFonts w:ascii="Calibri" w:eastAsia="SimSun" w:hAnsi="Calibri" w:cs="Calibri"/>
                <w:color w:val="494641" w:themeColor="text2" w:themeShade="BF"/>
                <w:sz w:val="21"/>
                <w:szCs w:val="21"/>
              </w:rPr>
              <w:t>]</w:t>
            </w:r>
          </w:p>
        </w:tc>
      </w:tr>
      <w:tr w:rsidR="0070637B" w:rsidRPr="00AB7CF3" w14:paraId="72A692E9" w14:textId="77777777" w:rsidTr="0070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0725C804" w14:textId="52840E35"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Laboratory documents, including certifications and accreditations</w:t>
            </w:r>
          </w:p>
        </w:tc>
        <w:tc>
          <w:tcPr>
            <w:tcW w:w="3005" w:type="dxa"/>
            <w:shd w:val="clear" w:color="auto" w:fill="E6F4F6"/>
          </w:tcPr>
          <w:p w14:paraId="4F76F2C1" w14:textId="1D99A23B"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Documentation that demonstrated ability of laboratories to perform HIVDR and drug level tests</w:t>
            </w:r>
          </w:p>
        </w:tc>
        <w:tc>
          <w:tcPr>
            <w:tcW w:w="3006" w:type="dxa"/>
            <w:shd w:val="clear" w:color="auto" w:fill="E6F4F6"/>
          </w:tcPr>
          <w:p w14:paraId="214BC3E3" w14:textId="4ADAD244"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Laboratory file</w:t>
            </w:r>
          </w:p>
        </w:tc>
      </w:tr>
      <w:tr w:rsidR="0070637B" w:rsidRPr="00AB7CF3" w14:paraId="7A07D8C5" w14:textId="77777777" w:rsidTr="0070637B">
        <w:tc>
          <w:tcPr>
            <w:cnfStyle w:val="001000000000" w:firstRow="0" w:lastRow="0" w:firstColumn="1" w:lastColumn="0" w:oddVBand="0" w:evenVBand="0" w:oddHBand="0" w:evenHBand="0" w:firstRowFirstColumn="0" w:firstRowLastColumn="0" w:lastRowFirstColumn="0" w:lastRowLastColumn="0"/>
            <w:tcW w:w="3005" w:type="dxa"/>
          </w:tcPr>
          <w:p w14:paraId="7B5EDE5D" w14:textId="39CBC5C1"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Participant ID code listing</w:t>
            </w:r>
          </w:p>
        </w:tc>
        <w:tc>
          <w:tcPr>
            <w:tcW w:w="3005" w:type="dxa"/>
          </w:tcPr>
          <w:p w14:paraId="0185A161" w14:textId="20DE8EE0"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A secure, confidential listing that allows site HCW to verify participant identity</w:t>
            </w:r>
          </w:p>
        </w:tc>
        <w:tc>
          <w:tcPr>
            <w:tcW w:w="3006" w:type="dxa"/>
          </w:tcPr>
          <w:p w14:paraId="7E8CC8FF" w14:textId="3F9EE1CB"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Participant chart*</w:t>
            </w:r>
          </w:p>
        </w:tc>
      </w:tr>
      <w:tr w:rsidR="0070637B" w:rsidRPr="00AB7CF3" w14:paraId="36EC3C4F" w14:textId="77777777" w:rsidTr="0070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6BC2F803" w14:textId="7B2D340E"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lastRenderedPageBreak/>
              <w:t>Manual of Procedures</w:t>
            </w:r>
          </w:p>
        </w:tc>
        <w:tc>
          <w:tcPr>
            <w:tcW w:w="3005" w:type="dxa"/>
            <w:shd w:val="clear" w:color="auto" w:fill="E6F4F6"/>
          </w:tcPr>
          <w:p w14:paraId="31B17903" w14:textId="10F37BC2"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Procedural manual that is used across all MOSAIC HIVDR studies; final version 1.0 and any subsequent updates to be filed</w:t>
            </w:r>
          </w:p>
        </w:tc>
        <w:tc>
          <w:tcPr>
            <w:tcW w:w="3006" w:type="dxa"/>
            <w:shd w:val="clear" w:color="auto" w:fill="E6F4F6"/>
          </w:tcPr>
          <w:p w14:paraId="007C2D8D" w14:textId="2569B0A7"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 and headquarters staff, as applicable</w:t>
            </w:r>
            <w:r w:rsidRPr="0070637B">
              <w:rPr>
                <w:rFonts w:ascii="Calibri" w:eastAsia="SimSun" w:hAnsi="Calibri" w:cs="Calibri"/>
                <w:color w:val="494641" w:themeColor="text2" w:themeShade="BF"/>
                <w:sz w:val="21"/>
                <w:szCs w:val="21"/>
              </w:rPr>
              <w:t>]</w:t>
            </w:r>
          </w:p>
        </w:tc>
      </w:tr>
      <w:tr w:rsidR="0070637B" w:rsidRPr="00AB7CF3" w14:paraId="04BC781F" w14:textId="77777777" w:rsidTr="0070637B">
        <w:tc>
          <w:tcPr>
            <w:cnfStyle w:val="001000000000" w:firstRow="0" w:lastRow="0" w:firstColumn="1" w:lastColumn="0" w:oddVBand="0" w:evenVBand="0" w:oddHBand="0" w:evenHBand="0" w:firstRowFirstColumn="0" w:firstRowLastColumn="0" w:lastRowFirstColumn="0" w:lastRowLastColumn="0"/>
            <w:tcW w:w="3005" w:type="dxa"/>
          </w:tcPr>
          <w:p w14:paraId="06981E78" w14:textId="32AF936C"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Site assessment reports</w:t>
            </w:r>
          </w:p>
        </w:tc>
        <w:tc>
          <w:tcPr>
            <w:tcW w:w="3005" w:type="dxa"/>
          </w:tcPr>
          <w:p w14:paraId="14D594FF" w14:textId="62AACB56"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Documentation of site assessment report and findings, conducted by [</w:t>
            </w:r>
            <w:r w:rsidRPr="0070637B">
              <w:rPr>
                <w:rFonts w:ascii="Calibri" w:eastAsia="SimSun" w:hAnsi="Calibri" w:cs="Calibri"/>
                <w:i/>
                <w:iCs/>
                <w:color w:val="494641" w:themeColor="text2" w:themeShade="BF"/>
                <w:sz w:val="21"/>
                <w:szCs w:val="21"/>
              </w:rPr>
              <w:t>country project managers</w:t>
            </w:r>
            <w:r w:rsidRPr="0070637B">
              <w:rPr>
                <w:rFonts w:ascii="Calibri" w:eastAsia="SimSun" w:hAnsi="Calibri" w:cs="Calibri"/>
                <w:color w:val="494641" w:themeColor="text2" w:themeShade="BF"/>
                <w:sz w:val="21"/>
                <w:szCs w:val="21"/>
              </w:rPr>
              <w:t>]</w:t>
            </w:r>
          </w:p>
        </w:tc>
        <w:tc>
          <w:tcPr>
            <w:tcW w:w="3006" w:type="dxa"/>
          </w:tcPr>
          <w:p w14:paraId="60C1C557" w14:textId="4C771731"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w:t>
            </w:r>
            <w:r w:rsidRPr="0070637B">
              <w:rPr>
                <w:rFonts w:ascii="Calibri" w:eastAsia="SimSun" w:hAnsi="Calibri" w:cs="Calibri"/>
                <w:color w:val="494641" w:themeColor="text2" w:themeShade="BF"/>
                <w:sz w:val="21"/>
                <w:szCs w:val="21"/>
              </w:rPr>
              <w:t>]</w:t>
            </w:r>
          </w:p>
        </w:tc>
      </w:tr>
      <w:tr w:rsidR="0070637B" w:rsidRPr="00AB7CF3" w14:paraId="0D1276DA" w14:textId="77777777" w:rsidTr="00706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E6F4F6"/>
          </w:tcPr>
          <w:p w14:paraId="4D58E4C0" w14:textId="245BC707"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Shipping and storage records for samples</w:t>
            </w:r>
          </w:p>
        </w:tc>
        <w:tc>
          <w:tcPr>
            <w:tcW w:w="3005" w:type="dxa"/>
            <w:shd w:val="clear" w:color="auto" w:fill="E6F4F6"/>
          </w:tcPr>
          <w:p w14:paraId="664C6906" w14:textId="1B4643E6"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Documents that record shipping dates and details of specimens shipped to laboratories</w:t>
            </w:r>
          </w:p>
        </w:tc>
        <w:tc>
          <w:tcPr>
            <w:tcW w:w="3006" w:type="dxa"/>
            <w:shd w:val="clear" w:color="auto" w:fill="E6F4F6"/>
          </w:tcPr>
          <w:p w14:paraId="1C65EBC4" w14:textId="010773AB" w:rsidR="0070637B" w:rsidRPr="0070637B" w:rsidRDefault="0070637B" w:rsidP="00D76C78">
            <w:pPr>
              <w:pStyle w:val="BodyTextIndent"/>
              <w:keepLines w:val="0"/>
              <w:tabs>
                <w:tab w:val="left" w:pos="1800"/>
              </w:tabs>
              <w:spacing w:line="276" w:lineRule="auto"/>
              <w:ind w:left="0" w:right="116"/>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Laboratory file</w:t>
            </w:r>
          </w:p>
        </w:tc>
      </w:tr>
      <w:tr w:rsidR="0070637B" w:rsidRPr="00AB7CF3" w14:paraId="25B541A9" w14:textId="77777777" w:rsidTr="0070637B">
        <w:tc>
          <w:tcPr>
            <w:cnfStyle w:val="001000000000" w:firstRow="0" w:lastRow="0" w:firstColumn="1" w:lastColumn="0" w:oddVBand="0" w:evenVBand="0" w:oddHBand="0" w:evenHBand="0" w:firstRowFirstColumn="0" w:firstRowLastColumn="0" w:lastRowFirstColumn="0" w:lastRowLastColumn="0"/>
            <w:tcW w:w="3005" w:type="dxa"/>
          </w:tcPr>
          <w:p w14:paraId="7BB76AF9" w14:textId="1F25A6A2" w:rsidR="0070637B" w:rsidRPr="0070637B" w:rsidRDefault="0070637B" w:rsidP="00D76C78">
            <w:pPr>
              <w:pStyle w:val="BodyTextIndent"/>
              <w:keepLines w:val="0"/>
              <w:tabs>
                <w:tab w:val="left" w:pos="1800"/>
              </w:tabs>
              <w:spacing w:line="276" w:lineRule="auto"/>
              <w:ind w:left="0" w:right="116"/>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Training records</w:t>
            </w:r>
          </w:p>
        </w:tc>
        <w:tc>
          <w:tcPr>
            <w:tcW w:w="3005" w:type="dxa"/>
          </w:tcPr>
          <w:p w14:paraId="468FC566" w14:textId="02765A9D"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Documentation of training completed by site staff and PrEP implementing partners</w:t>
            </w:r>
          </w:p>
        </w:tc>
        <w:tc>
          <w:tcPr>
            <w:tcW w:w="3006" w:type="dxa"/>
          </w:tcPr>
          <w:p w14:paraId="1494A61C" w14:textId="347114BC" w:rsidR="0070637B" w:rsidRPr="0070637B" w:rsidRDefault="0070637B" w:rsidP="00D76C78">
            <w:pPr>
              <w:pStyle w:val="BodyTextIndent"/>
              <w:keepLines w:val="0"/>
              <w:tabs>
                <w:tab w:val="left" w:pos="1800"/>
              </w:tabs>
              <w:spacing w:line="276" w:lineRule="auto"/>
              <w:ind w:left="0" w:right="116"/>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94641" w:themeColor="text2" w:themeShade="BF"/>
                <w:sz w:val="21"/>
                <w:szCs w:val="21"/>
              </w:rPr>
            </w:pPr>
            <w:r w:rsidRPr="0070637B">
              <w:rPr>
                <w:rFonts w:ascii="Calibri" w:eastAsia="SimSun" w:hAnsi="Calibri" w:cs="Calibri"/>
                <w:color w:val="494641" w:themeColor="text2" w:themeShade="BF"/>
                <w:sz w:val="21"/>
                <w:szCs w:val="21"/>
              </w:rPr>
              <w:t>[</w:t>
            </w:r>
            <w:r w:rsidRPr="0070637B">
              <w:rPr>
                <w:rFonts w:ascii="Calibri" w:eastAsia="SimSun" w:hAnsi="Calibri" w:cs="Calibri"/>
                <w:i/>
                <w:iCs/>
                <w:color w:val="494641" w:themeColor="text2" w:themeShade="BF"/>
                <w:sz w:val="21"/>
                <w:szCs w:val="21"/>
              </w:rPr>
              <w:t>Country project managers and headquarters staff, as applicable</w:t>
            </w:r>
            <w:r w:rsidRPr="0070637B">
              <w:rPr>
                <w:rFonts w:ascii="Calibri" w:eastAsia="SimSun" w:hAnsi="Calibri" w:cs="Calibri"/>
                <w:color w:val="494641" w:themeColor="text2" w:themeShade="BF"/>
                <w:sz w:val="21"/>
                <w:szCs w:val="21"/>
              </w:rPr>
              <w:t>]</w:t>
            </w:r>
          </w:p>
        </w:tc>
      </w:tr>
    </w:tbl>
    <w:p w14:paraId="6AB01B7F" w14:textId="107EDFED" w:rsidR="00D13A50" w:rsidRPr="00697C8A" w:rsidRDefault="00983354" w:rsidP="00D76C78">
      <w:pPr>
        <w:pStyle w:val="BodyTextIndent"/>
        <w:keepLines w:val="0"/>
        <w:tabs>
          <w:tab w:val="left" w:pos="1800"/>
        </w:tabs>
        <w:spacing w:before="60" w:line="276" w:lineRule="auto"/>
        <w:ind w:left="0" w:right="116"/>
        <w:rPr>
          <w:rFonts w:ascii="Calibri" w:eastAsia="SimSun" w:hAnsi="Calibri" w:cs="Calibri"/>
          <w:color w:val="494641" w:themeColor="text2" w:themeShade="BF"/>
          <w:sz w:val="18"/>
          <w:szCs w:val="18"/>
        </w:rPr>
      </w:pPr>
      <w:r w:rsidRPr="00697C8A">
        <w:rPr>
          <w:rFonts w:ascii="Calibri" w:eastAsia="SimSun" w:hAnsi="Calibri" w:cs="Calibri"/>
          <w:color w:val="494641" w:themeColor="text2" w:themeShade="BF"/>
          <w:sz w:val="18"/>
          <w:szCs w:val="18"/>
        </w:rPr>
        <w:t>* The participant chart may also be the patient</w:t>
      </w:r>
      <w:r w:rsidR="00E02D9A" w:rsidRPr="00697C8A">
        <w:rPr>
          <w:rFonts w:ascii="Calibri" w:eastAsia="SimSun" w:hAnsi="Calibri" w:cs="Calibri"/>
          <w:color w:val="494641" w:themeColor="text2" w:themeShade="BF"/>
          <w:sz w:val="18"/>
          <w:szCs w:val="18"/>
        </w:rPr>
        <w:t>’s</w:t>
      </w:r>
      <w:r w:rsidRPr="00697C8A">
        <w:rPr>
          <w:rFonts w:ascii="Calibri" w:eastAsia="SimSun" w:hAnsi="Calibri" w:cs="Calibri"/>
          <w:color w:val="494641" w:themeColor="text2" w:themeShade="BF"/>
          <w:sz w:val="18"/>
          <w:szCs w:val="18"/>
        </w:rPr>
        <w:t xml:space="preserve"> PrEP file. If electronic files are utilized, then the facility should also file participant-related paper documentation (such as the signed informed consent form) in a separate folder</w:t>
      </w:r>
      <w:r w:rsidR="00FD1300" w:rsidRPr="00697C8A">
        <w:rPr>
          <w:rFonts w:ascii="Calibri" w:eastAsia="SimSun" w:hAnsi="Calibri" w:cs="Calibri"/>
          <w:color w:val="494641" w:themeColor="text2" w:themeShade="BF"/>
          <w:sz w:val="18"/>
          <w:szCs w:val="18"/>
        </w:rPr>
        <w:t xml:space="preserve"> or binder</w:t>
      </w:r>
      <w:r w:rsidRPr="00697C8A">
        <w:rPr>
          <w:rFonts w:ascii="Calibri" w:eastAsia="SimSun" w:hAnsi="Calibri" w:cs="Calibri"/>
          <w:color w:val="494641" w:themeColor="text2" w:themeShade="BF"/>
          <w:sz w:val="18"/>
          <w:szCs w:val="18"/>
        </w:rPr>
        <w:t xml:space="preserve"> that is stored in a locked cabinet or locked room.</w:t>
      </w:r>
    </w:p>
    <w:p w14:paraId="524FFE1A" w14:textId="77777777" w:rsidR="00B42DFD" w:rsidRPr="00AB7CF3" w:rsidRDefault="00B42DFD" w:rsidP="00D76C78">
      <w:pPr>
        <w:pStyle w:val="BodyTextIndent"/>
        <w:keepLines w:val="0"/>
        <w:tabs>
          <w:tab w:val="left" w:pos="1800"/>
        </w:tabs>
        <w:spacing w:line="276" w:lineRule="auto"/>
        <w:ind w:right="116"/>
        <w:rPr>
          <w:rFonts w:ascii="Arial" w:eastAsia="SimSun" w:hAnsi="Arial" w:cs="Arial"/>
          <w:sz w:val="21"/>
          <w:szCs w:val="21"/>
        </w:rPr>
      </w:pPr>
    </w:p>
    <w:p w14:paraId="2020881E" w14:textId="127274E3" w:rsidR="00556436" w:rsidRPr="001E74A1" w:rsidRDefault="00556436" w:rsidP="00D76C78">
      <w:pPr>
        <w:pStyle w:val="Heading2"/>
        <w:numPr>
          <w:ilvl w:val="1"/>
          <w:numId w:val="20"/>
        </w:numPr>
        <w:spacing w:after="60" w:line="276" w:lineRule="auto"/>
        <w:ind w:left="432" w:right="116" w:hanging="432"/>
        <w:rPr>
          <w:rFonts w:ascii="Poppins SemiBold" w:hAnsi="Poppins SemiBold" w:cs="Poppins SemiBold"/>
          <w:bCs/>
          <w:color w:val="29676B" w:themeColor="accent1"/>
          <w:sz w:val="21"/>
          <w:szCs w:val="21"/>
        </w:rPr>
      </w:pPr>
      <w:bookmarkStart w:id="11" w:name="_Toc142048251"/>
      <w:r w:rsidRPr="001E74A1">
        <w:rPr>
          <w:rFonts w:ascii="Poppins SemiBold" w:hAnsi="Poppins SemiBold" w:cs="Poppins SemiBold"/>
          <w:bCs/>
          <w:color w:val="29676B" w:themeColor="accent1"/>
          <w:sz w:val="21"/>
          <w:szCs w:val="21"/>
        </w:rPr>
        <w:t>Communications</w:t>
      </w:r>
      <w:bookmarkEnd w:id="11"/>
    </w:p>
    <w:p w14:paraId="78C319E0" w14:textId="3C428D88" w:rsidR="000951AC" w:rsidRPr="001E74A1" w:rsidRDefault="00636DA3" w:rsidP="00D76C78">
      <w:pPr>
        <w:spacing w:line="276" w:lineRule="auto"/>
        <w:ind w:right="116"/>
        <w:rPr>
          <w:rFonts w:ascii="Calibri" w:hAnsi="Calibri" w:cs="Calibri"/>
          <w:color w:val="494641" w:themeColor="text2" w:themeShade="BF"/>
          <w:sz w:val="21"/>
          <w:szCs w:val="21"/>
        </w:rPr>
      </w:pPr>
      <w:r w:rsidRPr="001E74A1">
        <w:rPr>
          <w:rFonts w:ascii="Calibri" w:hAnsi="Calibri" w:cs="Calibri"/>
          <w:color w:val="494641" w:themeColor="text2" w:themeShade="BF"/>
          <w:sz w:val="21"/>
          <w:szCs w:val="21"/>
        </w:rPr>
        <w:t>Applicable c</w:t>
      </w:r>
      <w:r w:rsidR="009C526D" w:rsidRPr="001E74A1">
        <w:rPr>
          <w:rFonts w:ascii="Calibri" w:hAnsi="Calibri" w:cs="Calibri"/>
          <w:color w:val="494641" w:themeColor="text2" w:themeShade="BF"/>
          <w:sz w:val="21"/>
          <w:szCs w:val="21"/>
        </w:rPr>
        <w:t xml:space="preserve">linic and laboratory staff will communicate directly with the </w:t>
      </w:r>
      <w:r w:rsidR="005507E5" w:rsidRPr="001E74A1">
        <w:rPr>
          <w:rFonts w:ascii="Calibri" w:hAnsi="Calibri" w:cs="Calibri"/>
          <w:color w:val="494641" w:themeColor="text2" w:themeShade="BF"/>
          <w:sz w:val="21"/>
          <w:szCs w:val="21"/>
        </w:rPr>
        <w:t>[</w:t>
      </w:r>
      <w:r w:rsidR="00E84702" w:rsidRPr="001E74A1">
        <w:rPr>
          <w:rFonts w:ascii="Calibri" w:hAnsi="Calibri" w:cs="Calibri"/>
          <w:i/>
          <w:iCs/>
          <w:color w:val="494641" w:themeColor="text2" w:themeShade="BF"/>
          <w:sz w:val="21"/>
          <w:szCs w:val="21"/>
        </w:rPr>
        <w:t>c</w:t>
      </w:r>
      <w:r w:rsidR="009C526D" w:rsidRPr="001E74A1">
        <w:rPr>
          <w:rFonts w:ascii="Calibri" w:hAnsi="Calibri" w:cs="Calibri"/>
          <w:i/>
          <w:iCs/>
          <w:color w:val="494641" w:themeColor="text2" w:themeShade="BF"/>
          <w:sz w:val="21"/>
          <w:szCs w:val="21"/>
        </w:rPr>
        <w:t xml:space="preserve">ountry </w:t>
      </w:r>
      <w:r w:rsidR="00E84702" w:rsidRPr="001E74A1">
        <w:rPr>
          <w:rFonts w:ascii="Calibri" w:hAnsi="Calibri" w:cs="Calibri"/>
          <w:i/>
          <w:iCs/>
          <w:color w:val="494641" w:themeColor="text2" w:themeShade="BF"/>
          <w:sz w:val="21"/>
          <w:szCs w:val="21"/>
        </w:rPr>
        <w:t>p</w:t>
      </w:r>
      <w:r w:rsidR="009C526D" w:rsidRPr="001E74A1">
        <w:rPr>
          <w:rFonts w:ascii="Calibri" w:hAnsi="Calibri" w:cs="Calibri"/>
          <w:i/>
          <w:iCs/>
          <w:color w:val="494641" w:themeColor="text2" w:themeShade="BF"/>
          <w:sz w:val="21"/>
          <w:szCs w:val="21"/>
        </w:rPr>
        <w:t xml:space="preserve">roject </w:t>
      </w:r>
      <w:r w:rsidR="00202FF5" w:rsidRPr="001E74A1">
        <w:rPr>
          <w:rFonts w:ascii="Calibri" w:eastAsia="SimSun" w:hAnsi="Calibri" w:cs="Calibri"/>
          <w:i/>
          <w:iCs/>
          <w:color w:val="494641" w:themeColor="text2" w:themeShade="BF"/>
          <w:sz w:val="21"/>
          <w:szCs w:val="21"/>
        </w:rPr>
        <w:t>managers</w:t>
      </w:r>
      <w:r w:rsidR="005507E5" w:rsidRPr="001E74A1">
        <w:rPr>
          <w:rFonts w:ascii="Calibri" w:eastAsia="SimSun" w:hAnsi="Calibri" w:cs="Calibri"/>
          <w:color w:val="494641" w:themeColor="text2" w:themeShade="BF"/>
          <w:sz w:val="21"/>
          <w:szCs w:val="21"/>
        </w:rPr>
        <w:t>]</w:t>
      </w:r>
      <w:r w:rsidR="00202FF5" w:rsidRPr="001E74A1">
        <w:rPr>
          <w:rFonts w:ascii="Calibri" w:hAnsi="Calibri" w:cs="Calibri"/>
          <w:color w:val="494641" w:themeColor="text2" w:themeShade="BF"/>
          <w:sz w:val="21"/>
          <w:szCs w:val="21"/>
        </w:rPr>
        <w:t xml:space="preserve"> </w:t>
      </w:r>
      <w:r w:rsidR="00CD2FB6" w:rsidRPr="001E74A1">
        <w:rPr>
          <w:rFonts w:ascii="Calibri" w:hAnsi="Calibri" w:cs="Calibri"/>
          <w:color w:val="494641" w:themeColor="text2" w:themeShade="BF"/>
          <w:sz w:val="21"/>
          <w:szCs w:val="21"/>
        </w:rPr>
        <w:t>or through a designated pers</w:t>
      </w:r>
      <w:r w:rsidR="00EA0AC0" w:rsidRPr="001E74A1">
        <w:rPr>
          <w:rFonts w:ascii="Calibri" w:hAnsi="Calibri" w:cs="Calibri"/>
          <w:color w:val="494641" w:themeColor="text2" w:themeShade="BF"/>
          <w:sz w:val="21"/>
          <w:szCs w:val="21"/>
        </w:rPr>
        <w:t xml:space="preserve">on </w:t>
      </w:r>
      <w:r w:rsidR="009C526D" w:rsidRPr="001E74A1">
        <w:rPr>
          <w:rFonts w:ascii="Calibri" w:hAnsi="Calibri" w:cs="Calibri"/>
          <w:color w:val="494641" w:themeColor="text2" w:themeShade="BF"/>
          <w:sz w:val="21"/>
          <w:szCs w:val="21"/>
        </w:rPr>
        <w:t>throughout the process of specimen collection, receipt, testing and storage.</w:t>
      </w:r>
      <w:r w:rsidR="00F66CCE" w:rsidRPr="001E74A1">
        <w:rPr>
          <w:rFonts w:ascii="Calibri" w:hAnsi="Calibri" w:cs="Calibri"/>
          <w:color w:val="494641" w:themeColor="text2" w:themeShade="BF"/>
          <w:sz w:val="21"/>
          <w:szCs w:val="21"/>
        </w:rPr>
        <w:t xml:space="preserve"> </w:t>
      </w:r>
      <w:r w:rsidR="001B6A5C" w:rsidRPr="001E74A1">
        <w:rPr>
          <w:rFonts w:ascii="Calibri" w:hAnsi="Calibri" w:cs="Calibri"/>
          <w:color w:val="494641" w:themeColor="text2" w:themeShade="BF"/>
          <w:sz w:val="21"/>
          <w:szCs w:val="21"/>
        </w:rPr>
        <w:t>[</w:t>
      </w:r>
      <w:r w:rsidR="007729C1" w:rsidRPr="001E74A1">
        <w:rPr>
          <w:rFonts w:ascii="Calibri" w:hAnsi="Calibri" w:cs="Calibri"/>
          <w:i/>
          <w:iCs/>
          <w:color w:val="494641" w:themeColor="text2" w:themeShade="BF"/>
          <w:sz w:val="21"/>
          <w:szCs w:val="21"/>
        </w:rPr>
        <w:t>C</w:t>
      </w:r>
      <w:r w:rsidR="00F66CCE" w:rsidRPr="001E74A1">
        <w:rPr>
          <w:rFonts w:ascii="Calibri" w:hAnsi="Calibri" w:cs="Calibri"/>
          <w:i/>
          <w:iCs/>
          <w:color w:val="494641" w:themeColor="text2" w:themeShade="BF"/>
          <w:sz w:val="21"/>
          <w:szCs w:val="21"/>
        </w:rPr>
        <w:t xml:space="preserve">ountry project </w:t>
      </w:r>
      <w:r w:rsidR="00EB0B96" w:rsidRPr="001E74A1">
        <w:rPr>
          <w:rFonts w:ascii="Calibri" w:eastAsia="SimSun" w:hAnsi="Calibri" w:cs="Calibri"/>
          <w:i/>
          <w:iCs/>
          <w:color w:val="494641" w:themeColor="text2" w:themeShade="BF"/>
          <w:sz w:val="21"/>
          <w:szCs w:val="21"/>
        </w:rPr>
        <w:t>managers</w:t>
      </w:r>
      <w:r w:rsidR="001B6A5C" w:rsidRPr="001E74A1">
        <w:rPr>
          <w:rFonts w:ascii="Calibri" w:eastAsia="SimSun" w:hAnsi="Calibri" w:cs="Calibri"/>
          <w:color w:val="494641" w:themeColor="text2" w:themeShade="BF"/>
          <w:sz w:val="21"/>
          <w:szCs w:val="21"/>
        </w:rPr>
        <w:t>]</w:t>
      </w:r>
      <w:r w:rsidR="00F66CCE" w:rsidRPr="001E74A1">
        <w:rPr>
          <w:rFonts w:ascii="Calibri" w:hAnsi="Calibri" w:cs="Calibri"/>
          <w:color w:val="494641" w:themeColor="text2" w:themeShade="BF"/>
          <w:sz w:val="21"/>
          <w:szCs w:val="21"/>
        </w:rPr>
        <w:t xml:space="preserve"> have routine conference calls with the </w:t>
      </w:r>
      <w:r w:rsidR="001B6A5C" w:rsidRPr="001E74A1">
        <w:rPr>
          <w:rFonts w:ascii="Calibri" w:hAnsi="Calibri" w:cs="Calibri"/>
          <w:color w:val="494641" w:themeColor="text2" w:themeShade="BF"/>
          <w:sz w:val="21"/>
          <w:szCs w:val="21"/>
        </w:rPr>
        <w:t>[</w:t>
      </w:r>
      <w:r w:rsidR="001B6A5C" w:rsidRPr="001E74A1">
        <w:rPr>
          <w:rFonts w:ascii="Calibri" w:hAnsi="Calibri" w:cs="Calibri"/>
          <w:i/>
          <w:iCs/>
          <w:color w:val="494641" w:themeColor="text2" w:themeShade="BF"/>
          <w:sz w:val="21"/>
          <w:szCs w:val="21"/>
        </w:rPr>
        <w:t>headquarters staff as applicable</w:t>
      </w:r>
      <w:r w:rsidR="001B6A5C" w:rsidRPr="001E74A1">
        <w:rPr>
          <w:rFonts w:ascii="Calibri" w:hAnsi="Calibri" w:cs="Calibri"/>
          <w:color w:val="494641" w:themeColor="text2" w:themeShade="BF"/>
          <w:sz w:val="21"/>
          <w:szCs w:val="21"/>
        </w:rPr>
        <w:t xml:space="preserve">] </w:t>
      </w:r>
      <w:r w:rsidR="00F66CCE" w:rsidRPr="001E74A1">
        <w:rPr>
          <w:rFonts w:ascii="Calibri" w:hAnsi="Calibri" w:cs="Calibri"/>
          <w:color w:val="494641" w:themeColor="text2" w:themeShade="BF"/>
          <w:sz w:val="21"/>
          <w:szCs w:val="21"/>
        </w:rPr>
        <w:t xml:space="preserve">to </w:t>
      </w:r>
      <w:r w:rsidR="00E13C48" w:rsidRPr="001E74A1">
        <w:rPr>
          <w:rFonts w:ascii="Calibri" w:hAnsi="Calibri" w:cs="Calibri"/>
          <w:color w:val="494641" w:themeColor="text2" w:themeShade="BF"/>
          <w:sz w:val="21"/>
          <w:szCs w:val="21"/>
        </w:rPr>
        <w:t>review ongoing study implementation updates.</w:t>
      </w:r>
    </w:p>
    <w:p w14:paraId="627A18A7" w14:textId="08269D99" w:rsidR="0055579F" w:rsidRPr="00AB7CF3" w:rsidRDefault="000951AC" w:rsidP="00D76C78">
      <w:pPr>
        <w:spacing w:line="276" w:lineRule="auto"/>
        <w:ind w:right="116"/>
        <w:rPr>
          <w:rFonts w:ascii="Arial" w:hAnsi="Arial" w:cs="Arial"/>
          <w:sz w:val="21"/>
          <w:szCs w:val="21"/>
        </w:rPr>
      </w:pPr>
      <w:r w:rsidRPr="00AB7CF3">
        <w:rPr>
          <w:rFonts w:ascii="Arial" w:hAnsi="Arial" w:cs="Arial"/>
          <w:sz w:val="21"/>
          <w:szCs w:val="21"/>
        </w:rPr>
        <w:br w:type="page"/>
      </w:r>
    </w:p>
    <w:p w14:paraId="46FBBC23" w14:textId="5840F25D" w:rsidR="000951AC" w:rsidRPr="001E74A1" w:rsidRDefault="000951AC" w:rsidP="00D76C78">
      <w:pPr>
        <w:pStyle w:val="Heading1"/>
        <w:numPr>
          <w:ilvl w:val="0"/>
          <w:numId w:val="0"/>
        </w:numPr>
        <w:spacing w:line="276" w:lineRule="auto"/>
        <w:ind w:left="432" w:right="116" w:hanging="432"/>
        <w:rPr>
          <w:rFonts w:ascii="Poppins" w:hAnsi="Poppins" w:cs="Poppins"/>
          <w:color w:val="29676B" w:themeColor="accent1"/>
          <w:sz w:val="26"/>
          <w:szCs w:val="26"/>
        </w:rPr>
      </w:pPr>
      <w:bookmarkStart w:id="12" w:name="_Toc110339519"/>
      <w:bookmarkStart w:id="13" w:name="_Toc142048252"/>
      <w:r w:rsidRPr="001E74A1">
        <w:rPr>
          <w:rFonts w:ascii="Poppins" w:hAnsi="Poppins" w:cs="Poppins"/>
          <w:color w:val="29676B" w:themeColor="accent1"/>
          <w:sz w:val="26"/>
          <w:szCs w:val="26"/>
        </w:rPr>
        <w:lastRenderedPageBreak/>
        <w:t>2</w:t>
      </w:r>
      <w:r w:rsidR="001E74A1">
        <w:rPr>
          <w:rFonts w:ascii="Poppins" w:hAnsi="Poppins" w:cs="Poppins"/>
          <w:color w:val="29676B" w:themeColor="accent1"/>
          <w:sz w:val="26"/>
          <w:szCs w:val="26"/>
        </w:rPr>
        <w:t>.</w:t>
      </w:r>
      <w:r w:rsidRPr="001E74A1">
        <w:rPr>
          <w:rFonts w:ascii="Poppins" w:hAnsi="Poppins" w:cs="Poppins"/>
          <w:color w:val="29676B" w:themeColor="accent1"/>
          <w:sz w:val="26"/>
          <w:szCs w:val="26"/>
        </w:rPr>
        <w:tab/>
      </w:r>
      <w:r w:rsidR="003E75F4" w:rsidRPr="001E74A1">
        <w:rPr>
          <w:rFonts w:ascii="Poppins" w:hAnsi="Poppins" w:cs="Poppins"/>
          <w:color w:val="29676B" w:themeColor="accent1"/>
          <w:sz w:val="26"/>
          <w:szCs w:val="26"/>
        </w:rPr>
        <w:t xml:space="preserve">Accrual and Informed Consent </w:t>
      </w:r>
      <w:r w:rsidRPr="001E74A1">
        <w:rPr>
          <w:rFonts w:ascii="Poppins" w:hAnsi="Poppins" w:cs="Poppins"/>
          <w:color w:val="29676B" w:themeColor="accent1"/>
          <w:sz w:val="26"/>
          <w:szCs w:val="26"/>
        </w:rPr>
        <w:t>Introduction</w:t>
      </w:r>
      <w:bookmarkEnd w:id="12"/>
      <w:bookmarkEnd w:id="13"/>
    </w:p>
    <w:p w14:paraId="426D6BAC" w14:textId="77777777" w:rsidR="000951AC" w:rsidRPr="001E74A1" w:rsidRDefault="000951AC" w:rsidP="00D76C78">
      <w:pPr>
        <w:spacing w:line="276" w:lineRule="auto"/>
        <w:ind w:right="116"/>
        <w:rPr>
          <w:rFonts w:ascii="Calibri" w:hAnsi="Calibri" w:cs="Calibri"/>
          <w:color w:val="494641" w:themeColor="text2" w:themeShade="BF"/>
          <w:sz w:val="21"/>
          <w:szCs w:val="21"/>
        </w:rPr>
      </w:pPr>
      <w:r w:rsidRPr="001E74A1">
        <w:rPr>
          <w:rFonts w:ascii="Calibri" w:hAnsi="Calibri" w:cs="Calibri"/>
          <w:color w:val="494641" w:themeColor="text2" w:themeShade="BF"/>
          <w:sz w:val="21"/>
          <w:szCs w:val="21"/>
        </w:rPr>
        <w:t xml:space="preserve">This section provides information on requirements and procedures for recruiting participants into MOSAIC HIVDR-sponsored protocols. This section also presents information related to informed consent requirements for study participants. </w:t>
      </w:r>
    </w:p>
    <w:p w14:paraId="7AC880F8" w14:textId="77777777" w:rsidR="000951AC" w:rsidRPr="00AB7CF3" w:rsidRDefault="000951AC" w:rsidP="00D76C78">
      <w:pPr>
        <w:pStyle w:val="BodyTextIndent2"/>
        <w:spacing w:line="276" w:lineRule="auto"/>
        <w:ind w:left="0" w:right="116"/>
        <w:rPr>
          <w:sz w:val="21"/>
          <w:szCs w:val="21"/>
        </w:rPr>
      </w:pPr>
      <w:bookmarkStart w:id="14" w:name="_Toc334538057"/>
      <w:bookmarkStart w:id="15" w:name="_Toc334538797"/>
      <w:bookmarkStart w:id="16" w:name="_Toc334539004"/>
      <w:bookmarkStart w:id="17" w:name="_Toc334539076"/>
      <w:bookmarkStart w:id="18" w:name="_Toc334539570"/>
    </w:p>
    <w:p w14:paraId="7908A1FA" w14:textId="77777777" w:rsidR="000951AC" w:rsidRPr="000A3585" w:rsidRDefault="000951AC" w:rsidP="00D76C78">
      <w:pPr>
        <w:pStyle w:val="Heading1"/>
        <w:numPr>
          <w:ilvl w:val="0"/>
          <w:numId w:val="0"/>
        </w:numPr>
        <w:spacing w:after="60" w:line="276" w:lineRule="auto"/>
        <w:ind w:left="432" w:right="116" w:hanging="432"/>
        <w:rPr>
          <w:rFonts w:ascii="Poppins SemiBold" w:hAnsi="Poppins SemiBold" w:cs="Poppins SemiBold"/>
          <w:bCs/>
          <w:color w:val="29676B" w:themeColor="accent1"/>
          <w:sz w:val="21"/>
          <w:szCs w:val="21"/>
        </w:rPr>
      </w:pPr>
      <w:bookmarkStart w:id="19" w:name="_Toc110339520"/>
      <w:bookmarkStart w:id="20" w:name="_Toc142048253"/>
      <w:r w:rsidRPr="000A3585">
        <w:rPr>
          <w:rFonts w:ascii="Poppins SemiBold" w:hAnsi="Poppins SemiBold" w:cs="Poppins SemiBold"/>
          <w:bCs/>
          <w:color w:val="29676B" w:themeColor="accent1"/>
          <w:sz w:val="21"/>
          <w:szCs w:val="21"/>
        </w:rPr>
        <w:t>2.1</w:t>
      </w:r>
      <w:r w:rsidRPr="000A3585">
        <w:rPr>
          <w:rFonts w:ascii="Poppins SemiBold" w:hAnsi="Poppins SemiBold" w:cs="Poppins SemiBold"/>
          <w:bCs/>
          <w:color w:val="29676B" w:themeColor="accent1"/>
          <w:sz w:val="21"/>
          <w:szCs w:val="21"/>
        </w:rPr>
        <w:tab/>
        <w:t>Participant Accrual</w:t>
      </w:r>
      <w:bookmarkEnd w:id="19"/>
      <w:bookmarkEnd w:id="20"/>
    </w:p>
    <w:bookmarkEnd w:id="14"/>
    <w:bookmarkEnd w:id="15"/>
    <w:bookmarkEnd w:id="16"/>
    <w:bookmarkEnd w:id="17"/>
    <w:bookmarkEnd w:id="18"/>
    <w:p w14:paraId="5B3AE5A3" w14:textId="603C6B2D" w:rsidR="000951AC" w:rsidRPr="000A3585" w:rsidRDefault="000951AC" w:rsidP="00D76C78">
      <w:pPr>
        <w:pStyle w:val="BodyTextIndent2"/>
        <w:spacing w:line="276" w:lineRule="auto"/>
        <w:ind w:left="0" w:right="116"/>
        <w:rPr>
          <w:rFonts w:ascii="Calibri" w:hAnsi="Calibri" w:cs="Calibri"/>
          <w:color w:val="494641" w:themeColor="text2" w:themeShade="BF"/>
          <w:sz w:val="21"/>
          <w:szCs w:val="21"/>
        </w:rPr>
      </w:pPr>
      <w:r w:rsidRPr="000A3585">
        <w:rPr>
          <w:rFonts w:ascii="Calibri" w:hAnsi="Calibri" w:cs="Calibri"/>
          <w:color w:val="494641" w:themeColor="text2" w:themeShade="BF"/>
          <w:sz w:val="21"/>
          <w:szCs w:val="21"/>
        </w:rPr>
        <w:t>PrEP facilities will recruit all individuals with recent PrEP use, who seroconvert, into MOSAIC-sponsored studies</w:t>
      </w:r>
      <w:r w:rsidR="00E0390F" w:rsidRPr="000A3585">
        <w:rPr>
          <w:rFonts w:ascii="Calibri" w:hAnsi="Calibri" w:cs="Calibri"/>
          <w:color w:val="494641" w:themeColor="text2" w:themeShade="BF"/>
          <w:sz w:val="21"/>
          <w:szCs w:val="21"/>
        </w:rPr>
        <w:t>. Definitions of “recent PrEP use” is specified in each protocol</w:t>
      </w:r>
      <w:r w:rsidRPr="000A3585">
        <w:rPr>
          <w:rFonts w:ascii="Calibri" w:hAnsi="Calibri" w:cs="Calibri"/>
          <w:color w:val="494641" w:themeColor="text2" w:themeShade="BF"/>
          <w:sz w:val="21"/>
          <w:szCs w:val="21"/>
        </w:rPr>
        <w:t xml:space="preserve">. PrEP users who seroconvert, and provide consent, will be recruited until the sample size is reached, or the study closes. Potential participants will be referred to the study as soon as possible after identification of HIV seroconversion, i.e., the first positive rapid HIV test. </w:t>
      </w:r>
    </w:p>
    <w:p w14:paraId="7D8874C1" w14:textId="77777777" w:rsidR="000951AC" w:rsidRPr="000A3585" w:rsidRDefault="000951AC" w:rsidP="00D76C78">
      <w:pPr>
        <w:pStyle w:val="BodyTextIndent2"/>
        <w:spacing w:line="276" w:lineRule="auto"/>
        <w:ind w:left="0" w:right="116"/>
        <w:rPr>
          <w:rFonts w:ascii="Calibri" w:hAnsi="Calibri" w:cs="Calibri"/>
          <w:color w:val="494641" w:themeColor="text2" w:themeShade="BF"/>
          <w:sz w:val="21"/>
          <w:szCs w:val="21"/>
        </w:rPr>
      </w:pPr>
    </w:p>
    <w:p w14:paraId="76F40872" w14:textId="3FDF8A83" w:rsidR="000951AC" w:rsidRPr="000A3585" w:rsidRDefault="000951AC" w:rsidP="00D76C78">
      <w:pPr>
        <w:pStyle w:val="BodyTextIndent2"/>
        <w:spacing w:line="276" w:lineRule="auto"/>
        <w:ind w:left="0" w:right="116"/>
        <w:rPr>
          <w:rFonts w:ascii="Calibri" w:hAnsi="Calibri" w:cs="Calibri"/>
          <w:color w:val="494641" w:themeColor="text2" w:themeShade="BF"/>
          <w:sz w:val="21"/>
          <w:szCs w:val="21"/>
        </w:rPr>
      </w:pPr>
      <w:r w:rsidRPr="000A3585">
        <w:rPr>
          <w:rFonts w:ascii="Calibri" w:hAnsi="Calibri" w:cs="Calibri"/>
          <w:color w:val="494641" w:themeColor="text2" w:themeShade="BF"/>
          <w:sz w:val="21"/>
          <w:szCs w:val="21"/>
        </w:rPr>
        <w:t xml:space="preserve">Each protocol specifies the approximate accrual plan for all participating sites. The </w:t>
      </w:r>
      <w:r w:rsidR="00266000" w:rsidRPr="000A3585">
        <w:rPr>
          <w:rFonts w:ascii="Calibri" w:hAnsi="Calibri" w:cs="Calibri"/>
          <w:color w:val="494641" w:themeColor="text2" w:themeShade="BF"/>
          <w:sz w:val="21"/>
          <w:szCs w:val="21"/>
        </w:rPr>
        <w:t>[</w:t>
      </w:r>
      <w:r w:rsidRPr="000A3585">
        <w:rPr>
          <w:rFonts w:ascii="Calibri" w:hAnsi="Calibri" w:cs="Calibri"/>
          <w:i/>
          <w:iCs/>
          <w:color w:val="494641" w:themeColor="text2" w:themeShade="BF"/>
          <w:sz w:val="21"/>
          <w:szCs w:val="21"/>
        </w:rPr>
        <w:t>country</w:t>
      </w:r>
      <w:r w:rsidRPr="000A3585">
        <w:rPr>
          <w:rFonts w:ascii="Calibri" w:hAnsi="Calibri" w:cs="Calibri"/>
          <w:color w:val="494641" w:themeColor="text2" w:themeShade="BF"/>
          <w:sz w:val="21"/>
          <w:szCs w:val="21"/>
        </w:rPr>
        <w:t xml:space="preserve"> </w:t>
      </w:r>
      <w:r w:rsidRPr="000A3585">
        <w:rPr>
          <w:rFonts w:ascii="Calibri" w:hAnsi="Calibri" w:cs="Calibri"/>
          <w:i/>
          <w:iCs/>
          <w:color w:val="494641" w:themeColor="text2" w:themeShade="BF"/>
          <w:sz w:val="21"/>
          <w:szCs w:val="21"/>
        </w:rPr>
        <w:t xml:space="preserve">project </w:t>
      </w:r>
      <w:r w:rsidRPr="000A3585">
        <w:rPr>
          <w:rFonts w:ascii="Calibri" w:eastAsia="SimSun" w:hAnsi="Calibri" w:cs="Calibri"/>
          <w:i/>
          <w:iCs/>
          <w:color w:val="494641" w:themeColor="text2" w:themeShade="BF"/>
          <w:sz w:val="21"/>
          <w:szCs w:val="21"/>
        </w:rPr>
        <w:t>manager</w:t>
      </w:r>
      <w:r w:rsidR="00266000" w:rsidRPr="000A3585">
        <w:rPr>
          <w:rFonts w:ascii="Calibri" w:eastAsia="SimSun" w:hAnsi="Calibri" w:cs="Calibri"/>
          <w:color w:val="494641" w:themeColor="text2" w:themeShade="BF"/>
          <w:sz w:val="21"/>
          <w:szCs w:val="21"/>
        </w:rPr>
        <w:t>]</w:t>
      </w:r>
      <w:r w:rsidRPr="000A3585">
        <w:rPr>
          <w:rFonts w:ascii="Calibri" w:hAnsi="Calibri" w:cs="Calibri"/>
          <w:color w:val="494641" w:themeColor="text2" w:themeShade="BF"/>
          <w:sz w:val="21"/>
          <w:szCs w:val="21"/>
        </w:rPr>
        <w:t xml:space="preserve"> is responsible for ensuring that the total accrual does not exceed the number specified in the protocol. Accrual will remain open, and participants may enroll throughout the timeline in the study protocol. As each protocol approaches the completion date, the </w:t>
      </w:r>
      <w:r w:rsidR="00266000" w:rsidRPr="000A3585">
        <w:rPr>
          <w:rFonts w:ascii="Calibri" w:hAnsi="Calibri" w:cs="Calibri"/>
          <w:color w:val="494641" w:themeColor="text2" w:themeShade="BF"/>
          <w:sz w:val="21"/>
          <w:szCs w:val="21"/>
        </w:rPr>
        <w:t>[</w:t>
      </w:r>
      <w:r w:rsidRPr="000A3585">
        <w:rPr>
          <w:rFonts w:ascii="Calibri" w:hAnsi="Calibri" w:cs="Calibri"/>
          <w:i/>
          <w:iCs/>
          <w:color w:val="494641" w:themeColor="text2" w:themeShade="BF"/>
          <w:sz w:val="21"/>
          <w:szCs w:val="21"/>
        </w:rPr>
        <w:t xml:space="preserve">country project </w:t>
      </w:r>
      <w:r w:rsidRPr="000A3585">
        <w:rPr>
          <w:rFonts w:ascii="Calibri" w:eastAsia="SimSun" w:hAnsi="Calibri" w:cs="Calibri"/>
          <w:i/>
          <w:iCs/>
          <w:color w:val="494641" w:themeColor="text2" w:themeShade="BF"/>
          <w:sz w:val="21"/>
          <w:szCs w:val="21"/>
        </w:rPr>
        <w:t>manager</w:t>
      </w:r>
      <w:r w:rsidR="00266000" w:rsidRPr="000A3585">
        <w:rPr>
          <w:rFonts w:ascii="Calibri" w:eastAsia="SimSun" w:hAnsi="Calibri" w:cs="Calibri"/>
          <w:color w:val="494641" w:themeColor="text2" w:themeShade="BF"/>
          <w:sz w:val="21"/>
          <w:szCs w:val="21"/>
        </w:rPr>
        <w:t>]</w:t>
      </w:r>
      <w:r w:rsidRPr="000A3585">
        <w:rPr>
          <w:rFonts w:ascii="Calibri" w:hAnsi="Calibri" w:cs="Calibri"/>
          <w:color w:val="494641" w:themeColor="text2" w:themeShade="BF"/>
          <w:sz w:val="21"/>
          <w:szCs w:val="21"/>
        </w:rPr>
        <w:t xml:space="preserve"> will ensure all study partners, PrEP facilities and key investigators are aware of accrual closure. </w:t>
      </w:r>
    </w:p>
    <w:p w14:paraId="0AF4F2D5" w14:textId="77777777" w:rsidR="000951AC" w:rsidRPr="000A3585" w:rsidRDefault="000951AC" w:rsidP="00D76C78">
      <w:pPr>
        <w:pStyle w:val="BodyTextIndent2"/>
        <w:spacing w:line="276" w:lineRule="auto"/>
        <w:ind w:left="0" w:right="116"/>
        <w:rPr>
          <w:rFonts w:ascii="Calibri" w:hAnsi="Calibri" w:cs="Calibri"/>
          <w:color w:val="494641" w:themeColor="text2" w:themeShade="BF"/>
          <w:sz w:val="21"/>
          <w:szCs w:val="21"/>
        </w:rPr>
      </w:pPr>
    </w:p>
    <w:p w14:paraId="16B6A38C" w14:textId="4D6F5972" w:rsidR="000951AC" w:rsidRDefault="000951AC" w:rsidP="00D76C78">
      <w:pPr>
        <w:pStyle w:val="BodyTextIndent2"/>
        <w:spacing w:line="276" w:lineRule="auto"/>
        <w:ind w:left="0" w:right="116"/>
        <w:rPr>
          <w:rFonts w:ascii="Calibri" w:hAnsi="Calibri" w:cs="Calibri"/>
          <w:color w:val="494641" w:themeColor="text2" w:themeShade="BF"/>
          <w:sz w:val="21"/>
          <w:szCs w:val="21"/>
        </w:rPr>
      </w:pPr>
      <w:r w:rsidRPr="000A3585">
        <w:rPr>
          <w:rFonts w:ascii="Calibri" w:hAnsi="Calibri" w:cs="Calibri"/>
          <w:color w:val="494641" w:themeColor="text2" w:themeShade="BF"/>
          <w:sz w:val="21"/>
          <w:szCs w:val="21"/>
        </w:rPr>
        <w:t xml:space="preserve">Each </w:t>
      </w:r>
      <w:r w:rsidR="00266000" w:rsidRPr="000A3585">
        <w:rPr>
          <w:rFonts w:ascii="Calibri" w:hAnsi="Calibri" w:cs="Calibri"/>
          <w:color w:val="494641" w:themeColor="text2" w:themeShade="BF"/>
          <w:sz w:val="21"/>
          <w:szCs w:val="21"/>
        </w:rPr>
        <w:t>[</w:t>
      </w:r>
      <w:r w:rsidRPr="000A3585">
        <w:rPr>
          <w:rFonts w:ascii="Calibri" w:hAnsi="Calibri" w:cs="Calibri"/>
          <w:i/>
          <w:iCs/>
          <w:color w:val="494641" w:themeColor="text2" w:themeShade="BF"/>
          <w:sz w:val="21"/>
          <w:szCs w:val="21"/>
        </w:rPr>
        <w:t xml:space="preserve">country project </w:t>
      </w:r>
      <w:r w:rsidRPr="000A3585">
        <w:rPr>
          <w:rFonts w:ascii="Calibri" w:eastAsia="SimSun" w:hAnsi="Calibri" w:cs="Calibri"/>
          <w:i/>
          <w:iCs/>
          <w:color w:val="494641" w:themeColor="text2" w:themeShade="BF"/>
          <w:sz w:val="21"/>
          <w:szCs w:val="21"/>
        </w:rPr>
        <w:t>manager</w:t>
      </w:r>
      <w:r w:rsidR="00266000" w:rsidRPr="000A3585">
        <w:rPr>
          <w:rFonts w:ascii="Calibri" w:eastAsia="SimSun" w:hAnsi="Calibri" w:cs="Calibri"/>
          <w:color w:val="494641" w:themeColor="text2" w:themeShade="BF"/>
          <w:sz w:val="21"/>
          <w:szCs w:val="21"/>
        </w:rPr>
        <w:t>]</w:t>
      </w:r>
      <w:r w:rsidRPr="000A3585">
        <w:rPr>
          <w:rFonts w:ascii="Calibri" w:hAnsi="Calibri" w:cs="Calibri"/>
          <w:color w:val="494641" w:themeColor="text2" w:themeShade="BF"/>
          <w:sz w:val="21"/>
          <w:szCs w:val="21"/>
        </w:rPr>
        <w:t xml:space="preserve"> will document the number of participants enrolled in the study through study-specific tracking spreadsheets, </w:t>
      </w:r>
      <w:proofErr w:type="gramStart"/>
      <w:r w:rsidRPr="000A3585">
        <w:rPr>
          <w:rFonts w:ascii="Calibri" w:hAnsi="Calibri" w:cs="Calibri"/>
          <w:color w:val="494641" w:themeColor="text2" w:themeShade="BF"/>
          <w:sz w:val="21"/>
          <w:szCs w:val="21"/>
        </w:rPr>
        <w:t>databases</w:t>
      </w:r>
      <w:proofErr w:type="gramEnd"/>
      <w:r w:rsidRPr="000A3585">
        <w:rPr>
          <w:rFonts w:ascii="Calibri" w:hAnsi="Calibri" w:cs="Calibri"/>
          <w:color w:val="494641" w:themeColor="text2" w:themeShade="BF"/>
          <w:sz w:val="21"/>
          <w:szCs w:val="21"/>
        </w:rPr>
        <w:t xml:space="preserve"> or other documentation method. </w:t>
      </w:r>
    </w:p>
    <w:p w14:paraId="501651D3" w14:textId="77777777" w:rsidR="00697C8A" w:rsidRPr="00697C8A" w:rsidRDefault="00697C8A" w:rsidP="00D76C78">
      <w:pPr>
        <w:pStyle w:val="BodyTextIndent2"/>
        <w:spacing w:line="276" w:lineRule="auto"/>
        <w:ind w:left="0" w:right="116"/>
        <w:rPr>
          <w:rFonts w:ascii="Calibri" w:hAnsi="Calibri" w:cs="Calibri"/>
          <w:color w:val="494641" w:themeColor="text2" w:themeShade="BF"/>
          <w:sz w:val="21"/>
          <w:szCs w:val="21"/>
        </w:rPr>
      </w:pPr>
    </w:p>
    <w:p w14:paraId="77ACEC86" w14:textId="77777777" w:rsidR="000951AC" w:rsidRPr="000A3585" w:rsidRDefault="000951AC" w:rsidP="00D76C78">
      <w:pPr>
        <w:pStyle w:val="Heading1"/>
        <w:numPr>
          <w:ilvl w:val="0"/>
          <w:numId w:val="0"/>
        </w:numPr>
        <w:spacing w:after="60" w:line="276" w:lineRule="auto"/>
        <w:ind w:left="432" w:right="116" w:hanging="432"/>
        <w:rPr>
          <w:rFonts w:ascii="Poppins SemiBold" w:hAnsi="Poppins SemiBold" w:cs="Poppins SemiBold"/>
          <w:bCs/>
          <w:color w:val="29676B" w:themeColor="accent1"/>
          <w:sz w:val="21"/>
          <w:szCs w:val="21"/>
        </w:rPr>
      </w:pPr>
      <w:bookmarkStart w:id="21" w:name="_Toc110339521"/>
      <w:bookmarkStart w:id="22" w:name="_Toc142048254"/>
      <w:r w:rsidRPr="000A3585">
        <w:rPr>
          <w:rFonts w:ascii="Poppins SemiBold" w:hAnsi="Poppins SemiBold" w:cs="Poppins SemiBold"/>
          <w:bCs/>
          <w:color w:val="29676B" w:themeColor="accent1"/>
          <w:sz w:val="21"/>
          <w:szCs w:val="21"/>
        </w:rPr>
        <w:t>2.2</w:t>
      </w:r>
      <w:r w:rsidRPr="000A3585">
        <w:rPr>
          <w:rFonts w:ascii="Poppins SemiBold" w:hAnsi="Poppins SemiBold" w:cs="Poppins SemiBold"/>
          <w:bCs/>
          <w:color w:val="29676B" w:themeColor="accent1"/>
          <w:sz w:val="21"/>
          <w:szCs w:val="21"/>
        </w:rPr>
        <w:tab/>
        <w:t>Participant Eligibility</w:t>
      </w:r>
      <w:bookmarkEnd w:id="21"/>
      <w:bookmarkEnd w:id="22"/>
      <w:r w:rsidRPr="000A3585">
        <w:rPr>
          <w:rFonts w:ascii="Poppins SemiBold" w:hAnsi="Poppins SemiBold" w:cs="Poppins SemiBold"/>
          <w:bCs/>
          <w:color w:val="29676B" w:themeColor="accent1"/>
          <w:sz w:val="21"/>
          <w:szCs w:val="21"/>
        </w:rPr>
        <w:t xml:space="preserve"> </w:t>
      </w:r>
    </w:p>
    <w:p w14:paraId="3FFAD980" w14:textId="77777777" w:rsidR="000951AC" w:rsidRPr="000A3585" w:rsidRDefault="000951AC" w:rsidP="00D76C78">
      <w:pPr>
        <w:pStyle w:val="BodyTextIndent2"/>
        <w:spacing w:line="276" w:lineRule="auto"/>
        <w:ind w:left="0" w:right="116"/>
        <w:rPr>
          <w:rFonts w:ascii="Calibri" w:eastAsia="SimSun" w:hAnsi="Calibri" w:cs="Calibri"/>
          <w:color w:val="494641" w:themeColor="text2" w:themeShade="BF"/>
          <w:sz w:val="21"/>
          <w:szCs w:val="21"/>
        </w:rPr>
      </w:pPr>
      <w:r w:rsidRPr="000A3585">
        <w:rPr>
          <w:rFonts w:ascii="Calibri" w:eastAsia="SimSun" w:hAnsi="Calibri" w:cs="Calibri"/>
          <w:color w:val="494641" w:themeColor="text2" w:themeShade="BF"/>
          <w:sz w:val="21"/>
          <w:szCs w:val="21"/>
        </w:rPr>
        <w:t xml:space="preserve">MOSAIC HIVDR-sponsored protocols specify minimal screening and eligibility criteria including participant informed consent, review of records by clinic staff to confirm HIV seroconversion and confirmation of recent PrEP use. Each study team should refer to their applicable protocol for exact eligibility criteria, however, informed consent must be obtained before conducting any other procedures. See section 2.3 for more information on informed consent. </w:t>
      </w:r>
    </w:p>
    <w:p w14:paraId="1576D10E" w14:textId="77777777" w:rsidR="000951AC" w:rsidRPr="000A3585" w:rsidRDefault="000951AC" w:rsidP="00D76C78">
      <w:pPr>
        <w:pStyle w:val="BodyTextIndent2"/>
        <w:spacing w:line="276" w:lineRule="auto"/>
        <w:ind w:left="0" w:right="116"/>
        <w:rPr>
          <w:rFonts w:ascii="Calibri" w:eastAsia="SimSun" w:hAnsi="Calibri" w:cs="Calibri"/>
          <w:color w:val="494641" w:themeColor="text2" w:themeShade="BF"/>
          <w:sz w:val="21"/>
          <w:szCs w:val="21"/>
        </w:rPr>
      </w:pPr>
    </w:p>
    <w:p w14:paraId="235EBB1E" w14:textId="48FEAEFF" w:rsidR="000951AC" w:rsidRDefault="000951AC" w:rsidP="00D76C78">
      <w:pPr>
        <w:pStyle w:val="BodyTextIndent2"/>
        <w:spacing w:line="276" w:lineRule="auto"/>
        <w:ind w:left="0" w:right="116"/>
        <w:rPr>
          <w:rFonts w:ascii="Calibri" w:eastAsia="SimSun" w:hAnsi="Calibri" w:cs="Calibri"/>
          <w:color w:val="494641" w:themeColor="text2" w:themeShade="BF"/>
          <w:sz w:val="21"/>
          <w:szCs w:val="21"/>
        </w:rPr>
      </w:pPr>
      <w:r w:rsidRPr="000A3585">
        <w:rPr>
          <w:rFonts w:ascii="Calibri" w:eastAsia="SimSun" w:hAnsi="Calibri" w:cs="Calibri"/>
          <w:color w:val="494641" w:themeColor="text2" w:themeShade="BF"/>
          <w:sz w:val="21"/>
          <w:szCs w:val="21"/>
        </w:rPr>
        <w:t xml:space="preserve">Should clinic staff or the </w:t>
      </w:r>
      <w:r w:rsidR="001D5676" w:rsidRPr="000A3585">
        <w:rPr>
          <w:rFonts w:ascii="Calibri" w:eastAsia="SimSun" w:hAnsi="Calibri" w:cs="Calibri"/>
          <w:color w:val="494641" w:themeColor="text2" w:themeShade="BF"/>
          <w:sz w:val="21"/>
          <w:szCs w:val="21"/>
        </w:rPr>
        <w:t>[</w:t>
      </w:r>
      <w:r w:rsidRPr="000A3585">
        <w:rPr>
          <w:rFonts w:ascii="Calibri" w:eastAsia="SimSun" w:hAnsi="Calibri" w:cs="Calibri"/>
          <w:i/>
          <w:iCs/>
          <w:color w:val="494641" w:themeColor="text2" w:themeShade="BF"/>
          <w:sz w:val="21"/>
          <w:szCs w:val="21"/>
        </w:rPr>
        <w:t>country project manager</w:t>
      </w:r>
      <w:r w:rsidR="001D5676" w:rsidRPr="000A3585">
        <w:rPr>
          <w:rFonts w:ascii="Calibri" w:eastAsia="SimSun" w:hAnsi="Calibri" w:cs="Calibri"/>
          <w:color w:val="494641" w:themeColor="text2" w:themeShade="BF"/>
          <w:sz w:val="21"/>
          <w:szCs w:val="21"/>
        </w:rPr>
        <w:t>]</w:t>
      </w:r>
      <w:r w:rsidRPr="000A3585">
        <w:rPr>
          <w:rFonts w:ascii="Calibri" w:eastAsia="SimSun" w:hAnsi="Calibri" w:cs="Calibri"/>
          <w:color w:val="494641" w:themeColor="text2" w:themeShade="BF"/>
          <w:sz w:val="21"/>
          <w:szCs w:val="21"/>
        </w:rPr>
        <w:t xml:space="preserve"> identify that an ineligible participant has inadvertently been enrolled into the study, the </w:t>
      </w:r>
      <w:r w:rsidR="001D5676" w:rsidRPr="000A3585">
        <w:rPr>
          <w:rFonts w:ascii="Calibri" w:eastAsia="SimSun" w:hAnsi="Calibri" w:cs="Calibri"/>
          <w:color w:val="494641" w:themeColor="text2" w:themeShade="BF"/>
          <w:sz w:val="21"/>
          <w:szCs w:val="21"/>
        </w:rPr>
        <w:t>[</w:t>
      </w:r>
      <w:r w:rsidR="001D5676" w:rsidRPr="000A3585">
        <w:rPr>
          <w:rFonts w:ascii="Calibri" w:eastAsia="SimSun" w:hAnsi="Calibri" w:cs="Calibri"/>
          <w:i/>
          <w:iCs/>
          <w:color w:val="494641" w:themeColor="text2" w:themeShade="BF"/>
          <w:sz w:val="21"/>
          <w:szCs w:val="21"/>
        </w:rPr>
        <w:t xml:space="preserve">country </w:t>
      </w:r>
      <w:r w:rsidRPr="000A3585">
        <w:rPr>
          <w:rFonts w:ascii="Calibri" w:eastAsia="SimSun" w:hAnsi="Calibri" w:cs="Calibri"/>
          <w:i/>
          <w:iCs/>
          <w:color w:val="494641" w:themeColor="text2" w:themeShade="BF"/>
          <w:sz w:val="21"/>
          <w:szCs w:val="21"/>
        </w:rPr>
        <w:t>project manager</w:t>
      </w:r>
      <w:r w:rsidR="001D5676" w:rsidRPr="000A3585">
        <w:rPr>
          <w:rFonts w:ascii="Calibri" w:eastAsia="SimSun" w:hAnsi="Calibri" w:cs="Calibri"/>
          <w:color w:val="494641" w:themeColor="text2" w:themeShade="BF"/>
          <w:sz w:val="21"/>
          <w:szCs w:val="21"/>
        </w:rPr>
        <w:t>]</w:t>
      </w:r>
      <w:r w:rsidRPr="000A3585">
        <w:rPr>
          <w:rFonts w:ascii="Calibri" w:eastAsia="SimSun" w:hAnsi="Calibri" w:cs="Calibri"/>
          <w:color w:val="494641" w:themeColor="text2" w:themeShade="BF"/>
          <w:sz w:val="21"/>
          <w:szCs w:val="21"/>
        </w:rPr>
        <w:t xml:space="preserve"> should complete a protocol deviation form, and inform the protocol chair of the study, applicable IRB/EC and the </w:t>
      </w:r>
      <w:r w:rsidR="00122643" w:rsidRPr="000A3585">
        <w:rPr>
          <w:rFonts w:ascii="Calibri" w:eastAsia="SimSun" w:hAnsi="Calibri" w:cs="Calibri"/>
          <w:color w:val="494641" w:themeColor="text2" w:themeShade="BF"/>
          <w:sz w:val="21"/>
          <w:szCs w:val="21"/>
        </w:rPr>
        <w:t>[</w:t>
      </w:r>
      <w:r w:rsidRPr="000A3585">
        <w:rPr>
          <w:rFonts w:ascii="Calibri" w:eastAsia="SimSun" w:hAnsi="Calibri" w:cs="Calibri"/>
          <w:i/>
          <w:iCs/>
          <w:color w:val="494641" w:themeColor="text2" w:themeShade="BF"/>
          <w:sz w:val="21"/>
          <w:szCs w:val="21"/>
        </w:rPr>
        <w:t>headquarters team</w:t>
      </w:r>
      <w:r w:rsidR="00122643" w:rsidRPr="000A3585">
        <w:rPr>
          <w:rFonts w:ascii="Calibri" w:eastAsia="SimSun" w:hAnsi="Calibri" w:cs="Calibri"/>
          <w:color w:val="494641" w:themeColor="text2" w:themeShade="BF"/>
          <w:sz w:val="21"/>
          <w:szCs w:val="21"/>
        </w:rPr>
        <w:t>]</w:t>
      </w:r>
      <w:r w:rsidRPr="000A3585">
        <w:rPr>
          <w:rFonts w:ascii="Calibri" w:eastAsia="SimSun" w:hAnsi="Calibri" w:cs="Calibri"/>
          <w:color w:val="494641" w:themeColor="text2" w:themeShade="BF"/>
          <w:sz w:val="21"/>
          <w:szCs w:val="21"/>
        </w:rPr>
        <w:t xml:space="preserve"> for guidance on subsequent action to be taken.</w:t>
      </w:r>
    </w:p>
    <w:p w14:paraId="3AD18F7A" w14:textId="77777777" w:rsidR="00697C8A" w:rsidRPr="00697C8A" w:rsidRDefault="00697C8A" w:rsidP="00D76C78">
      <w:pPr>
        <w:pStyle w:val="BodyTextIndent2"/>
        <w:spacing w:line="276" w:lineRule="auto"/>
        <w:ind w:left="0" w:right="116"/>
        <w:rPr>
          <w:rFonts w:ascii="Calibri" w:eastAsia="SimSun" w:hAnsi="Calibri" w:cs="Calibri"/>
          <w:color w:val="494641" w:themeColor="text2" w:themeShade="BF"/>
          <w:sz w:val="21"/>
          <w:szCs w:val="21"/>
        </w:rPr>
      </w:pPr>
    </w:p>
    <w:p w14:paraId="043D250D" w14:textId="77777777" w:rsidR="000951AC" w:rsidRPr="000A3585" w:rsidRDefault="000951AC" w:rsidP="00D76C78">
      <w:pPr>
        <w:pStyle w:val="Heading1"/>
        <w:numPr>
          <w:ilvl w:val="0"/>
          <w:numId w:val="0"/>
        </w:numPr>
        <w:spacing w:after="60" w:line="276" w:lineRule="auto"/>
        <w:ind w:left="432" w:right="116" w:hanging="432"/>
        <w:rPr>
          <w:rStyle w:val="Style11pt"/>
          <w:rFonts w:ascii="Poppins SemiBold" w:hAnsi="Poppins SemiBold" w:cs="Poppins SemiBold"/>
          <w:bCs/>
          <w:color w:val="29676B" w:themeColor="accent1"/>
          <w:sz w:val="21"/>
          <w:szCs w:val="21"/>
        </w:rPr>
      </w:pPr>
      <w:bookmarkStart w:id="23" w:name="_Toc110339522"/>
      <w:bookmarkStart w:id="24" w:name="_Toc142048255"/>
      <w:r w:rsidRPr="000A3585">
        <w:rPr>
          <w:rFonts w:ascii="Poppins SemiBold" w:hAnsi="Poppins SemiBold" w:cs="Poppins SemiBold"/>
          <w:bCs/>
          <w:color w:val="29676B" w:themeColor="accent1"/>
          <w:sz w:val="21"/>
          <w:szCs w:val="21"/>
        </w:rPr>
        <w:t>2.3</w:t>
      </w:r>
      <w:r w:rsidRPr="000A3585">
        <w:rPr>
          <w:rFonts w:ascii="Poppins SemiBold" w:hAnsi="Poppins SemiBold" w:cs="Poppins SemiBold"/>
          <w:bCs/>
          <w:color w:val="29676B" w:themeColor="accent1"/>
          <w:sz w:val="21"/>
          <w:szCs w:val="21"/>
        </w:rPr>
        <w:tab/>
        <w:t>Informed Consent</w:t>
      </w:r>
      <w:bookmarkEnd w:id="23"/>
      <w:bookmarkEnd w:id="24"/>
    </w:p>
    <w:p w14:paraId="38C30B36"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Informed consent is a process by which an individual voluntarily expresses their willingness to participate in research, after having been informed of all aspects of the research that are relevant to their decision. It is not merely a form or a signature, but a process, involving information exchange, comprehension, voluntariness, and documentation. </w:t>
      </w:r>
    </w:p>
    <w:p w14:paraId="2D91E5E5"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p>
    <w:p w14:paraId="512D3C69"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Each study protocol will specify use of a written or oral consent process, as approved by the IRB/EC. Each protocol will include either an IRB-approved informed consent form, or oral consent information sheet, that </w:t>
      </w:r>
      <w:r w:rsidRPr="000A3585">
        <w:rPr>
          <w:rStyle w:val="Style11pt"/>
          <w:rFonts w:ascii="Calibri" w:hAnsi="Calibri" w:cs="Calibri"/>
          <w:color w:val="494641" w:themeColor="text2" w:themeShade="BF"/>
          <w:sz w:val="21"/>
          <w:szCs w:val="21"/>
        </w:rPr>
        <w:lastRenderedPageBreak/>
        <w:t xml:space="preserve">is reviewed with the participant and completed at the time of enrollment into the study, after the individual has been informed about the reason for the study, their role in it, any potential </w:t>
      </w:r>
      <w:proofErr w:type="gramStart"/>
      <w:r w:rsidRPr="000A3585">
        <w:rPr>
          <w:rStyle w:val="Style11pt"/>
          <w:rFonts w:ascii="Calibri" w:hAnsi="Calibri" w:cs="Calibri"/>
          <w:color w:val="494641" w:themeColor="text2" w:themeShade="BF"/>
          <w:sz w:val="21"/>
          <w:szCs w:val="21"/>
        </w:rPr>
        <w:t>benefits</w:t>
      </w:r>
      <w:proofErr w:type="gramEnd"/>
      <w:r w:rsidRPr="000A3585">
        <w:rPr>
          <w:rStyle w:val="Style11pt"/>
          <w:rFonts w:ascii="Calibri" w:hAnsi="Calibri" w:cs="Calibri"/>
          <w:color w:val="494641" w:themeColor="text2" w:themeShade="BF"/>
          <w:sz w:val="21"/>
          <w:szCs w:val="21"/>
        </w:rPr>
        <w:t xml:space="preserve"> or risks to them, and who to contact if they have further questions.  </w:t>
      </w:r>
    </w:p>
    <w:p w14:paraId="4F736727"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p>
    <w:p w14:paraId="1949294C" w14:textId="2707D04C"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Ideally, the informed consent process takes place on the same day as the participants’ HIV positive test, in the language of their choice. The </w:t>
      </w:r>
      <w:r w:rsidR="00E8099A" w:rsidRPr="000A3585">
        <w:rPr>
          <w:rStyle w:val="Style11pt"/>
          <w:rFonts w:ascii="Calibri" w:hAnsi="Calibri" w:cs="Calibri"/>
          <w:color w:val="494641" w:themeColor="text2" w:themeShade="BF"/>
          <w:sz w:val="21"/>
          <w:szCs w:val="21"/>
        </w:rPr>
        <w:t>[</w:t>
      </w:r>
      <w:r w:rsidRPr="000A3585">
        <w:rPr>
          <w:rStyle w:val="Style11pt"/>
          <w:rFonts w:ascii="Calibri" w:hAnsi="Calibri" w:cs="Calibri"/>
          <w:i/>
          <w:iCs/>
          <w:color w:val="494641" w:themeColor="text2" w:themeShade="BF"/>
          <w:sz w:val="21"/>
          <w:szCs w:val="21"/>
        </w:rPr>
        <w:t>country project manager</w:t>
      </w:r>
      <w:r w:rsidR="00E8099A" w:rsidRPr="000A3585">
        <w:rPr>
          <w:rStyle w:val="Style11pt"/>
          <w:rFonts w:ascii="Calibri" w:hAnsi="Calibri" w:cs="Calibri"/>
          <w:color w:val="494641" w:themeColor="text2" w:themeShade="BF"/>
          <w:sz w:val="21"/>
          <w:szCs w:val="21"/>
        </w:rPr>
        <w:t>]</w:t>
      </w:r>
      <w:r w:rsidRPr="000A3585">
        <w:rPr>
          <w:rStyle w:val="Style11pt"/>
          <w:rFonts w:ascii="Calibri" w:hAnsi="Calibri" w:cs="Calibri"/>
          <w:color w:val="494641" w:themeColor="text2" w:themeShade="BF"/>
          <w:sz w:val="21"/>
          <w:szCs w:val="21"/>
        </w:rPr>
        <w:t xml:space="preserve"> is responsible for ensuring the current IRB-approved consent form or oral consent information sheet, in English and any other approved language, is available to PrEP clinics for use prior to sample collection. If an updated version of the consent form/information sheet is approved by the applicable IRB/EC, the </w:t>
      </w:r>
      <w:r w:rsidR="00E8099A" w:rsidRPr="000A3585">
        <w:rPr>
          <w:rStyle w:val="Style11pt"/>
          <w:rFonts w:ascii="Calibri" w:hAnsi="Calibri" w:cs="Calibri"/>
          <w:color w:val="494641" w:themeColor="text2" w:themeShade="BF"/>
          <w:sz w:val="21"/>
          <w:szCs w:val="21"/>
        </w:rPr>
        <w:t>[</w:t>
      </w:r>
      <w:r w:rsidRPr="000A3585">
        <w:rPr>
          <w:rStyle w:val="Style11pt"/>
          <w:rFonts w:ascii="Calibri" w:hAnsi="Calibri" w:cs="Calibri"/>
          <w:i/>
          <w:iCs/>
          <w:color w:val="494641" w:themeColor="text2" w:themeShade="BF"/>
          <w:sz w:val="21"/>
          <w:szCs w:val="21"/>
        </w:rPr>
        <w:t>project manager</w:t>
      </w:r>
      <w:r w:rsidR="00E8099A" w:rsidRPr="000A3585">
        <w:rPr>
          <w:rStyle w:val="Style11pt"/>
          <w:rFonts w:ascii="Calibri" w:hAnsi="Calibri" w:cs="Calibri"/>
          <w:color w:val="494641" w:themeColor="text2" w:themeShade="BF"/>
          <w:sz w:val="21"/>
          <w:szCs w:val="21"/>
        </w:rPr>
        <w:t>]</w:t>
      </w:r>
      <w:r w:rsidRPr="000A3585">
        <w:rPr>
          <w:rStyle w:val="Style11pt"/>
          <w:rFonts w:ascii="Calibri" w:hAnsi="Calibri" w:cs="Calibri"/>
          <w:color w:val="494641" w:themeColor="text2" w:themeShade="BF"/>
          <w:sz w:val="21"/>
          <w:szCs w:val="21"/>
        </w:rPr>
        <w:t xml:space="preserve"> will ensure that updated copies are available in collection kits and outdated blank forms are removed from PrEP clinics.</w:t>
      </w:r>
    </w:p>
    <w:p w14:paraId="26C21231"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p>
    <w:p w14:paraId="7E40A382"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Country teams may be able to enroll participants under the age of 18 (age of consent) if they have received prior approval from their IRB/EC. Documentation of IRB/EC considerations for enrolling participants under 18 years of age must be filed with other study essential documents. PrEP clinics must be informed of any considerations for enrolling minors in the study.</w:t>
      </w:r>
    </w:p>
    <w:p w14:paraId="10CDBDE5"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p>
    <w:p w14:paraId="3FFAC3D9" w14:textId="77777777" w:rsidR="000951AC"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For participants who do not provide consent, no procedures should be performed and no data that can be linked to the participant’s name or other personal identifier(s) should be recorded. </w:t>
      </w:r>
    </w:p>
    <w:p w14:paraId="12382484" w14:textId="77777777" w:rsidR="000951AC" w:rsidRPr="000A3585" w:rsidRDefault="000951AC" w:rsidP="00D76C78">
      <w:pPr>
        <w:pStyle w:val="BodyTextIndent2"/>
        <w:spacing w:line="276" w:lineRule="auto"/>
        <w:ind w:right="116"/>
        <w:rPr>
          <w:rStyle w:val="Style11pt"/>
          <w:rFonts w:ascii="Calibri" w:hAnsi="Calibri" w:cs="Calibri"/>
          <w:color w:val="494641" w:themeColor="text2" w:themeShade="BF"/>
          <w:sz w:val="21"/>
          <w:szCs w:val="21"/>
        </w:rPr>
      </w:pPr>
    </w:p>
    <w:p w14:paraId="65EDF3F5" w14:textId="2E44F9E7" w:rsidR="000951AC" w:rsidRPr="000A3585" w:rsidRDefault="000951AC" w:rsidP="00D76C78">
      <w:pPr>
        <w:pStyle w:val="BodyTextIndent2"/>
        <w:spacing w:after="60"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Irrespective if there is a written or oral consent process, it is the responsibility of the clinic staff involved in the informed consent process to: </w:t>
      </w:r>
    </w:p>
    <w:p w14:paraId="74B4E986" w14:textId="77777777" w:rsidR="000951AC" w:rsidRPr="000A3585" w:rsidRDefault="000951AC" w:rsidP="00D76C78">
      <w:pPr>
        <w:pStyle w:val="BodyTextIndent2"/>
        <w:numPr>
          <w:ilvl w:val="0"/>
          <w:numId w:val="46"/>
        </w:numPr>
        <w:spacing w:after="60" w:line="276" w:lineRule="auto"/>
        <w:ind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Deliver all required information in a private setting, and in a manner that is understandable to the potential study </w:t>
      </w:r>
      <w:proofErr w:type="gramStart"/>
      <w:r w:rsidRPr="000A3585">
        <w:rPr>
          <w:rStyle w:val="Style11pt"/>
          <w:rFonts w:ascii="Calibri" w:hAnsi="Calibri" w:cs="Calibri"/>
          <w:color w:val="494641" w:themeColor="text2" w:themeShade="BF"/>
          <w:sz w:val="21"/>
          <w:szCs w:val="21"/>
        </w:rPr>
        <w:t>participant</w:t>
      </w:r>
      <w:proofErr w:type="gramEnd"/>
      <w:r w:rsidRPr="000A3585">
        <w:rPr>
          <w:rStyle w:val="Style11pt"/>
          <w:rFonts w:ascii="Calibri" w:hAnsi="Calibri" w:cs="Calibri"/>
          <w:color w:val="494641" w:themeColor="text2" w:themeShade="BF"/>
          <w:sz w:val="21"/>
          <w:szCs w:val="21"/>
        </w:rPr>
        <w:t xml:space="preserve"> </w:t>
      </w:r>
    </w:p>
    <w:p w14:paraId="5B6FAC9E" w14:textId="77777777" w:rsidR="000951AC" w:rsidRPr="000A3585" w:rsidRDefault="000951AC" w:rsidP="00D76C78">
      <w:pPr>
        <w:pStyle w:val="BodyTextIndent2"/>
        <w:numPr>
          <w:ilvl w:val="0"/>
          <w:numId w:val="46"/>
        </w:numPr>
        <w:spacing w:after="60" w:line="276" w:lineRule="auto"/>
        <w:ind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Assure that informed consent is obtained in a setting free of coercion and undue </w:t>
      </w:r>
      <w:proofErr w:type="gramStart"/>
      <w:r w:rsidRPr="000A3585">
        <w:rPr>
          <w:rStyle w:val="Style11pt"/>
          <w:rFonts w:ascii="Calibri" w:hAnsi="Calibri" w:cs="Calibri"/>
          <w:color w:val="494641" w:themeColor="text2" w:themeShade="BF"/>
          <w:sz w:val="21"/>
          <w:szCs w:val="21"/>
        </w:rPr>
        <w:t>influence</w:t>
      </w:r>
      <w:proofErr w:type="gramEnd"/>
    </w:p>
    <w:p w14:paraId="663E1BD0" w14:textId="77777777" w:rsidR="000951AC" w:rsidRPr="000A3585" w:rsidRDefault="000951AC" w:rsidP="00D76C78">
      <w:pPr>
        <w:pStyle w:val="BodyTextIndent2"/>
        <w:numPr>
          <w:ilvl w:val="0"/>
          <w:numId w:val="46"/>
        </w:numPr>
        <w:spacing w:after="60" w:line="276" w:lineRule="auto"/>
        <w:ind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Confirm that the participant comprehends the </w:t>
      </w:r>
      <w:proofErr w:type="gramStart"/>
      <w:r w:rsidRPr="000A3585">
        <w:rPr>
          <w:rStyle w:val="Style11pt"/>
          <w:rFonts w:ascii="Calibri" w:hAnsi="Calibri" w:cs="Calibri"/>
          <w:color w:val="494641" w:themeColor="text2" w:themeShade="BF"/>
          <w:sz w:val="21"/>
          <w:szCs w:val="21"/>
        </w:rPr>
        <w:t>information</w:t>
      </w:r>
      <w:proofErr w:type="gramEnd"/>
    </w:p>
    <w:p w14:paraId="77BDE269" w14:textId="77777777" w:rsidR="000951AC" w:rsidRPr="000A3585" w:rsidRDefault="000951AC" w:rsidP="00D76C78">
      <w:pPr>
        <w:pStyle w:val="BodyTextIndent2"/>
        <w:numPr>
          <w:ilvl w:val="0"/>
          <w:numId w:val="46"/>
        </w:numPr>
        <w:spacing w:after="60" w:line="276" w:lineRule="auto"/>
        <w:ind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 xml:space="preserve">Document the </w:t>
      </w:r>
      <w:proofErr w:type="gramStart"/>
      <w:r w:rsidRPr="000A3585">
        <w:rPr>
          <w:rStyle w:val="Style11pt"/>
          <w:rFonts w:ascii="Calibri" w:hAnsi="Calibri" w:cs="Calibri"/>
          <w:color w:val="494641" w:themeColor="text2" w:themeShade="BF"/>
          <w:sz w:val="21"/>
          <w:szCs w:val="21"/>
        </w:rPr>
        <w:t>process</w:t>
      </w:r>
      <w:proofErr w:type="gramEnd"/>
    </w:p>
    <w:p w14:paraId="4AA3CCE8" w14:textId="77777777" w:rsidR="000951AC" w:rsidRPr="000A3585" w:rsidRDefault="000951AC" w:rsidP="00D76C78">
      <w:pPr>
        <w:pStyle w:val="BodyTextIndent2"/>
        <w:spacing w:line="276" w:lineRule="auto"/>
        <w:ind w:right="116"/>
        <w:rPr>
          <w:rStyle w:val="Style11pt"/>
          <w:rFonts w:ascii="Calibri" w:hAnsi="Calibri" w:cs="Calibri"/>
          <w:color w:val="494641" w:themeColor="text2" w:themeShade="BF"/>
          <w:sz w:val="21"/>
          <w:szCs w:val="21"/>
        </w:rPr>
      </w:pPr>
    </w:p>
    <w:p w14:paraId="08F8B661" w14:textId="399A7A6F" w:rsidR="000951AC" w:rsidRPr="000A3585" w:rsidRDefault="000951AC" w:rsidP="00D76C78">
      <w:pPr>
        <w:pStyle w:val="CommentText"/>
        <w:spacing w:line="276" w:lineRule="auto"/>
        <w:ind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An illiterate participant can be consented and enrolled, provid</w:t>
      </w:r>
      <w:r w:rsidR="003C054A" w:rsidRPr="000A3585">
        <w:rPr>
          <w:rStyle w:val="Style11pt"/>
          <w:rFonts w:ascii="Calibri" w:hAnsi="Calibri" w:cs="Calibri"/>
          <w:color w:val="494641" w:themeColor="text2" w:themeShade="BF"/>
          <w:sz w:val="21"/>
          <w:szCs w:val="21"/>
        </w:rPr>
        <w:t>ed</w:t>
      </w:r>
      <w:r w:rsidRPr="000A3585">
        <w:rPr>
          <w:rStyle w:val="Style11pt"/>
          <w:rFonts w:ascii="Calibri" w:hAnsi="Calibri" w:cs="Calibri"/>
          <w:color w:val="494641" w:themeColor="text2" w:themeShade="BF"/>
          <w:sz w:val="21"/>
          <w:szCs w:val="21"/>
        </w:rPr>
        <w:t xml:space="preserve"> they are otherwise willing and eligible. Specific procedures for consenting illiterate clients are outlined by the IRB/EC of record.</w:t>
      </w:r>
    </w:p>
    <w:p w14:paraId="48794F66" w14:textId="77777777" w:rsidR="000951AC" w:rsidRPr="000A3585" w:rsidRDefault="000951AC" w:rsidP="00D76C78">
      <w:pPr>
        <w:pStyle w:val="BodyTextIndent2"/>
        <w:spacing w:line="276" w:lineRule="auto"/>
        <w:ind w:right="116"/>
        <w:rPr>
          <w:rStyle w:val="Style11pt"/>
          <w:rFonts w:ascii="Calibri" w:hAnsi="Calibri" w:cs="Calibri"/>
          <w:color w:val="494641" w:themeColor="text2" w:themeShade="BF"/>
          <w:sz w:val="21"/>
          <w:szCs w:val="21"/>
        </w:rPr>
      </w:pPr>
    </w:p>
    <w:p w14:paraId="6AE42E02" w14:textId="77777777" w:rsidR="00CB5E1A" w:rsidRPr="000A3585" w:rsidRDefault="000951AC" w:rsidP="00D76C78">
      <w:pPr>
        <w:pStyle w:val="BodyTextIndent2"/>
        <w:spacing w:line="276" w:lineRule="auto"/>
        <w:ind w:left="0" w:right="116"/>
        <w:rPr>
          <w:rStyle w:val="Style11pt"/>
          <w:rFonts w:ascii="Calibri" w:hAnsi="Calibri" w:cs="Calibri"/>
          <w:color w:val="494641" w:themeColor="text2" w:themeShade="BF"/>
          <w:sz w:val="21"/>
          <w:szCs w:val="21"/>
        </w:rPr>
      </w:pPr>
      <w:r w:rsidRPr="000A3585">
        <w:rPr>
          <w:rStyle w:val="Style11pt"/>
          <w:rFonts w:ascii="Calibri" w:hAnsi="Calibri" w:cs="Calibri"/>
          <w:color w:val="494641" w:themeColor="text2" w:themeShade="BF"/>
          <w:sz w:val="21"/>
          <w:szCs w:val="21"/>
        </w:rPr>
        <w:t>Participants should be offered a signed copy of the consent or information sheet, if applicable, though they may opt to not receive a copy.</w:t>
      </w:r>
    </w:p>
    <w:p w14:paraId="1B5D2DCD" w14:textId="77777777" w:rsidR="00CB5E1A" w:rsidRPr="00AB7CF3" w:rsidRDefault="00CB5E1A" w:rsidP="00D76C78">
      <w:pPr>
        <w:spacing w:line="276" w:lineRule="auto"/>
        <w:ind w:right="116"/>
        <w:rPr>
          <w:rStyle w:val="Style11pt"/>
          <w:sz w:val="21"/>
          <w:szCs w:val="21"/>
        </w:rPr>
      </w:pPr>
      <w:r w:rsidRPr="00AB7CF3">
        <w:rPr>
          <w:rStyle w:val="Style11pt"/>
          <w:sz w:val="21"/>
          <w:szCs w:val="21"/>
        </w:rPr>
        <w:br w:type="page"/>
      </w:r>
    </w:p>
    <w:p w14:paraId="1059F011" w14:textId="0BD8E864" w:rsidR="00CB5E1A" w:rsidRPr="000A3585" w:rsidRDefault="00C97C62" w:rsidP="00D76C78">
      <w:pPr>
        <w:pStyle w:val="Heading1"/>
        <w:numPr>
          <w:ilvl w:val="0"/>
          <w:numId w:val="16"/>
        </w:numPr>
        <w:tabs>
          <w:tab w:val="num" w:pos="720"/>
        </w:tabs>
        <w:spacing w:line="276" w:lineRule="auto"/>
        <w:ind w:left="432" w:right="116" w:hanging="432"/>
        <w:rPr>
          <w:rFonts w:ascii="Poppins" w:hAnsi="Poppins" w:cs="Poppins"/>
          <w:color w:val="29676B" w:themeColor="accent1"/>
          <w:sz w:val="26"/>
          <w:szCs w:val="26"/>
        </w:rPr>
      </w:pPr>
      <w:bookmarkStart w:id="25" w:name="_Toc126247375"/>
      <w:bookmarkStart w:id="26" w:name="_Toc142048256"/>
      <w:r w:rsidRPr="000A3585">
        <w:rPr>
          <w:rFonts w:ascii="Poppins" w:hAnsi="Poppins" w:cs="Poppins"/>
          <w:color w:val="29676B" w:themeColor="accent1"/>
          <w:sz w:val="26"/>
          <w:szCs w:val="26"/>
        </w:rPr>
        <w:lastRenderedPageBreak/>
        <w:t xml:space="preserve">Study Procedures </w:t>
      </w:r>
      <w:r w:rsidR="00CB5E1A" w:rsidRPr="000A3585">
        <w:rPr>
          <w:rFonts w:ascii="Poppins" w:hAnsi="Poppins" w:cs="Poppins"/>
          <w:color w:val="29676B" w:themeColor="accent1"/>
          <w:sz w:val="26"/>
          <w:szCs w:val="26"/>
        </w:rPr>
        <w:t>Introduction</w:t>
      </w:r>
      <w:bookmarkEnd w:id="25"/>
      <w:bookmarkEnd w:id="26"/>
    </w:p>
    <w:p w14:paraId="7E7B5AFC" w14:textId="6CA8DC80" w:rsidR="00CB5E1A" w:rsidRPr="004D4528" w:rsidRDefault="00CB5E1A" w:rsidP="00D76C78">
      <w:pPr>
        <w:keepLines/>
        <w:tabs>
          <w:tab w:val="left" w:pos="-1440"/>
        </w:tabs>
        <w:spacing w:line="276" w:lineRule="auto"/>
        <w:ind w:right="116"/>
        <w:rPr>
          <w:rFonts w:ascii="Calibri" w:eastAsia="Arial" w:hAnsi="Calibri" w:cs="Calibri"/>
          <w:snapToGrid w:val="0"/>
          <w:color w:val="494641" w:themeColor="text2" w:themeShade="BF"/>
          <w:sz w:val="21"/>
          <w:szCs w:val="21"/>
        </w:rPr>
      </w:pPr>
      <w:r w:rsidRPr="004D4528">
        <w:rPr>
          <w:rFonts w:ascii="Calibri" w:hAnsi="Calibri" w:cs="Calibri"/>
          <w:snapToGrid w:val="0"/>
          <w:color w:val="494641" w:themeColor="text2" w:themeShade="BF"/>
          <w:sz w:val="21"/>
          <w:szCs w:val="21"/>
        </w:rPr>
        <w:t>This section provides information regarding study procedures for MOSAIC HIVDR-sponsored studies, including enrollment, sample collection and results provision. Information on laboratory procedures is provided in Section 4.</w:t>
      </w:r>
    </w:p>
    <w:p w14:paraId="1C36A5DB" w14:textId="77777777" w:rsidR="004D4528" w:rsidRPr="004D4528" w:rsidRDefault="004D4528" w:rsidP="00D76C78">
      <w:pPr>
        <w:keepLines/>
        <w:tabs>
          <w:tab w:val="left" w:pos="-1440"/>
        </w:tabs>
        <w:spacing w:line="276" w:lineRule="auto"/>
        <w:ind w:right="116"/>
        <w:rPr>
          <w:rFonts w:ascii="Calibri" w:eastAsia="Arial" w:hAnsi="Calibri" w:cs="Calibri"/>
          <w:snapToGrid w:val="0"/>
          <w:color w:val="494641" w:themeColor="text2" w:themeShade="BF"/>
          <w:sz w:val="21"/>
          <w:szCs w:val="21"/>
        </w:rPr>
      </w:pPr>
    </w:p>
    <w:p w14:paraId="0BC3F955" w14:textId="109265A6" w:rsidR="00CB5E1A" w:rsidRPr="000A3585" w:rsidRDefault="007D6538" w:rsidP="00D76C78">
      <w:pPr>
        <w:pStyle w:val="Heading1"/>
        <w:numPr>
          <w:ilvl w:val="0"/>
          <w:numId w:val="0"/>
        </w:numPr>
        <w:spacing w:after="60" w:line="276" w:lineRule="auto"/>
        <w:ind w:left="432" w:right="116" w:hanging="432"/>
        <w:rPr>
          <w:rFonts w:ascii="Poppins SemiBold" w:hAnsi="Poppins SemiBold" w:cs="Poppins SemiBold"/>
          <w:bCs/>
          <w:color w:val="29676B" w:themeColor="accent1"/>
          <w:sz w:val="21"/>
          <w:szCs w:val="21"/>
        </w:rPr>
      </w:pPr>
      <w:bookmarkStart w:id="27" w:name="_Toc415156736"/>
      <w:bookmarkStart w:id="28" w:name="_Toc415216967"/>
      <w:bookmarkStart w:id="29" w:name="_Toc478410687"/>
      <w:bookmarkStart w:id="30" w:name="_Toc478410967"/>
      <w:bookmarkStart w:id="31" w:name="_Toc487714071"/>
      <w:bookmarkStart w:id="32" w:name="_Toc10548160"/>
      <w:bookmarkStart w:id="33" w:name="_Toc126247376"/>
      <w:bookmarkStart w:id="34" w:name="_Toc142048257"/>
      <w:r w:rsidRPr="000A3585">
        <w:rPr>
          <w:rFonts w:ascii="Poppins SemiBold" w:hAnsi="Poppins SemiBold" w:cs="Poppins SemiBold"/>
          <w:bCs/>
          <w:color w:val="29676B" w:themeColor="accent1"/>
          <w:sz w:val="21"/>
          <w:szCs w:val="21"/>
        </w:rPr>
        <w:t>3.1</w:t>
      </w:r>
      <w:r w:rsidRPr="000A3585">
        <w:rPr>
          <w:rFonts w:ascii="Poppins SemiBold" w:hAnsi="Poppins SemiBold" w:cs="Poppins SemiBold"/>
          <w:bCs/>
          <w:color w:val="29676B" w:themeColor="accent1"/>
          <w:sz w:val="21"/>
          <w:szCs w:val="21"/>
        </w:rPr>
        <w:tab/>
      </w:r>
      <w:r w:rsidR="00CB5E1A" w:rsidRPr="000A3585">
        <w:rPr>
          <w:rFonts w:ascii="Poppins SemiBold" w:hAnsi="Poppins SemiBold" w:cs="Poppins SemiBold"/>
          <w:bCs/>
          <w:color w:val="29676B" w:themeColor="accent1"/>
          <w:sz w:val="21"/>
          <w:szCs w:val="21"/>
        </w:rPr>
        <w:t>Visit Location</w:t>
      </w:r>
      <w:bookmarkEnd w:id="27"/>
      <w:bookmarkEnd w:id="28"/>
      <w:bookmarkEnd w:id="29"/>
      <w:bookmarkEnd w:id="30"/>
      <w:bookmarkEnd w:id="31"/>
      <w:bookmarkEnd w:id="32"/>
      <w:bookmarkEnd w:id="33"/>
      <w:bookmarkEnd w:id="34"/>
    </w:p>
    <w:p w14:paraId="6B2D56EE" w14:textId="6AE06CB6" w:rsidR="00CB5E1A"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0A3585">
        <w:rPr>
          <w:rFonts w:ascii="Calibri" w:hAnsi="Calibri" w:cs="Calibri"/>
          <w:snapToGrid w:val="0"/>
          <w:color w:val="494641" w:themeColor="text2" w:themeShade="BF"/>
          <w:sz w:val="21"/>
          <w:szCs w:val="21"/>
        </w:rPr>
        <w:t>Given the nature of the study procedures, all visit procedures are expected to be completed at the study clinic.</w:t>
      </w:r>
    </w:p>
    <w:p w14:paraId="1E6EB3CD" w14:textId="77777777" w:rsidR="004D4528" w:rsidRPr="004D4528" w:rsidRDefault="004D4528"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79FF035A" w14:textId="28AED8AB" w:rsidR="00CB5E1A" w:rsidRPr="00D17D22" w:rsidRDefault="007D6538" w:rsidP="00D76C78">
      <w:pPr>
        <w:pStyle w:val="Heading1"/>
        <w:numPr>
          <w:ilvl w:val="0"/>
          <w:numId w:val="0"/>
        </w:numPr>
        <w:spacing w:after="60" w:line="276" w:lineRule="auto"/>
        <w:ind w:left="432" w:right="116" w:hanging="432"/>
        <w:rPr>
          <w:rFonts w:ascii="Poppins SemiBold" w:hAnsi="Poppins SemiBold" w:cs="Poppins SemiBold"/>
          <w:bCs/>
          <w:color w:val="29676B" w:themeColor="accent1"/>
          <w:sz w:val="21"/>
          <w:szCs w:val="21"/>
        </w:rPr>
      </w:pPr>
      <w:bookmarkStart w:id="35" w:name="_Toc415156738"/>
      <w:bookmarkStart w:id="36" w:name="_Toc415216969"/>
      <w:bookmarkStart w:id="37" w:name="_Toc478410689"/>
      <w:bookmarkStart w:id="38" w:name="_Toc478410969"/>
      <w:bookmarkStart w:id="39" w:name="_Toc487714073"/>
      <w:bookmarkStart w:id="40" w:name="_Toc10548162"/>
      <w:bookmarkStart w:id="41" w:name="_Toc126247377"/>
      <w:bookmarkStart w:id="42" w:name="_Toc142048258"/>
      <w:r w:rsidRPr="00D17D22">
        <w:rPr>
          <w:rFonts w:ascii="Poppins SemiBold" w:hAnsi="Poppins SemiBold" w:cs="Poppins SemiBold"/>
          <w:bCs/>
          <w:color w:val="29676B" w:themeColor="accent1"/>
          <w:sz w:val="21"/>
          <w:szCs w:val="21"/>
        </w:rPr>
        <w:t>3.2</w:t>
      </w:r>
      <w:r w:rsidRPr="00D17D22">
        <w:rPr>
          <w:rFonts w:ascii="Poppins SemiBold" w:hAnsi="Poppins SemiBold" w:cs="Poppins SemiBold"/>
          <w:bCs/>
          <w:color w:val="29676B" w:themeColor="accent1"/>
          <w:sz w:val="21"/>
          <w:szCs w:val="21"/>
        </w:rPr>
        <w:tab/>
      </w:r>
      <w:r w:rsidR="00CB5E1A" w:rsidRPr="00D17D22">
        <w:rPr>
          <w:rFonts w:ascii="Poppins SemiBold" w:hAnsi="Poppins SemiBold" w:cs="Poppins SemiBold"/>
          <w:bCs/>
          <w:color w:val="29676B" w:themeColor="accent1"/>
          <w:sz w:val="21"/>
          <w:szCs w:val="21"/>
        </w:rPr>
        <w:t>Overview of Study Visit</w:t>
      </w:r>
      <w:bookmarkEnd w:id="35"/>
      <w:bookmarkEnd w:id="36"/>
      <w:bookmarkEnd w:id="37"/>
      <w:bookmarkEnd w:id="38"/>
      <w:bookmarkEnd w:id="39"/>
      <w:bookmarkEnd w:id="40"/>
      <w:r w:rsidR="00CB5E1A" w:rsidRPr="00D17D22">
        <w:rPr>
          <w:rFonts w:ascii="Poppins SemiBold" w:hAnsi="Poppins SemiBold" w:cs="Poppins SemiBold"/>
          <w:bCs/>
          <w:color w:val="29676B" w:themeColor="accent1"/>
          <w:sz w:val="21"/>
          <w:szCs w:val="21"/>
        </w:rPr>
        <w:t xml:space="preserve"> Procedures</w:t>
      </w:r>
      <w:bookmarkEnd w:id="41"/>
      <w:bookmarkEnd w:id="42"/>
    </w:p>
    <w:p w14:paraId="473090AD" w14:textId="77777777" w:rsidR="00CB5E1A" w:rsidRPr="00D17D22"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Ideally, all study procedures are expected to occur on one day, at the time of the first reactive HIV test result (see Figure 1). If for some reason procedures are not completed on the day of identified seroconversion, clients will be asked to return to the clinic to complete the procedure as soon as possible as within 5 days; assuming they are still eligible per protocol requirements. Template job aids, standard operating procedures and other support materials will be provided to country project managers. These materials may be adapted for country-specific procedures. </w:t>
      </w:r>
    </w:p>
    <w:p w14:paraId="2D2B15CA" w14:textId="77777777" w:rsidR="00CB5E1A" w:rsidRPr="00D17D22"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68EFB129" w14:textId="77777777" w:rsidR="00CB5E1A" w:rsidRPr="00D17D22"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Upon identification of a potential participant, the study staff person will open a “MOSAIC HIVDR Kit” and conduct informed consent and eligibility determination per Section 2 of this manual. </w:t>
      </w:r>
    </w:p>
    <w:p w14:paraId="4E6C565F" w14:textId="77777777" w:rsidR="00CB5E1A" w:rsidRPr="00D17D22"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35188BF5" w14:textId="149EB223" w:rsidR="00CB5E1A" w:rsidRPr="00D17D22" w:rsidRDefault="00CB5E1A" w:rsidP="00D76C78">
      <w:pPr>
        <w:keepLines/>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Typically, MOSAIC HIVDR DBS Kits will include the following:</w:t>
      </w:r>
    </w:p>
    <w:p w14:paraId="09BE1312"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Alcohol or spirit swabs </w:t>
      </w:r>
    </w:p>
    <w:p w14:paraId="5BEE3D94"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EDTA vacutainer blood collection tube </w:t>
      </w:r>
    </w:p>
    <w:p w14:paraId="5DBD3EC4"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Blood collection safety needle and cap </w:t>
      </w:r>
    </w:p>
    <w:p w14:paraId="401DC38A"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Vacutainer holder  </w:t>
      </w:r>
    </w:p>
    <w:p w14:paraId="50E352E8"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Lancet device</w:t>
      </w:r>
    </w:p>
    <w:p w14:paraId="3BF07CF3"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Gauze</w:t>
      </w:r>
    </w:p>
    <w:p w14:paraId="13F65AFC"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Fabric bandage</w:t>
      </w:r>
    </w:p>
    <w:p w14:paraId="6D0D2DD1"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Two unused DBS cards </w:t>
      </w:r>
    </w:p>
    <w:p w14:paraId="2DA39493"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Transfer pipette (plastic dropper) </w:t>
      </w:r>
    </w:p>
    <w:p w14:paraId="7787A9BC"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Two sealable plastic bags </w:t>
      </w:r>
    </w:p>
    <w:p w14:paraId="2A878570"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Desiccant packs </w:t>
      </w:r>
    </w:p>
    <w:p w14:paraId="2C16E225"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Humidity indicator cards</w:t>
      </w:r>
    </w:p>
    <w:p w14:paraId="04EE71B9"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Barcode labelled stickers  </w:t>
      </w:r>
    </w:p>
    <w:p w14:paraId="4A8D763C"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Laboratory Requisition form </w:t>
      </w:r>
    </w:p>
    <w:p w14:paraId="2FFDC632"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Case Report form</w:t>
      </w:r>
    </w:p>
    <w:p w14:paraId="35A9434E" w14:textId="7777777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Informed Consent form </w:t>
      </w:r>
    </w:p>
    <w:p w14:paraId="3987EAB1" w14:textId="71CEC37B"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Chain of Custody form </w:t>
      </w:r>
    </w:p>
    <w:p w14:paraId="2E435C99" w14:textId="242E37A7" w:rsidR="00CB5E1A" w:rsidRPr="00D17D22" w:rsidRDefault="00CB5E1A" w:rsidP="00D76C78">
      <w:pPr>
        <w:keepLines/>
        <w:numPr>
          <w:ilvl w:val="0"/>
          <w:numId w:val="31"/>
        </w:numPr>
        <w:tabs>
          <w:tab w:val="left" w:pos="-1440"/>
        </w:tabs>
        <w:spacing w:after="60"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lastRenderedPageBreak/>
        <w:t xml:space="preserve">Pre-addressed shipping envelope </w:t>
      </w:r>
    </w:p>
    <w:p w14:paraId="69441A51" w14:textId="77777777" w:rsidR="00CB5E1A" w:rsidRPr="00D17D22"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0520EFDB" w14:textId="77777777" w:rsidR="004D4528"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D17D22">
        <w:rPr>
          <w:rFonts w:ascii="Calibri" w:hAnsi="Calibri" w:cs="Calibri"/>
          <w:snapToGrid w:val="0"/>
          <w:color w:val="494641" w:themeColor="text2" w:themeShade="BF"/>
          <w:sz w:val="21"/>
          <w:szCs w:val="21"/>
        </w:rPr>
        <w:t xml:space="preserve">For sites enrolling PrEP ring users, kits will also be provided that have PrEP ring collection materials, including a storage bag, container for rinsing the ring, and paper towels/gauze. </w:t>
      </w:r>
    </w:p>
    <w:p w14:paraId="01C7174D" w14:textId="65D05A31" w:rsidR="00CB5E1A" w:rsidRPr="004D4528" w:rsidRDefault="00A10722"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AB7CF3">
        <w:rPr>
          <w:noProof/>
          <w:sz w:val="21"/>
          <w:szCs w:val="21"/>
        </w:rPr>
        <mc:AlternateContent>
          <mc:Choice Requires="wps">
            <w:drawing>
              <wp:anchor distT="0" distB="0" distL="114300" distR="114300" simplePos="0" relativeHeight="251661319" behindDoc="0" locked="0" layoutInCell="1" allowOverlap="1" wp14:anchorId="3A4AB3AF" wp14:editId="416E08A1">
                <wp:simplePos x="0" y="0"/>
                <wp:positionH relativeFrom="margin">
                  <wp:posOffset>10272395</wp:posOffset>
                </wp:positionH>
                <wp:positionV relativeFrom="margin">
                  <wp:posOffset>-602615</wp:posOffset>
                </wp:positionV>
                <wp:extent cx="2177415" cy="144335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443355"/>
                        </a:xfrm>
                        <a:prstGeom prst="rect">
                          <a:avLst/>
                        </a:prstGeom>
                        <a:noFill/>
                        <a:ln w="6350">
                          <a:noFill/>
                        </a:ln>
                      </wps:spPr>
                      <wps:txbx>
                        <w:txbxContent>
                          <w:p w14:paraId="7473E422" w14:textId="77777777" w:rsidR="00A10722"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 xml:space="preserve">Template Manual </w:t>
                            </w:r>
                          </w:p>
                          <w:p w14:paraId="1D03E3B7" w14:textId="77777777" w:rsidR="00A10722"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of Procedures</w:t>
                            </w:r>
                          </w:p>
                          <w:p w14:paraId="3943A498" w14:textId="77777777" w:rsidR="00A10722" w:rsidRPr="00CA2E9F"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4 August 2023</w:t>
                            </w:r>
                          </w:p>
                        </w:txbxContent>
                      </wps:txbx>
                      <wps:bodyPr rot="0" spcFirstLastPara="0" vertOverflow="overflow" horzOverflow="overflow" vert="horz" wrap="square" lIns="91440" tIns="137160" rIns="91440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B3AF" id="Text Box 16" o:spid="_x0000_s1027" type="#_x0000_t202" style="position:absolute;margin-left:808.85pt;margin-top:-47.45pt;width:171.45pt;height:113.65pt;z-index:2516613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" filled="f" stroked="f" strokeweight=".5pt">
                <v:textbox inset=",10.8pt,1in,14.4pt">
                  <w:txbxContent>
                    <w:p w14:paraId="7473E422" w14:textId="77777777" w:rsidR="00A10722"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 xml:space="preserve">Template Manual </w:t>
                      </w:r>
                    </w:p>
                    <w:p w14:paraId="1D03E3B7" w14:textId="77777777" w:rsidR="00A10722"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of Procedures</w:t>
                      </w:r>
                    </w:p>
                    <w:p w14:paraId="3943A498" w14:textId="77777777" w:rsidR="00A10722" w:rsidRPr="00CA2E9F" w:rsidRDefault="00A10722" w:rsidP="00A10722">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4 August 2023</w:t>
                      </w:r>
                    </w:p>
                  </w:txbxContent>
                </v:textbox>
                <w10:wrap type="square" anchorx="margin" anchory="margin"/>
              </v:shape>
            </w:pict>
          </mc:Fallback>
        </mc:AlternateContent>
      </w:r>
      <w:r w:rsidRPr="00AB7CF3">
        <w:rPr>
          <w:noProof/>
          <w:sz w:val="21"/>
          <w:szCs w:val="21"/>
        </w:rPr>
        <mc:AlternateContent>
          <mc:Choice Requires="wps">
            <w:drawing>
              <wp:anchor distT="0" distB="0" distL="114300" distR="114300" simplePos="0" relativeHeight="251662343" behindDoc="0" locked="0" layoutInCell="1" allowOverlap="1" wp14:anchorId="3AE3B5AB" wp14:editId="4CBD2681">
                <wp:simplePos x="0" y="0"/>
                <wp:positionH relativeFrom="column">
                  <wp:posOffset>9933305</wp:posOffset>
                </wp:positionH>
                <wp:positionV relativeFrom="paragraph">
                  <wp:posOffset>-7392670</wp:posOffset>
                </wp:positionV>
                <wp:extent cx="0" cy="648970"/>
                <wp:effectExtent l="0" t="0" r="12700" b="11430"/>
                <wp:wrapNone/>
                <wp:docPr id="17" name="Straight Connector 17"/>
                <wp:cNvGraphicFramePr/>
                <a:graphic xmlns:a="http://schemas.openxmlformats.org/drawingml/2006/main">
                  <a:graphicData uri="http://schemas.microsoft.com/office/word/2010/wordprocessingShape">
                    <wps:wsp>
                      <wps:cNvCnPr/>
                      <wps:spPr>
                        <a:xfrm>
                          <a:off x="0" y="0"/>
                          <a:ext cx="0" cy="648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797E7" id="Straight Connector 17" o:spid="_x0000_s1026" style="position:absolute;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15pt,-582.1pt" to="782.1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" strokecolor="#29676b [3204]" strokeweight=".5pt">
                <v:stroke joinstyle="miter"/>
              </v:line>
            </w:pict>
          </mc:Fallback>
        </mc:AlternateContent>
      </w:r>
    </w:p>
    <w:p w14:paraId="18BEA901" w14:textId="0B6CDEDC" w:rsidR="00CB5E1A"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4D0507">
        <w:rPr>
          <w:rFonts w:ascii="Calibri" w:hAnsi="Calibri" w:cs="Calibri"/>
          <w:snapToGrid w:val="0"/>
          <w:color w:val="494641" w:themeColor="text2" w:themeShade="BF"/>
          <w:sz w:val="21"/>
          <w:szCs w:val="21"/>
        </w:rPr>
        <w:t xml:space="preserve">Clinic staff are requested to inform the applicable </w:t>
      </w:r>
      <w:r w:rsidR="00090279" w:rsidRPr="004D0507">
        <w:rPr>
          <w:rFonts w:ascii="Calibri" w:hAnsi="Calibri" w:cs="Calibri"/>
          <w:snapToGrid w:val="0"/>
          <w:color w:val="494641" w:themeColor="text2" w:themeShade="BF"/>
          <w:sz w:val="21"/>
          <w:szCs w:val="21"/>
        </w:rPr>
        <w:t>[</w:t>
      </w:r>
      <w:r w:rsidRPr="004D0507">
        <w:rPr>
          <w:rFonts w:ascii="Calibri" w:hAnsi="Calibri" w:cs="Calibri"/>
          <w:i/>
          <w:iCs/>
          <w:snapToGrid w:val="0"/>
          <w:color w:val="494641" w:themeColor="text2" w:themeShade="BF"/>
          <w:sz w:val="21"/>
          <w:szCs w:val="21"/>
        </w:rPr>
        <w:t>country project manager</w:t>
      </w:r>
      <w:r w:rsidR="00090279" w:rsidRPr="004D0507">
        <w:rPr>
          <w:rFonts w:ascii="Calibri" w:hAnsi="Calibri" w:cs="Calibri"/>
          <w:snapToGrid w:val="0"/>
          <w:color w:val="494641" w:themeColor="text2" w:themeShade="BF"/>
          <w:sz w:val="21"/>
          <w:szCs w:val="21"/>
        </w:rPr>
        <w:t>]</w:t>
      </w:r>
      <w:r w:rsidRPr="004D0507">
        <w:rPr>
          <w:rFonts w:ascii="Calibri" w:hAnsi="Calibri" w:cs="Calibri"/>
          <w:snapToGrid w:val="0"/>
          <w:color w:val="494641" w:themeColor="text2" w:themeShade="BF"/>
          <w:sz w:val="21"/>
          <w:szCs w:val="21"/>
        </w:rPr>
        <w:t xml:space="preserve"> about the potential participants and the </w:t>
      </w:r>
      <w:r w:rsidR="009B5E3F" w:rsidRPr="004D0507">
        <w:rPr>
          <w:rFonts w:ascii="Calibri" w:hAnsi="Calibri" w:cs="Calibri"/>
          <w:snapToGrid w:val="0"/>
          <w:color w:val="494641" w:themeColor="text2" w:themeShade="BF"/>
          <w:sz w:val="21"/>
          <w:szCs w:val="21"/>
        </w:rPr>
        <w:t>[</w:t>
      </w:r>
      <w:r w:rsidR="00CE5313" w:rsidRPr="004D0507">
        <w:rPr>
          <w:rFonts w:ascii="Calibri" w:hAnsi="Calibri" w:cs="Calibri"/>
          <w:i/>
          <w:iCs/>
          <w:snapToGrid w:val="0"/>
          <w:color w:val="494641" w:themeColor="text2" w:themeShade="BF"/>
          <w:sz w:val="21"/>
          <w:szCs w:val="21"/>
        </w:rPr>
        <w:t xml:space="preserve">country </w:t>
      </w:r>
      <w:r w:rsidRPr="004D0507">
        <w:rPr>
          <w:rFonts w:ascii="Calibri" w:hAnsi="Calibri" w:cs="Calibri"/>
          <w:i/>
          <w:iCs/>
          <w:snapToGrid w:val="0"/>
          <w:color w:val="494641" w:themeColor="text2" w:themeShade="BF"/>
          <w:sz w:val="21"/>
          <w:szCs w:val="21"/>
        </w:rPr>
        <w:t>project manager</w:t>
      </w:r>
      <w:r w:rsidR="009B5E3F" w:rsidRPr="004D0507">
        <w:rPr>
          <w:rFonts w:ascii="Calibri" w:hAnsi="Calibri" w:cs="Calibri"/>
          <w:snapToGrid w:val="0"/>
          <w:color w:val="494641" w:themeColor="text2" w:themeShade="BF"/>
          <w:sz w:val="21"/>
          <w:szCs w:val="21"/>
        </w:rPr>
        <w:t>]</w:t>
      </w:r>
      <w:r w:rsidRPr="004D0507">
        <w:rPr>
          <w:rFonts w:ascii="Calibri" w:hAnsi="Calibri" w:cs="Calibri"/>
          <w:snapToGrid w:val="0"/>
          <w:color w:val="494641" w:themeColor="text2" w:themeShade="BF"/>
          <w:sz w:val="21"/>
          <w:szCs w:val="21"/>
        </w:rPr>
        <w:t xml:space="preserve"> can then provide any needed support, </w:t>
      </w:r>
      <w:proofErr w:type="gramStart"/>
      <w:r w:rsidRPr="004D0507">
        <w:rPr>
          <w:rFonts w:ascii="Calibri" w:hAnsi="Calibri" w:cs="Calibri"/>
          <w:snapToGrid w:val="0"/>
          <w:color w:val="494641" w:themeColor="text2" w:themeShade="BF"/>
          <w:sz w:val="21"/>
          <w:szCs w:val="21"/>
        </w:rPr>
        <w:t>instructions</w:t>
      </w:r>
      <w:proofErr w:type="gramEnd"/>
      <w:r w:rsidRPr="004D0507">
        <w:rPr>
          <w:rFonts w:ascii="Calibri" w:hAnsi="Calibri" w:cs="Calibri"/>
          <w:snapToGrid w:val="0"/>
          <w:color w:val="494641" w:themeColor="text2" w:themeShade="BF"/>
          <w:sz w:val="21"/>
          <w:szCs w:val="21"/>
        </w:rPr>
        <w:t xml:space="preserve"> and guidance to ensure the samples are collected and shipped according to protocol.</w:t>
      </w:r>
    </w:p>
    <w:p w14:paraId="65663D1D" w14:textId="77777777" w:rsidR="00CB5E1A" w:rsidRPr="00AB7CF3" w:rsidRDefault="00CB5E1A" w:rsidP="00D76C78">
      <w:pPr>
        <w:spacing w:line="276" w:lineRule="auto"/>
        <w:ind w:right="116"/>
        <w:jc w:val="both"/>
        <w:rPr>
          <w:sz w:val="21"/>
          <w:szCs w:val="21"/>
        </w:rPr>
      </w:pPr>
    </w:p>
    <w:p w14:paraId="1C961B33" w14:textId="32165944" w:rsidR="00CB5E1A" w:rsidRPr="004D0507" w:rsidRDefault="00CB5E1A" w:rsidP="00D76C78">
      <w:pPr>
        <w:keepNext/>
        <w:keepLines/>
        <w:spacing w:line="276" w:lineRule="auto"/>
        <w:ind w:right="116"/>
        <w:rPr>
          <w:rFonts w:ascii="Calibri" w:hAnsi="Calibri" w:cs="Calibri"/>
          <w:b/>
          <w:i/>
          <w:iCs/>
          <w:color w:val="29676B" w:themeColor="accent1"/>
          <w:sz w:val="21"/>
          <w:szCs w:val="21"/>
        </w:rPr>
      </w:pPr>
      <w:r w:rsidRPr="004D0507">
        <w:rPr>
          <w:rFonts w:ascii="Calibri" w:hAnsi="Calibri" w:cs="Calibri"/>
          <w:b/>
          <w:i/>
          <w:iCs/>
          <w:color w:val="29676B" w:themeColor="accent1"/>
          <w:sz w:val="21"/>
          <w:szCs w:val="21"/>
        </w:rPr>
        <w:t>Figure 1</w:t>
      </w:r>
      <w:r w:rsidR="004D0507" w:rsidRPr="004D0507">
        <w:rPr>
          <w:rFonts w:ascii="Calibri" w:hAnsi="Calibri" w:cs="Calibri"/>
          <w:b/>
          <w:i/>
          <w:iCs/>
          <w:color w:val="29676B" w:themeColor="accent1"/>
          <w:sz w:val="21"/>
          <w:szCs w:val="21"/>
        </w:rPr>
        <w:t xml:space="preserve">. </w:t>
      </w:r>
      <w:r w:rsidRPr="004D0507">
        <w:rPr>
          <w:rFonts w:ascii="Calibri" w:hAnsi="Calibri" w:cs="Calibri"/>
          <w:b/>
          <w:i/>
          <w:iCs/>
          <w:color w:val="29676B" w:themeColor="accent1"/>
          <w:sz w:val="21"/>
          <w:szCs w:val="21"/>
        </w:rPr>
        <w:t>Study Procedure Flowchart</w:t>
      </w:r>
    </w:p>
    <w:p w14:paraId="459E3923" w14:textId="77777777" w:rsidR="00CB5E1A" w:rsidRPr="00AB7CF3" w:rsidRDefault="00CB5E1A" w:rsidP="00D76C78">
      <w:pPr>
        <w:keepNext/>
        <w:keepLines/>
        <w:spacing w:line="276" w:lineRule="auto"/>
        <w:ind w:right="116"/>
        <w:jc w:val="center"/>
        <w:rPr>
          <w:sz w:val="21"/>
          <w:szCs w:val="21"/>
        </w:rPr>
      </w:pPr>
    </w:p>
    <w:p w14:paraId="6202C3BD" w14:textId="0CC10CD5" w:rsidR="00CB5E1A" w:rsidRPr="00AB7CF3" w:rsidRDefault="004D0507" w:rsidP="00D76C78">
      <w:pPr>
        <w:keepNext/>
        <w:keepLines/>
        <w:spacing w:line="276" w:lineRule="auto"/>
        <w:ind w:right="116"/>
        <w:jc w:val="center"/>
        <w:rPr>
          <w:sz w:val="21"/>
          <w:szCs w:val="21"/>
        </w:rPr>
      </w:pPr>
      <w:r w:rsidRPr="00AB7CF3">
        <w:rPr>
          <w:noProof/>
          <w:sz w:val="21"/>
          <w:szCs w:val="21"/>
        </w:rPr>
        <mc:AlternateContent>
          <mc:Choice Requires="wps">
            <w:drawing>
              <wp:anchor distT="0" distB="0" distL="114300" distR="114300" simplePos="0" relativeHeight="251658244" behindDoc="0" locked="0" layoutInCell="1" allowOverlap="1" wp14:anchorId="167F7557" wp14:editId="0084DFDD">
                <wp:simplePos x="0" y="0"/>
                <wp:positionH relativeFrom="column">
                  <wp:posOffset>2213512</wp:posOffset>
                </wp:positionH>
                <wp:positionV relativeFrom="paragraph">
                  <wp:posOffset>4137660</wp:posOffset>
                </wp:positionV>
                <wp:extent cx="1689100" cy="2794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689100" cy="279400"/>
                        </a:xfrm>
                        <a:prstGeom prst="rect">
                          <a:avLst/>
                        </a:prstGeom>
                        <a:noFill/>
                        <a:ln w="6350">
                          <a:noFill/>
                        </a:ln>
                      </wps:spPr>
                      <wps:txbx>
                        <w:txbxContent>
                          <w:p w14:paraId="749460D3" w14:textId="77777777" w:rsidR="00CB5E1A" w:rsidRPr="00CB5E1A" w:rsidRDefault="00CB5E1A" w:rsidP="00CB5E1A">
                            <w:pPr>
                              <w:rPr>
                                <w:rFonts w:ascii="Calibri" w:hAnsi="Calibri" w:cs="Calibri"/>
                                <w:b/>
                              </w:rPr>
                            </w:pPr>
                            <w:r w:rsidRPr="00CB5E1A">
                              <w:rPr>
                                <w:rFonts w:ascii="Calibri" w:hAnsi="Calibri" w:cs="Calibri"/>
                                <w:b/>
                              </w:rPr>
                              <w:t xml:space="preserve">Client DOES NOT </w:t>
                            </w:r>
                            <w:proofErr w:type="gramStart"/>
                            <w:r w:rsidRPr="00CB5E1A">
                              <w:rPr>
                                <w:rFonts w:ascii="Calibri" w:hAnsi="Calibri" w:cs="Calibri"/>
                                <w:b/>
                              </w:rPr>
                              <w:t>consent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7557" id="Text Box 3" o:spid="_x0000_s1028" type="#_x0000_t202" style="position:absolute;left:0;text-align:left;margin-left:174.3pt;margin-top:325.8pt;width:133pt;height: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bbGQIAADMEAAAOAAAAZHJzL2Uyb0RvYy54bWysU01vGyEQvVfqf0Dc6127jhO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" filled="f" stroked="f" strokeweight=".5pt">
                <v:textbox>
                  <w:txbxContent>
                    <w:p w14:paraId="749460D3" w14:textId="77777777" w:rsidR="00CB5E1A" w:rsidRPr="00CB5E1A" w:rsidRDefault="00CB5E1A" w:rsidP="00CB5E1A">
                      <w:pPr>
                        <w:rPr>
                          <w:rFonts w:ascii="Calibri" w:hAnsi="Calibri" w:cs="Calibri"/>
                          <w:b/>
                        </w:rPr>
                      </w:pPr>
                      <w:r w:rsidRPr="00CB5E1A">
                        <w:rPr>
                          <w:rFonts w:ascii="Calibri" w:hAnsi="Calibri" w:cs="Calibri"/>
                          <w:b/>
                        </w:rPr>
                        <w:t xml:space="preserve">Client DOES NOT </w:t>
                      </w:r>
                      <w:proofErr w:type="gramStart"/>
                      <w:r w:rsidRPr="00CB5E1A">
                        <w:rPr>
                          <w:rFonts w:ascii="Calibri" w:hAnsi="Calibri" w:cs="Calibri"/>
                          <w:b/>
                        </w:rPr>
                        <w:t>consent</w:t>
                      </w:r>
                      <w:proofErr w:type="gramEnd"/>
                    </w:p>
                  </w:txbxContent>
                </v:textbox>
              </v:shape>
            </w:pict>
          </mc:Fallback>
        </mc:AlternateContent>
      </w:r>
      <w:r w:rsidRPr="00AB7CF3">
        <w:rPr>
          <w:noProof/>
          <w:sz w:val="21"/>
          <w:szCs w:val="21"/>
        </w:rPr>
        <mc:AlternateContent>
          <mc:Choice Requires="wps">
            <w:drawing>
              <wp:anchor distT="0" distB="0" distL="114300" distR="114300" simplePos="0" relativeHeight="251658243" behindDoc="1" locked="0" layoutInCell="1" allowOverlap="1" wp14:anchorId="55418DE9" wp14:editId="30E872D2">
                <wp:simplePos x="0" y="0"/>
                <wp:positionH relativeFrom="column">
                  <wp:posOffset>426232</wp:posOffset>
                </wp:positionH>
                <wp:positionV relativeFrom="paragraph">
                  <wp:posOffset>4114800</wp:posOffset>
                </wp:positionV>
                <wp:extent cx="1187450" cy="279400"/>
                <wp:effectExtent l="0" t="0" r="0" b="6350"/>
                <wp:wrapTight wrapText="bothSides">
                  <wp:wrapPolygon edited="0">
                    <wp:start x="1040" y="0"/>
                    <wp:lineTo x="1040" y="20618"/>
                    <wp:lineTo x="20445" y="20618"/>
                    <wp:lineTo x="20445" y="0"/>
                    <wp:lineTo x="1040" y="0"/>
                  </wp:wrapPolygon>
                </wp:wrapTight>
                <wp:docPr id="1" name="Text Box 1"/>
                <wp:cNvGraphicFramePr/>
                <a:graphic xmlns:a="http://schemas.openxmlformats.org/drawingml/2006/main">
                  <a:graphicData uri="http://schemas.microsoft.com/office/word/2010/wordprocessingShape">
                    <wps:wsp>
                      <wps:cNvSpPr txBox="1"/>
                      <wps:spPr>
                        <a:xfrm>
                          <a:off x="0" y="0"/>
                          <a:ext cx="1187450" cy="279400"/>
                        </a:xfrm>
                        <a:prstGeom prst="rect">
                          <a:avLst/>
                        </a:prstGeom>
                        <a:noFill/>
                        <a:ln w="6350">
                          <a:noFill/>
                        </a:ln>
                      </wps:spPr>
                      <wps:txbx>
                        <w:txbxContent>
                          <w:p w14:paraId="7B53873E" w14:textId="77777777" w:rsidR="00CB5E1A" w:rsidRPr="00CB5E1A" w:rsidRDefault="00CB5E1A" w:rsidP="00CB5E1A">
                            <w:pPr>
                              <w:jc w:val="center"/>
                              <w:rPr>
                                <w:rFonts w:ascii="Calibri" w:hAnsi="Calibri" w:cs="Calibri"/>
                                <w:b/>
                              </w:rPr>
                            </w:pPr>
                            <w:r w:rsidRPr="00CB5E1A">
                              <w:rPr>
                                <w:rFonts w:ascii="Calibri" w:hAnsi="Calibri" w:cs="Calibri"/>
                                <w:b/>
                              </w:rPr>
                              <w:t>Client consents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8DE9" id="_x0000_s1029" type="#_x0000_t202" style="position:absolute;left:0;text-align:left;margin-left:33.55pt;margin-top:324pt;width:93.5pt;height:2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" filled="f" stroked="f" strokeweight=".5pt">
                <v:textbox>
                  <w:txbxContent>
                    <w:p w14:paraId="7B53873E" w14:textId="77777777" w:rsidR="00CB5E1A" w:rsidRPr="00CB5E1A" w:rsidRDefault="00CB5E1A" w:rsidP="00CB5E1A">
                      <w:pPr>
                        <w:jc w:val="center"/>
                        <w:rPr>
                          <w:rFonts w:ascii="Calibri" w:hAnsi="Calibri" w:cs="Calibri"/>
                          <w:b/>
                        </w:rPr>
                      </w:pPr>
                      <w:r w:rsidRPr="00CB5E1A">
                        <w:rPr>
                          <w:rFonts w:ascii="Calibri" w:hAnsi="Calibri" w:cs="Calibri"/>
                          <w:b/>
                        </w:rPr>
                        <w:t>Client consents</w:t>
                      </w:r>
                    </w:p>
                  </w:txbxContent>
                </v:textbox>
                <w10:wrap type="tight"/>
              </v:shape>
            </w:pict>
          </mc:Fallback>
        </mc:AlternateContent>
      </w:r>
      <w:r w:rsidRPr="00AB7CF3">
        <w:rPr>
          <w:noProof/>
          <w:sz w:val="21"/>
          <w:szCs w:val="21"/>
        </w:rPr>
        <mc:AlternateContent>
          <mc:Choice Requires="wps">
            <w:drawing>
              <wp:anchor distT="0" distB="0" distL="114300" distR="114300" simplePos="0" relativeHeight="251658247" behindDoc="0" locked="0" layoutInCell="1" allowOverlap="1" wp14:anchorId="57285CB2" wp14:editId="481F3102">
                <wp:simplePos x="0" y="0"/>
                <wp:positionH relativeFrom="column">
                  <wp:posOffset>4176346</wp:posOffset>
                </wp:positionH>
                <wp:positionV relativeFrom="paragraph">
                  <wp:posOffset>3322320</wp:posOffset>
                </wp:positionV>
                <wp:extent cx="127254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272540" cy="548640"/>
                        </a:xfrm>
                        <a:prstGeom prst="rect">
                          <a:avLst/>
                        </a:prstGeom>
                        <a:noFill/>
                        <a:ln w="6350">
                          <a:noFill/>
                        </a:ln>
                      </wps:spPr>
                      <wps:txbx>
                        <w:txbxContent>
                          <w:p w14:paraId="6DB19D1F" w14:textId="77777777" w:rsidR="00CB5E1A" w:rsidRPr="00CB5E1A" w:rsidRDefault="00CB5E1A" w:rsidP="00CB5E1A">
                            <w:pPr>
                              <w:jc w:val="center"/>
                              <w:rPr>
                                <w:rFonts w:ascii="Calibri" w:hAnsi="Calibri" w:cs="Calibri"/>
                                <w:b/>
                                <w:bCs/>
                              </w:rPr>
                            </w:pPr>
                            <w:r w:rsidRPr="00CB5E1A">
                              <w:rPr>
                                <w:rFonts w:ascii="Calibri" w:hAnsi="Calibri" w:cs="Calibri"/>
                                <w:b/>
                                <w:bCs/>
                              </w:rPr>
                              <w:t>No further evaluation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5CB2" id="Text Box 6" o:spid="_x0000_s1030" type="#_x0000_t202" style="position:absolute;left:0;text-align:left;margin-left:328.85pt;margin-top:261.6pt;width:100.2pt;height:4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QGQIAADMEAAAOAAAAZHJzL2Uyb0RvYy54bWysU01vGyEQvVfqf0Dc67Vd20l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" filled="f" stroked="f" strokeweight=".5pt">
                <v:textbox>
                  <w:txbxContent>
                    <w:p w14:paraId="6DB19D1F" w14:textId="77777777" w:rsidR="00CB5E1A" w:rsidRPr="00CB5E1A" w:rsidRDefault="00CB5E1A" w:rsidP="00CB5E1A">
                      <w:pPr>
                        <w:jc w:val="center"/>
                        <w:rPr>
                          <w:rFonts w:ascii="Calibri" w:hAnsi="Calibri" w:cs="Calibri"/>
                          <w:b/>
                          <w:bCs/>
                        </w:rPr>
                      </w:pPr>
                      <w:r w:rsidRPr="00CB5E1A">
                        <w:rPr>
                          <w:rFonts w:ascii="Calibri" w:hAnsi="Calibri" w:cs="Calibri"/>
                          <w:b/>
                          <w:bCs/>
                        </w:rPr>
                        <w:t>No further evaluation needed.</w:t>
                      </w:r>
                    </w:p>
                  </w:txbxContent>
                </v:textbox>
              </v:shape>
            </w:pict>
          </mc:Fallback>
        </mc:AlternateContent>
      </w:r>
      <w:r w:rsidRPr="00AB7CF3">
        <w:rPr>
          <w:noProof/>
          <w:sz w:val="21"/>
          <w:szCs w:val="21"/>
        </w:rPr>
        <mc:AlternateContent>
          <mc:Choice Requires="wps">
            <w:drawing>
              <wp:anchor distT="0" distB="0" distL="114300" distR="114300" simplePos="0" relativeHeight="251658246" behindDoc="0" locked="0" layoutInCell="1" allowOverlap="1" wp14:anchorId="0F9E1053" wp14:editId="6C75CCAC">
                <wp:simplePos x="0" y="0"/>
                <wp:positionH relativeFrom="column">
                  <wp:posOffset>4491111</wp:posOffset>
                </wp:positionH>
                <wp:positionV relativeFrom="paragraph">
                  <wp:posOffset>1623060</wp:posOffset>
                </wp:positionV>
                <wp:extent cx="1130300" cy="279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130300" cy="279400"/>
                        </a:xfrm>
                        <a:prstGeom prst="rect">
                          <a:avLst/>
                        </a:prstGeom>
                        <a:noFill/>
                        <a:ln w="6350">
                          <a:noFill/>
                        </a:ln>
                      </wps:spPr>
                      <wps:txbx>
                        <w:txbxContent>
                          <w:p w14:paraId="6E7AB591" w14:textId="77777777" w:rsidR="00CB5E1A" w:rsidRPr="00CB5E1A" w:rsidRDefault="00CB5E1A" w:rsidP="00CB5E1A">
                            <w:pPr>
                              <w:jc w:val="center"/>
                              <w:rPr>
                                <w:rFonts w:ascii="Calibri" w:hAnsi="Calibri" w:cs="Calibri"/>
                                <w:b/>
                              </w:rPr>
                            </w:pPr>
                            <w:r w:rsidRPr="00CB5E1A">
                              <w:rPr>
                                <w:rFonts w:ascii="Calibri" w:hAnsi="Calibri" w:cs="Calibri"/>
                                <w:b/>
                              </w:rPr>
                              <w:t>If HIV NEGATIVE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1053" id="Text Box 4" o:spid="_x0000_s1031" type="#_x0000_t202" style="position:absolute;left:0;text-align:left;margin-left:353.65pt;margin-top:127.8pt;width:89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VI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" filled="f" stroked="f" strokeweight=".5pt">
                <v:textbox>
                  <w:txbxContent>
                    <w:p w14:paraId="6E7AB591" w14:textId="77777777" w:rsidR="00CB5E1A" w:rsidRPr="00CB5E1A" w:rsidRDefault="00CB5E1A" w:rsidP="00CB5E1A">
                      <w:pPr>
                        <w:jc w:val="center"/>
                        <w:rPr>
                          <w:rFonts w:ascii="Calibri" w:hAnsi="Calibri" w:cs="Calibri"/>
                          <w:b/>
                        </w:rPr>
                      </w:pPr>
                      <w:r w:rsidRPr="00CB5E1A">
                        <w:rPr>
                          <w:rFonts w:ascii="Calibri" w:hAnsi="Calibri" w:cs="Calibri"/>
                          <w:b/>
                        </w:rPr>
                        <w:t>If HIV NEGATIVE</w:t>
                      </w:r>
                    </w:p>
                  </w:txbxContent>
                </v:textbox>
              </v:shape>
            </w:pict>
          </mc:Fallback>
        </mc:AlternateContent>
      </w:r>
      <w:r w:rsidRPr="00AB7CF3">
        <w:rPr>
          <w:b/>
          <w:noProof/>
          <w:sz w:val="21"/>
          <w:szCs w:val="21"/>
        </w:rPr>
        <w:drawing>
          <wp:anchor distT="0" distB="0" distL="114300" distR="114300" simplePos="0" relativeHeight="251658242" behindDoc="1" locked="0" layoutInCell="1" allowOverlap="1" wp14:anchorId="1C502224" wp14:editId="0D3D27A1">
            <wp:simplePos x="0" y="0"/>
            <wp:positionH relativeFrom="margin">
              <wp:posOffset>600710</wp:posOffset>
            </wp:positionH>
            <wp:positionV relativeFrom="paragraph">
              <wp:posOffset>201930</wp:posOffset>
            </wp:positionV>
            <wp:extent cx="4955540" cy="4762500"/>
            <wp:effectExtent l="0" t="0" r="54610" b="1905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CB5E1A" w:rsidRPr="00AB7CF3">
        <w:rPr>
          <w:noProof/>
          <w:sz w:val="21"/>
          <w:szCs w:val="21"/>
        </w:rPr>
        <mc:AlternateContent>
          <mc:Choice Requires="wps">
            <w:drawing>
              <wp:anchor distT="0" distB="0" distL="114300" distR="114300" simplePos="0" relativeHeight="251658245" behindDoc="0" locked="0" layoutInCell="1" allowOverlap="1" wp14:anchorId="34FEF068" wp14:editId="672FDB93">
                <wp:simplePos x="0" y="0"/>
                <wp:positionH relativeFrom="column">
                  <wp:posOffset>1615440</wp:posOffset>
                </wp:positionH>
                <wp:positionV relativeFrom="paragraph">
                  <wp:posOffset>1623060</wp:posOffset>
                </wp:positionV>
                <wp:extent cx="1130300" cy="279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130300" cy="279400"/>
                        </a:xfrm>
                        <a:prstGeom prst="rect">
                          <a:avLst/>
                        </a:prstGeom>
                        <a:noFill/>
                        <a:ln w="6350">
                          <a:noFill/>
                        </a:ln>
                      </wps:spPr>
                      <wps:txbx>
                        <w:txbxContent>
                          <w:p w14:paraId="51E58DB8" w14:textId="77777777" w:rsidR="00CB5E1A" w:rsidRPr="00CB5E1A" w:rsidRDefault="00CB5E1A" w:rsidP="00CB5E1A">
                            <w:pPr>
                              <w:jc w:val="center"/>
                              <w:rPr>
                                <w:rFonts w:ascii="Calibri" w:hAnsi="Calibri" w:cs="Calibri"/>
                                <w:b/>
                              </w:rPr>
                            </w:pPr>
                            <w:r w:rsidRPr="00CB5E1A">
                              <w:rPr>
                                <w:rFonts w:ascii="Calibri" w:hAnsi="Calibri" w:cs="Calibri"/>
                                <w:b/>
                              </w:rPr>
                              <w:t>If HIV 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F068" id="Text Box 5" o:spid="_x0000_s1032" type="#_x0000_t202" style="position:absolute;left:0;text-align:left;margin-left:127.2pt;margin-top:127.8pt;width:89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" filled="f" stroked="f" strokeweight=".5pt">
                <v:textbox>
                  <w:txbxContent>
                    <w:p w14:paraId="51E58DB8" w14:textId="77777777" w:rsidR="00CB5E1A" w:rsidRPr="00CB5E1A" w:rsidRDefault="00CB5E1A" w:rsidP="00CB5E1A">
                      <w:pPr>
                        <w:jc w:val="center"/>
                        <w:rPr>
                          <w:rFonts w:ascii="Calibri" w:hAnsi="Calibri" w:cs="Calibri"/>
                          <w:b/>
                        </w:rPr>
                      </w:pPr>
                      <w:r w:rsidRPr="00CB5E1A">
                        <w:rPr>
                          <w:rFonts w:ascii="Calibri" w:hAnsi="Calibri" w:cs="Calibri"/>
                          <w:b/>
                        </w:rPr>
                        <w:t>If HIV POSITIVE</w:t>
                      </w:r>
                    </w:p>
                  </w:txbxContent>
                </v:textbox>
              </v:shape>
            </w:pict>
          </mc:Fallback>
        </mc:AlternateContent>
      </w:r>
    </w:p>
    <w:p w14:paraId="6EF618F9" w14:textId="77777777" w:rsidR="00EC4D1C" w:rsidRDefault="00EC4D1C" w:rsidP="00D76C78">
      <w:pPr>
        <w:keepLines/>
        <w:tabs>
          <w:tab w:val="left" w:pos="-1440"/>
        </w:tabs>
        <w:spacing w:line="276" w:lineRule="auto"/>
        <w:ind w:right="116"/>
        <w:rPr>
          <w:sz w:val="21"/>
          <w:szCs w:val="21"/>
        </w:rPr>
      </w:pPr>
      <w:bookmarkStart w:id="43" w:name="_Toc494798903"/>
      <w:bookmarkStart w:id="44" w:name="_Toc494291125"/>
      <w:bookmarkStart w:id="45" w:name="_Toc493169852"/>
      <w:bookmarkStart w:id="46" w:name="_Toc493169853"/>
      <w:bookmarkStart w:id="47" w:name="_Toc494291126"/>
      <w:bookmarkStart w:id="48" w:name="_Toc494798904"/>
      <w:bookmarkStart w:id="49" w:name="_Toc494291127"/>
      <w:bookmarkStart w:id="50" w:name="_Toc493169854"/>
      <w:bookmarkEnd w:id="43"/>
      <w:bookmarkEnd w:id="44"/>
      <w:bookmarkEnd w:id="45"/>
      <w:bookmarkEnd w:id="46"/>
      <w:bookmarkEnd w:id="47"/>
      <w:bookmarkEnd w:id="48"/>
      <w:bookmarkEnd w:id="49"/>
      <w:bookmarkEnd w:id="50"/>
    </w:p>
    <w:p w14:paraId="61050CA3" w14:textId="77777777" w:rsidR="004D4528" w:rsidRDefault="004D4528" w:rsidP="00D76C78">
      <w:pPr>
        <w:keepLines/>
        <w:tabs>
          <w:tab w:val="left" w:pos="-1440"/>
        </w:tabs>
        <w:spacing w:line="276" w:lineRule="auto"/>
        <w:ind w:right="116"/>
        <w:rPr>
          <w:rFonts w:ascii="Arial" w:hAnsi="Arial" w:cs="Arial"/>
          <w:snapToGrid w:val="0"/>
          <w:sz w:val="21"/>
          <w:szCs w:val="21"/>
        </w:rPr>
      </w:pPr>
    </w:p>
    <w:p w14:paraId="093C2DCE" w14:textId="77777777" w:rsidR="004D4528" w:rsidRDefault="004D4528" w:rsidP="00D76C78">
      <w:pPr>
        <w:keepLines/>
        <w:tabs>
          <w:tab w:val="left" w:pos="-1440"/>
        </w:tabs>
        <w:spacing w:line="276" w:lineRule="auto"/>
        <w:ind w:right="116"/>
        <w:rPr>
          <w:rFonts w:ascii="Arial" w:hAnsi="Arial" w:cs="Arial"/>
          <w:snapToGrid w:val="0"/>
          <w:sz w:val="21"/>
          <w:szCs w:val="21"/>
        </w:rPr>
      </w:pPr>
    </w:p>
    <w:p w14:paraId="3079001A" w14:textId="77777777" w:rsidR="004D4528" w:rsidRPr="00AB7CF3" w:rsidRDefault="004D4528" w:rsidP="00D76C78">
      <w:pPr>
        <w:keepLines/>
        <w:tabs>
          <w:tab w:val="left" w:pos="-1440"/>
        </w:tabs>
        <w:spacing w:line="276" w:lineRule="auto"/>
        <w:ind w:right="116"/>
        <w:rPr>
          <w:rFonts w:ascii="Arial" w:hAnsi="Arial" w:cs="Arial"/>
          <w:snapToGrid w:val="0"/>
          <w:sz w:val="21"/>
          <w:szCs w:val="21"/>
        </w:rPr>
      </w:pPr>
    </w:p>
    <w:p w14:paraId="61184CB8" w14:textId="3301E401" w:rsidR="00CB5E1A" w:rsidRPr="00EC4D1C" w:rsidRDefault="007D6538" w:rsidP="00D76C78">
      <w:pPr>
        <w:keepNext/>
        <w:keepLines/>
        <w:numPr>
          <w:ilvl w:val="2"/>
          <w:numId w:val="0"/>
        </w:numPr>
        <w:spacing w:after="60" w:line="276" w:lineRule="auto"/>
        <w:ind w:left="432" w:right="116" w:hanging="432"/>
        <w:outlineLvl w:val="2"/>
        <w:rPr>
          <w:rFonts w:ascii="Poppins SemiBold" w:hAnsi="Poppins SemiBold" w:cs="Poppins SemiBold"/>
          <w:b/>
          <w:bCs/>
          <w:color w:val="29676B" w:themeColor="accent1"/>
          <w:sz w:val="21"/>
          <w:szCs w:val="21"/>
        </w:rPr>
      </w:pPr>
      <w:bookmarkStart w:id="51" w:name="_Toc126247378"/>
      <w:bookmarkStart w:id="52" w:name="_Toc142048259"/>
      <w:r w:rsidRPr="00EC4D1C">
        <w:rPr>
          <w:rFonts w:ascii="Poppins SemiBold" w:hAnsi="Poppins SemiBold" w:cs="Poppins SemiBold"/>
          <w:b/>
          <w:bCs/>
          <w:color w:val="29676B" w:themeColor="accent1"/>
          <w:sz w:val="21"/>
          <w:szCs w:val="21"/>
        </w:rPr>
        <w:lastRenderedPageBreak/>
        <w:t>3.3</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Data Collection</w:t>
      </w:r>
      <w:bookmarkEnd w:id="51"/>
      <w:bookmarkEnd w:id="52"/>
    </w:p>
    <w:p w14:paraId="5D945F20" w14:textId="0B230979" w:rsidR="00CB5E1A" w:rsidRPr="00EC4D1C" w:rsidRDefault="00CB5E1A" w:rsidP="00D76C78">
      <w:pPr>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 xml:space="preserve">After informed consent is conducted, the clinic staff person will add the participant ID number, or affix project-specific barcode-labeled stickers, to: </w:t>
      </w:r>
    </w:p>
    <w:p w14:paraId="2012434A"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Each of the two Dried Blood Spot (DBS) cards</w:t>
      </w:r>
    </w:p>
    <w:p w14:paraId="77AC409A"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Blood collection tube</w:t>
      </w:r>
    </w:p>
    <w:p w14:paraId="2637422B"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Laboratory Requisition form (LRF)</w:t>
      </w:r>
    </w:p>
    <w:p w14:paraId="30F22697"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Case Report Form (CRF)</w:t>
      </w:r>
    </w:p>
    <w:p w14:paraId="54BF46D2"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Ring collection bag (if indicated)</w:t>
      </w:r>
    </w:p>
    <w:p w14:paraId="490CC992" w14:textId="77777777" w:rsidR="00CB5E1A" w:rsidRPr="00EC4D1C" w:rsidRDefault="00CB5E1A" w:rsidP="00D76C78">
      <w:pPr>
        <w:numPr>
          <w:ilvl w:val="0"/>
          <w:numId w:val="32"/>
        </w:numPr>
        <w:tabs>
          <w:tab w:val="left" w:pos="0"/>
          <w:tab w:val="left" w:pos="180"/>
        </w:tab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Client’s medical file</w:t>
      </w:r>
    </w:p>
    <w:p w14:paraId="0A9DB35E" w14:textId="77777777" w:rsidR="00CB5E1A" w:rsidRPr="00EC4D1C" w:rsidRDefault="00CB5E1A" w:rsidP="00D76C78">
      <w:pPr>
        <w:spacing w:line="276" w:lineRule="auto"/>
        <w:ind w:right="116"/>
        <w:rPr>
          <w:rFonts w:ascii="Calibri" w:hAnsi="Calibri" w:cs="Calibri"/>
          <w:color w:val="494641" w:themeColor="text2" w:themeShade="BF"/>
          <w:sz w:val="21"/>
          <w:szCs w:val="21"/>
        </w:rPr>
      </w:pPr>
    </w:p>
    <w:p w14:paraId="5EF6E202"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Each country-specific protocol should reference their approved CRF to confirm all data fields are completed per protocol requirements. The clinic staff person will complete the CRF and initial section of the LRF by reviewing the client’s medical file as well as interviewing the client as indicated. </w:t>
      </w:r>
    </w:p>
    <w:p w14:paraId="40493DCB"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54D47122"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The participant ID number only (which may be the National PrEP number) will be included on the form, to ensure confidentiality of the study participants. Importantly, the clinic staff member should do an initial Quality Control (QC) check to confirm the information on the CRF and LRF is written correctly, and that no personal identifying information is included. Both the CRF and LRF will be sent to the laboratory, along with the collected samples.</w:t>
      </w:r>
    </w:p>
    <w:p w14:paraId="7504FDC4"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5B882EEE"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If any mistakes are discovered, a single line should be drawn through the error, with the staff person initialing and dating the correction. Prior to sending a CRF or LRF with personal identifying information, a certified copy should be made for internal document filing; however, the copy that is sent to the laboratory should have the information completely blacked out, with initials and date. </w:t>
      </w:r>
    </w:p>
    <w:p w14:paraId="127D3B80"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69606B93" w14:textId="6B69D465"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Once the </w:t>
      </w:r>
      <w:r w:rsidR="00831B16"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831B16"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receives the </w:t>
      </w:r>
      <w:proofErr w:type="gramStart"/>
      <w:r w:rsidRPr="00EC4D1C">
        <w:rPr>
          <w:rFonts w:ascii="Calibri" w:hAnsi="Calibri" w:cs="Calibri"/>
          <w:snapToGrid w:val="0"/>
          <w:color w:val="494641" w:themeColor="text2" w:themeShade="BF"/>
          <w:sz w:val="21"/>
          <w:szCs w:val="21"/>
        </w:rPr>
        <w:t>paper-based</w:t>
      </w:r>
      <w:proofErr w:type="gramEnd"/>
      <w:r w:rsidRPr="00EC4D1C">
        <w:rPr>
          <w:rFonts w:ascii="Calibri" w:hAnsi="Calibri" w:cs="Calibri"/>
          <w:snapToGrid w:val="0"/>
          <w:color w:val="494641" w:themeColor="text2" w:themeShade="BF"/>
          <w:sz w:val="21"/>
          <w:szCs w:val="21"/>
        </w:rPr>
        <w:t xml:space="preserve"> CRF from the laboratory, they will upload data into the </w:t>
      </w:r>
      <w:r w:rsidR="00901EB8" w:rsidRPr="00EC4D1C">
        <w:rPr>
          <w:rFonts w:ascii="Calibri" w:hAnsi="Calibri" w:cs="Calibri"/>
          <w:snapToGrid w:val="0"/>
          <w:color w:val="494641" w:themeColor="text2" w:themeShade="BF"/>
          <w:sz w:val="21"/>
          <w:szCs w:val="21"/>
        </w:rPr>
        <w:t>[</w:t>
      </w:r>
      <w:r w:rsidR="003A719B" w:rsidRPr="00EC4D1C">
        <w:rPr>
          <w:rFonts w:ascii="Calibri" w:hAnsi="Calibri" w:cs="Calibri"/>
          <w:i/>
          <w:iCs/>
          <w:snapToGrid w:val="0"/>
          <w:color w:val="494641" w:themeColor="text2" w:themeShade="BF"/>
          <w:sz w:val="21"/>
          <w:szCs w:val="21"/>
        </w:rPr>
        <w:t>insert as applicable</w:t>
      </w:r>
      <w:r w:rsidR="003A719B" w:rsidRPr="00EC4D1C">
        <w:rPr>
          <w:rFonts w:ascii="Calibri" w:hAnsi="Calibri" w:cs="Calibri"/>
          <w:snapToGrid w:val="0"/>
          <w:color w:val="494641" w:themeColor="text2" w:themeShade="BF"/>
          <w:sz w:val="21"/>
          <w:szCs w:val="21"/>
        </w:rPr>
        <w:t xml:space="preserve">] </w:t>
      </w:r>
      <w:r w:rsidRPr="00EC4D1C">
        <w:rPr>
          <w:rFonts w:ascii="Calibri" w:hAnsi="Calibri" w:cs="Calibri"/>
          <w:snapToGrid w:val="0"/>
          <w:color w:val="494641" w:themeColor="text2" w:themeShade="BF"/>
          <w:sz w:val="21"/>
          <w:szCs w:val="21"/>
        </w:rPr>
        <w:t xml:space="preserve">central database, utilizing quality control procedures to ensure the entries into the database match the information on the CRF. The </w:t>
      </w:r>
      <w:r w:rsidR="00E245E9" w:rsidRPr="00EC4D1C">
        <w:rPr>
          <w:rFonts w:ascii="Calibri" w:hAnsi="Calibri" w:cs="Calibri"/>
          <w:snapToGrid w:val="0"/>
          <w:color w:val="494641" w:themeColor="text2" w:themeShade="BF"/>
          <w:sz w:val="21"/>
          <w:szCs w:val="21"/>
        </w:rPr>
        <w:t>[</w:t>
      </w:r>
      <w:r w:rsidR="00E245E9" w:rsidRPr="00EC4D1C">
        <w:rPr>
          <w:rFonts w:ascii="Calibri" w:hAnsi="Calibri" w:cs="Calibri"/>
          <w:i/>
          <w:iCs/>
          <w:snapToGrid w:val="0"/>
          <w:color w:val="494641" w:themeColor="text2" w:themeShade="BF"/>
          <w:sz w:val="21"/>
          <w:szCs w:val="21"/>
        </w:rPr>
        <w:t xml:space="preserve">headquarters </w:t>
      </w:r>
      <w:r w:rsidRPr="00EC4D1C">
        <w:rPr>
          <w:rFonts w:ascii="Calibri" w:hAnsi="Calibri" w:cs="Calibri"/>
          <w:i/>
          <w:iCs/>
          <w:snapToGrid w:val="0"/>
          <w:color w:val="494641" w:themeColor="text2" w:themeShade="BF"/>
          <w:sz w:val="21"/>
          <w:szCs w:val="21"/>
        </w:rPr>
        <w:t>office</w:t>
      </w:r>
      <w:r w:rsidR="00E245E9"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will conduct periodic quality assurance measures, comparing the database with the collected CRFs. Any discrepancies will be provided to the </w:t>
      </w:r>
      <w:r w:rsidR="00E245E9"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E245E9"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who will confirm and correct these data with the applicable clinic site. </w:t>
      </w:r>
    </w:p>
    <w:p w14:paraId="330BCA95"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66678A59" w14:textId="56062A1D"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All study-related information will be stored securely at the applicable PrEP clinic, in the </w:t>
      </w:r>
      <w:r w:rsidR="00E245E9"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E245E9"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office, and in the </w:t>
      </w:r>
      <w:r w:rsidR="00E245E9" w:rsidRPr="00EC4D1C">
        <w:rPr>
          <w:rFonts w:ascii="Calibri" w:hAnsi="Calibri" w:cs="Calibri"/>
          <w:snapToGrid w:val="0"/>
          <w:color w:val="494641" w:themeColor="text2" w:themeShade="BF"/>
          <w:sz w:val="21"/>
          <w:szCs w:val="21"/>
        </w:rPr>
        <w:t>[</w:t>
      </w:r>
      <w:r w:rsidR="00E245E9" w:rsidRPr="00EC4D1C">
        <w:rPr>
          <w:rFonts w:ascii="Calibri" w:hAnsi="Calibri" w:cs="Calibri"/>
          <w:i/>
          <w:iCs/>
          <w:snapToGrid w:val="0"/>
          <w:color w:val="494641" w:themeColor="text2" w:themeShade="BF"/>
          <w:sz w:val="21"/>
          <w:szCs w:val="21"/>
        </w:rPr>
        <w:t>headquarters office]</w:t>
      </w:r>
      <w:r w:rsidRPr="00EC4D1C">
        <w:rPr>
          <w:rFonts w:ascii="Calibri" w:hAnsi="Calibri" w:cs="Calibri"/>
          <w:snapToGrid w:val="0"/>
          <w:color w:val="494641" w:themeColor="text2" w:themeShade="BF"/>
          <w:sz w:val="21"/>
          <w:szCs w:val="21"/>
        </w:rPr>
        <w:t>; using locked cabinets and password protected files.</w:t>
      </w:r>
    </w:p>
    <w:p w14:paraId="2D335877" w14:textId="77777777" w:rsidR="00CB5E1A" w:rsidRPr="00EC4D1C" w:rsidRDefault="00CB5E1A" w:rsidP="00D76C78">
      <w:pPr>
        <w:spacing w:line="276" w:lineRule="auto"/>
        <w:ind w:right="116"/>
        <w:rPr>
          <w:rFonts w:ascii="Calibri" w:hAnsi="Calibri" w:cs="Calibri"/>
          <w:color w:val="494641" w:themeColor="text2" w:themeShade="BF"/>
          <w:sz w:val="21"/>
          <w:szCs w:val="21"/>
        </w:rPr>
      </w:pPr>
    </w:p>
    <w:p w14:paraId="10B94C3D" w14:textId="513B1BFC" w:rsidR="00CB5E1A" w:rsidRPr="00EC4D1C" w:rsidRDefault="007D6538" w:rsidP="00D76C78">
      <w:pPr>
        <w:keepNext/>
        <w:keepLines/>
        <w:numPr>
          <w:ilvl w:val="2"/>
          <w:numId w:val="0"/>
        </w:numPr>
        <w:spacing w:line="276" w:lineRule="auto"/>
        <w:ind w:left="720" w:right="116" w:hanging="720"/>
        <w:outlineLvl w:val="2"/>
        <w:rPr>
          <w:rFonts w:ascii="Poppins SemiBold" w:hAnsi="Poppins SemiBold" w:cs="Poppins SemiBold"/>
          <w:b/>
          <w:bCs/>
          <w:color w:val="29676B" w:themeColor="accent1"/>
          <w:sz w:val="21"/>
          <w:szCs w:val="21"/>
        </w:rPr>
      </w:pPr>
      <w:bookmarkStart w:id="53" w:name="_Toc126247379"/>
      <w:bookmarkStart w:id="54" w:name="_Toc142048260"/>
      <w:r w:rsidRPr="00EC4D1C">
        <w:rPr>
          <w:rFonts w:ascii="Poppins SemiBold" w:hAnsi="Poppins SemiBold" w:cs="Poppins SemiBold"/>
          <w:b/>
          <w:bCs/>
          <w:color w:val="29676B" w:themeColor="accent1"/>
          <w:sz w:val="21"/>
          <w:szCs w:val="21"/>
        </w:rPr>
        <w:t>3.4</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Blood Collection</w:t>
      </w:r>
      <w:bookmarkEnd w:id="53"/>
      <w:bookmarkEnd w:id="54"/>
      <w:r w:rsidR="00CB5E1A" w:rsidRPr="00EC4D1C">
        <w:rPr>
          <w:rFonts w:ascii="Poppins SemiBold" w:hAnsi="Poppins SemiBold" w:cs="Poppins SemiBold"/>
          <w:b/>
          <w:bCs/>
          <w:color w:val="29676B" w:themeColor="accent1"/>
          <w:sz w:val="21"/>
          <w:szCs w:val="21"/>
        </w:rPr>
        <w:t xml:space="preserve"> </w:t>
      </w:r>
    </w:p>
    <w:p w14:paraId="2FAE877E"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A healthcare worker trained in phlebotomy will collect venous blood from consented participants (upper limit of blood volume specified in the respective protocols and consent forms) for preparation of a dried blood spot (DBS) sample and/or to process a plasma sample for HIV drug resistance testing.  </w:t>
      </w:r>
    </w:p>
    <w:p w14:paraId="5590C39D"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2DAD4BE2" w14:textId="77777777" w:rsidR="00CB5E1A" w:rsidRPr="00EC4D1C" w:rsidRDefault="00CB5E1A" w:rsidP="00D76C78">
      <w:pPr>
        <w:spacing w:line="276" w:lineRule="auto"/>
        <w:ind w:right="116"/>
        <w:jc w:val="both"/>
        <w:textAlignment w:val="baseline"/>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The health care worker preparing the DBS should be instructed to perform the following procedures:</w:t>
      </w:r>
    </w:p>
    <w:p w14:paraId="6C44DB84" w14:textId="77777777" w:rsidR="00CB5E1A" w:rsidRPr="00EC4D1C" w:rsidRDefault="00CB5E1A" w:rsidP="00D76C78">
      <w:pPr>
        <w:spacing w:line="276" w:lineRule="auto"/>
        <w:ind w:right="116"/>
        <w:jc w:val="both"/>
        <w:textAlignment w:val="baseline"/>
        <w:rPr>
          <w:rFonts w:ascii="Calibri" w:hAnsi="Calibri" w:cs="Calibri"/>
          <w:color w:val="494641" w:themeColor="text2" w:themeShade="BF"/>
          <w:sz w:val="21"/>
          <w:szCs w:val="21"/>
        </w:rPr>
      </w:pPr>
    </w:p>
    <w:p w14:paraId="28A63C8F"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Wash hands and put on gloves once hands are dry before starting procedure.  </w:t>
      </w:r>
    </w:p>
    <w:p w14:paraId="0C6DF91E" w14:textId="6B124A3D"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Lay out both DBS cards onto a clean surface. </w:t>
      </w:r>
    </w:p>
    <w:p w14:paraId="37B6E9E4" w14:textId="3FA3C8A6" w:rsidR="007F3AB1" w:rsidRPr="00EC4D1C" w:rsidRDefault="007F3AB1"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Label the DBS card with the</w:t>
      </w:r>
      <w:r w:rsidR="00C31F10" w:rsidRPr="00EC4D1C">
        <w:rPr>
          <w:rFonts w:ascii="Calibri" w:hAnsi="Calibri" w:cs="Calibri"/>
          <w:snapToGrid w:val="0"/>
          <w:color w:val="494641" w:themeColor="text2" w:themeShade="BF"/>
          <w:sz w:val="21"/>
          <w:szCs w:val="21"/>
        </w:rPr>
        <w:t xml:space="preserve"> </w:t>
      </w:r>
      <w:r w:rsidR="009A4A10" w:rsidRPr="00EC4D1C">
        <w:rPr>
          <w:rFonts w:ascii="Calibri" w:hAnsi="Calibri" w:cs="Calibri"/>
          <w:snapToGrid w:val="0"/>
          <w:color w:val="494641" w:themeColor="text2" w:themeShade="BF"/>
          <w:sz w:val="21"/>
          <w:szCs w:val="21"/>
        </w:rPr>
        <w:t xml:space="preserve">unique barcode sticker provided in </w:t>
      </w:r>
      <w:r w:rsidRPr="00EC4D1C">
        <w:rPr>
          <w:rFonts w:ascii="Calibri" w:hAnsi="Calibri" w:cs="Calibri"/>
          <w:snapToGrid w:val="0"/>
          <w:color w:val="494641" w:themeColor="text2" w:themeShade="BF"/>
          <w:sz w:val="21"/>
          <w:szCs w:val="21"/>
        </w:rPr>
        <w:t xml:space="preserve">the </w:t>
      </w:r>
      <w:r w:rsidR="009A4A10" w:rsidRPr="00EC4D1C">
        <w:rPr>
          <w:rFonts w:ascii="Calibri" w:hAnsi="Calibri" w:cs="Calibri"/>
          <w:snapToGrid w:val="0"/>
          <w:color w:val="494641" w:themeColor="text2" w:themeShade="BF"/>
          <w:sz w:val="21"/>
          <w:szCs w:val="21"/>
        </w:rPr>
        <w:t>sample collection kit</w:t>
      </w:r>
      <w:r w:rsidRPr="00EC4D1C">
        <w:rPr>
          <w:rFonts w:ascii="Calibri" w:hAnsi="Calibri" w:cs="Calibri"/>
          <w:snapToGrid w:val="0"/>
          <w:color w:val="494641" w:themeColor="text2" w:themeShade="BF"/>
          <w:sz w:val="21"/>
          <w:szCs w:val="21"/>
        </w:rPr>
        <w:t xml:space="preserve"> </w:t>
      </w:r>
      <w:r w:rsidR="00B357DE" w:rsidRPr="00EC4D1C">
        <w:rPr>
          <w:rFonts w:ascii="Calibri" w:hAnsi="Calibri" w:cs="Calibri"/>
          <w:snapToGrid w:val="0"/>
          <w:color w:val="494641" w:themeColor="text2" w:themeShade="BF"/>
          <w:sz w:val="21"/>
          <w:szCs w:val="21"/>
        </w:rPr>
        <w:t xml:space="preserve">or the </w:t>
      </w:r>
      <w:r w:rsidRPr="00EC4D1C">
        <w:rPr>
          <w:rFonts w:ascii="Calibri" w:hAnsi="Calibri" w:cs="Calibri"/>
          <w:snapToGrid w:val="0"/>
          <w:color w:val="494641" w:themeColor="text2" w:themeShade="BF"/>
          <w:sz w:val="21"/>
          <w:szCs w:val="21"/>
        </w:rPr>
        <w:t>participant PrEP ID# and the date of sample collection (the same day as the preparation of the DBS sample).</w:t>
      </w:r>
    </w:p>
    <w:p w14:paraId="71FAAC18" w14:textId="458A8B74"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Gently invert the blood tube </w:t>
      </w:r>
      <w:r w:rsidR="00544E3A" w:rsidRPr="00EC4D1C">
        <w:rPr>
          <w:rFonts w:ascii="Calibri" w:hAnsi="Calibri" w:cs="Calibri"/>
          <w:snapToGrid w:val="0"/>
          <w:color w:val="494641" w:themeColor="text2" w:themeShade="BF"/>
          <w:sz w:val="21"/>
          <w:szCs w:val="21"/>
        </w:rPr>
        <w:t xml:space="preserve">at least </w:t>
      </w:r>
      <w:r w:rsidR="00EB1FFE" w:rsidRPr="00EC4D1C">
        <w:rPr>
          <w:rFonts w:ascii="Calibri" w:hAnsi="Calibri" w:cs="Calibri"/>
          <w:snapToGrid w:val="0"/>
          <w:color w:val="494641" w:themeColor="text2" w:themeShade="BF"/>
          <w:sz w:val="21"/>
          <w:szCs w:val="21"/>
        </w:rPr>
        <w:t>5</w:t>
      </w:r>
      <w:r w:rsidRPr="00EC4D1C">
        <w:rPr>
          <w:rFonts w:ascii="Calibri" w:hAnsi="Calibri" w:cs="Calibri"/>
          <w:snapToGrid w:val="0"/>
          <w:color w:val="494641" w:themeColor="text2" w:themeShade="BF"/>
          <w:sz w:val="21"/>
          <w:szCs w:val="21"/>
        </w:rPr>
        <w:t> times to ensure complete mixing, then draw up at least 0.5 mL of blood using the transfer pipette.  </w:t>
      </w:r>
    </w:p>
    <w:p w14:paraId="38A8F766"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Starting from left to right on the first DBS card, fill each circle on the first DBS card by slowly depressing the bulb.  Attention should be made to not touch the cards directly and to ensure blood drops fall in the center of each </w:t>
      </w:r>
      <w:proofErr w:type="gramStart"/>
      <w:r w:rsidRPr="00EC4D1C">
        <w:rPr>
          <w:rFonts w:ascii="Calibri" w:hAnsi="Calibri" w:cs="Calibri"/>
          <w:snapToGrid w:val="0"/>
          <w:color w:val="494641" w:themeColor="text2" w:themeShade="BF"/>
          <w:sz w:val="21"/>
          <w:szCs w:val="21"/>
        </w:rPr>
        <w:t>circle</w:t>
      </w:r>
      <w:proofErr w:type="gramEnd"/>
      <w:r w:rsidRPr="00EC4D1C">
        <w:rPr>
          <w:rFonts w:ascii="Calibri" w:hAnsi="Calibri" w:cs="Calibri"/>
          <w:snapToGrid w:val="0"/>
          <w:color w:val="494641" w:themeColor="text2" w:themeShade="BF"/>
          <w:sz w:val="21"/>
          <w:szCs w:val="21"/>
        </w:rPr>
        <w:t> </w:t>
      </w:r>
    </w:p>
    <w:p w14:paraId="4527E66F" w14:textId="77777777" w:rsidR="00CB5E1A" w:rsidRPr="00EC4D1C" w:rsidRDefault="00CB5E1A" w:rsidP="00D76C78">
      <w:pPr>
        <w:keepLines/>
        <w:numPr>
          <w:ilvl w:val="1"/>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When absorbed, the blood drops should fill the entire outline of each circle (see Figure 2). </w:t>
      </w:r>
    </w:p>
    <w:p w14:paraId="26C01D1F"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Once both cards have been successfully spotted with 5 spots per card, bend the flap behind the card (if available) and place the cards on a surface in a clean, dry space or on a DBS drying rack.</w:t>
      </w:r>
    </w:p>
    <w:p w14:paraId="3329FE36"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The cards should be stored with blood spots facing up and dried overnight or for at least 3 hours at ambient temperature.  </w:t>
      </w:r>
    </w:p>
    <w:p w14:paraId="6D0A3030"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Protect the cards from rodents, insects, and direct sunlight. </w:t>
      </w:r>
    </w:p>
    <w:p w14:paraId="3AE781B9"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Do not stack the cards on top of each other or allow them to touch other surfaces during the drying process. </w:t>
      </w:r>
    </w:p>
    <w:p w14:paraId="5E68596B" w14:textId="77777777"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Prepare remaining blood in tube to include in shipment if applicable per standard procedures (i.e., for backup plasma testing). </w:t>
      </w:r>
    </w:p>
    <w:p w14:paraId="643B3516" w14:textId="43E753B5" w:rsidR="00CB5E1A" w:rsidRPr="00EC4D1C" w:rsidRDefault="00CB5E1A"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Dispose of all consumable materials and unused blood (if not being shipped to laboratory) in accordance with local protocols and clean working areas with a 10% sodium hypochlorite or chlorhexidine solution when finished.</w:t>
      </w:r>
    </w:p>
    <w:p w14:paraId="3C097D34" w14:textId="2A412ADD" w:rsidR="007D6538" w:rsidRDefault="00A21A2D" w:rsidP="00D76C78">
      <w:pPr>
        <w:keepLines/>
        <w:numPr>
          <w:ilvl w:val="0"/>
          <w:numId w:val="33"/>
        </w:numPr>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Once the blood spot</w:t>
      </w:r>
      <w:r w:rsidR="0059789E" w:rsidRPr="00EC4D1C">
        <w:rPr>
          <w:rFonts w:ascii="Calibri" w:hAnsi="Calibri" w:cs="Calibri"/>
          <w:snapToGrid w:val="0"/>
          <w:color w:val="494641" w:themeColor="text2" w:themeShade="BF"/>
          <w:sz w:val="21"/>
          <w:szCs w:val="21"/>
        </w:rPr>
        <w:t>s</w:t>
      </w:r>
      <w:r w:rsidRPr="00EC4D1C">
        <w:rPr>
          <w:rFonts w:ascii="Calibri" w:hAnsi="Calibri" w:cs="Calibri"/>
          <w:snapToGrid w:val="0"/>
          <w:color w:val="494641" w:themeColor="text2" w:themeShade="BF"/>
          <w:sz w:val="21"/>
          <w:szCs w:val="21"/>
        </w:rPr>
        <w:t xml:space="preserve"> ha</w:t>
      </w:r>
      <w:r w:rsidR="0059789E" w:rsidRPr="00EC4D1C">
        <w:rPr>
          <w:rFonts w:ascii="Calibri" w:hAnsi="Calibri" w:cs="Calibri"/>
          <w:snapToGrid w:val="0"/>
          <w:color w:val="494641" w:themeColor="text2" w:themeShade="BF"/>
          <w:sz w:val="21"/>
          <w:szCs w:val="21"/>
        </w:rPr>
        <w:t>ve</w:t>
      </w:r>
      <w:r w:rsidRPr="00EC4D1C">
        <w:rPr>
          <w:rFonts w:ascii="Calibri" w:hAnsi="Calibri" w:cs="Calibri"/>
          <w:snapToGrid w:val="0"/>
          <w:color w:val="494641" w:themeColor="text2" w:themeShade="BF"/>
          <w:sz w:val="21"/>
          <w:szCs w:val="21"/>
        </w:rPr>
        <w:t xml:space="preserve"> dried, close the flap </w:t>
      </w:r>
      <w:r w:rsidR="007F3AB1" w:rsidRPr="00EC4D1C">
        <w:rPr>
          <w:rFonts w:ascii="Calibri" w:hAnsi="Calibri" w:cs="Calibri"/>
          <w:snapToGrid w:val="0"/>
          <w:color w:val="494641" w:themeColor="text2" w:themeShade="BF"/>
          <w:sz w:val="21"/>
          <w:szCs w:val="21"/>
        </w:rPr>
        <w:t>to cover the blood spots</w:t>
      </w:r>
      <w:r w:rsidR="006D3390" w:rsidRPr="00EC4D1C">
        <w:rPr>
          <w:rFonts w:ascii="Calibri" w:hAnsi="Calibri" w:cs="Calibri"/>
          <w:snapToGrid w:val="0"/>
          <w:color w:val="494641" w:themeColor="text2" w:themeShade="BF"/>
          <w:sz w:val="21"/>
          <w:szCs w:val="21"/>
        </w:rPr>
        <w:t xml:space="preserve"> (if applicable)</w:t>
      </w:r>
      <w:r w:rsidR="007F3AB1" w:rsidRPr="00EC4D1C">
        <w:rPr>
          <w:rFonts w:ascii="Calibri" w:hAnsi="Calibri" w:cs="Calibri"/>
          <w:snapToGrid w:val="0"/>
          <w:color w:val="494641" w:themeColor="text2" w:themeShade="BF"/>
          <w:sz w:val="21"/>
          <w:szCs w:val="21"/>
        </w:rPr>
        <w:t>.  Make sure the DBS is card labeled with Participant PrEP ID#</w:t>
      </w:r>
      <w:r w:rsidR="0059789E" w:rsidRPr="00EC4D1C">
        <w:rPr>
          <w:rFonts w:ascii="Calibri" w:hAnsi="Calibri" w:cs="Calibri"/>
          <w:snapToGrid w:val="0"/>
          <w:color w:val="494641" w:themeColor="text2" w:themeShade="BF"/>
          <w:sz w:val="21"/>
          <w:szCs w:val="21"/>
        </w:rPr>
        <w:t xml:space="preserve"> or barcode sticker,</w:t>
      </w:r>
      <w:r w:rsidR="007F3AB1" w:rsidRPr="00EC4D1C">
        <w:rPr>
          <w:rFonts w:ascii="Calibri" w:hAnsi="Calibri" w:cs="Calibri"/>
          <w:snapToGrid w:val="0"/>
          <w:color w:val="494641" w:themeColor="text2" w:themeShade="BF"/>
          <w:sz w:val="21"/>
          <w:szCs w:val="21"/>
        </w:rPr>
        <w:t xml:space="preserve"> and date of sample collection.</w:t>
      </w:r>
    </w:p>
    <w:p w14:paraId="697F2BCD" w14:textId="025C5250" w:rsidR="004D4528" w:rsidRPr="004D4528" w:rsidRDefault="004D4528" w:rsidP="00D76C78">
      <w:pPr>
        <w:keepLines/>
        <w:tabs>
          <w:tab w:val="left" w:pos="-1440"/>
        </w:tabs>
        <w:spacing w:line="276" w:lineRule="auto"/>
        <w:ind w:left="720" w:right="116"/>
        <w:rPr>
          <w:rFonts w:ascii="Calibri" w:hAnsi="Calibri" w:cs="Calibri"/>
          <w:snapToGrid w:val="0"/>
          <w:color w:val="494641" w:themeColor="text2" w:themeShade="BF"/>
          <w:sz w:val="21"/>
          <w:szCs w:val="21"/>
        </w:rPr>
      </w:pPr>
    </w:p>
    <w:p w14:paraId="3BF23B8E" w14:textId="144DA701" w:rsidR="00CB5E1A" w:rsidRPr="00EC4D1C" w:rsidRDefault="004E0A85" w:rsidP="00D76C78">
      <w:pPr>
        <w:keepLines/>
        <w:tabs>
          <w:tab w:val="left" w:pos="-1440"/>
        </w:tabs>
        <w:spacing w:line="276" w:lineRule="auto"/>
        <w:ind w:right="116"/>
        <w:rPr>
          <w:rFonts w:ascii="Calibri" w:hAnsi="Calibri" w:cs="Calibri"/>
          <w:i/>
          <w:iCs/>
          <w:snapToGrid w:val="0"/>
          <w:color w:val="29676B" w:themeColor="accent1"/>
          <w:sz w:val="21"/>
          <w:szCs w:val="21"/>
          <w:shd w:val="clear" w:color="auto" w:fill="FFFFFF"/>
        </w:rPr>
      </w:pPr>
      <w:r w:rsidRPr="00AB7CF3">
        <w:rPr>
          <w:rFonts w:ascii="Arial" w:hAnsi="Arial" w:cs="Arial"/>
          <w:noProof/>
          <w:snapToGrid w:val="0"/>
          <w:sz w:val="21"/>
          <w:szCs w:val="21"/>
        </w:rPr>
        <w:drawing>
          <wp:anchor distT="0" distB="0" distL="114300" distR="114300" simplePos="0" relativeHeight="251658240" behindDoc="1" locked="0" layoutInCell="1" allowOverlap="1" wp14:anchorId="665CF44F" wp14:editId="113FAA87">
            <wp:simplePos x="0" y="0"/>
            <wp:positionH relativeFrom="column">
              <wp:posOffset>-39186</wp:posOffset>
            </wp:positionH>
            <wp:positionV relativeFrom="paragraph">
              <wp:posOffset>272415</wp:posOffset>
            </wp:positionV>
            <wp:extent cx="2927985" cy="2447925"/>
            <wp:effectExtent l="0" t="0" r="5715" b="3175"/>
            <wp:wrapTopAndBottom/>
            <wp:docPr id="30" name="Picture 30" descr="C:\Users\llevy\AppData\Local\Microsoft\Windows\INetCache\Content.MSO\C6FE3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evy\AppData\Local\Microsoft\Windows\INetCache\Content.MSO\C6FE3CA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98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CF3">
        <w:rPr>
          <w:rFonts w:ascii="Arial" w:hAnsi="Arial" w:cs="Arial"/>
          <w:noProof/>
          <w:snapToGrid w:val="0"/>
          <w:sz w:val="21"/>
          <w:szCs w:val="21"/>
        </w:rPr>
        <mc:AlternateContent>
          <mc:Choice Requires="wps">
            <w:drawing>
              <wp:anchor distT="45720" distB="45720" distL="114300" distR="114300" simplePos="0" relativeHeight="251658241" behindDoc="0" locked="0" layoutInCell="1" allowOverlap="1" wp14:anchorId="2E1021FB" wp14:editId="03AB1F32">
                <wp:simplePos x="0" y="0"/>
                <wp:positionH relativeFrom="margin">
                  <wp:posOffset>-15240</wp:posOffset>
                </wp:positionH>
                <wp:positionV relativeFrom="paragraph">
                  <wp:posOffset>2718394</wp:posOffset>
                </wp:positionV>
                <wp:extent cx="5205730" cy="368935"/>
                <wp:effectExtent l="0" t="0" r="127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368935"/>
                        </a:xfrm>
                        <a:prstGeom prst="rect">
                          <a:avLst/>
                        </a:prstGeom>
                        <a:solidFill>
                          <a:srgbClr val="FFFFFF"/>
                        </a:solidFill>
                        <a:ln w="3175">
                          <a:noFill/>
                          <a:miter lim="800000"/>
                          <a:headEnd/>
                          <a:tailEnd/>
                        </a:ln>
                      </wps:spPr>
                      <wps:txbx>
                        <w:txbxContent>
                          <w:p w14:paraId="7A410985" w14:textId="70042DEB" w:rsidR="00CB5E1A" w:rsidRPr="00793AE9" w:rsidRDefault="00CB5E1A" w:rsidP="00793AE9">
                            <w:pPr>
                              <w:pStyle w:val="BodyText"/>
                              <w:rPr>
                                <w:rFonts w:ascii="Calibri" w:hAnsi="Calibri" w:cs="Calibri"/>
                                <w:color w:val="29676B" w:themeColor="accent1"/>
                                <w:sz w:val="18"/>
                                <w:szCs w:val="18"/>
                              </w:rPr>
                            </w:pPr>
                            <w:r w:rsidRPr="00EC4D1C">
                              <w:rPr>
                                <w:rFonts w:ascii="Calibri" w:hAnsi="Calibri" w:cs="Calibri"/>
                                <w:color w:val="29676B" w:themeColor="accent1"/>
                                <w:sz w:val="18"/>
                                <w:szCs w:val="18"/>
                              </w:rPr>
                              <w:t>Source: GE Healthcare Life Sciences. 2010. Simple spot check. GE Document 28984392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21FB" id="Text Box 217" o:spid="_x0000_s1033" type="#_x0000_t202" style="position:absolute;margin-left:-1.2pt;margin-top:214.05pt;width:409.9pt;height:29.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" stroked="f" strokeweight=".25pt">
                <v:textbox>
                  <w:txbxContent>
                    <w:p w14:paraId="7A410985" w14:textId="70042DEB" w:rsidR="00CB5E1A" w:rsidRPr="00793AE9" w:rsidRDefault="00CB5E1A" w:rsidP="00793AE9">
                      <w:pPr>
                        <w:pStyle w:val="BodyText"/>
                        <w:rPr>
                          <w:rFonts w:ascii="Calibri" w:hAnsi="Calibri" w:cs="Calibri"/>
                          <w:color w:val="29676B" w:themeColor="accent1"/>
                          <w:sz w:val="18"/>
                          <w:szCs w:val="18"/>
                        </w:rPr>
                      </w:pPr>
                      <w:r w:rsidRPr="00EC4D1C">
                        <w:rPr>
                          <w:rFonts w:ascii="Calibri" w:hAnsi="Calibri" w:cs="Calibri"/>
                          <w:color w:val="29676B" w:themeColor="accent1"/>
                          <w:sz w:val="18"/>
                          <w:szCs w:val="18"/>
                        </w:rPr>
                        <w:t>Source: GE Healthcare Life Sciences. 2010. Simple spot check. GE Document 28984392</w:t>
                      </w:r>
                    </w:p>
                  </w:txbxContent>
                </v:textbox>
                <w10:wrap type="square" anchorx="margin"/>
              </v:shape>
            </w:pict>
          </mc:Fallback>
        </mc:AlternateContent>
      </w:r>
      <w:r w:rsidR="00CB5E1A" w:rsidRPr="00EC4D1C">
        <w:rPr>
          <w:rFonts w:ascii="Calibri" w:hAnsi="Calibri" w:cs="Calibri"/>
          <w:b/>
          <w:bCs/>
          <w:i/>
          <w:iCs/>
          <w:snapToGrid w:val="0"/>
          <w:color w:val="29676B" w:themeColor="accent1"/>
          <w:sz w:val="21"/>
          <w:szCs w:val="21"/>
          <w:shd w:val="clear" w:color="auto" w:fill="FFFFFF"/>
        </w:rPr>
        <w:t>Figure 2: Examples of Valid and Invalid Dried Blood Spots</w:t>
      </w:r>
    </w:p>
    <w:p w14:paraId="56E3893B" w14:textId="438460DA"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lastRenderedPageBreak/>
        <w:t>The dried</w:t>
      </w:r>
      <w:r w:rsidR="007F3AB1" w:rsidRPr="00EC4D1C">
        <w:rPr>
          <w:rFonts w:ascii="Calibri" w:hAnsi="Calibri" w:cs="Calibri"/>
          <w:snapToGrid w:val="0"/>
          <w:color w:val="494641" w:themeColor="text2" w:themeShade="BF"/>
          <w:sz w:val="21"/>
          <w:szCs w:val="21"/>
        </w:rPr>
        <w:t xml:space="preserve">, labeled and dated </w:t>
      </w:r>
      <w:r w:rsidRPr="00EC4D1C">
        <w:rPr>
          <w:rFonts w:ascii="Calibri" w:hAnsi="Calibri" w:cs="Calibri"/>
          <w:snapToGrid w:val="0"/>
          <w:color w:val="494641" w:themeColor="text2" w:themeShade="BF"/>
          <w:sz w:val="21"/>
          <w:szCs w:val="21"/>
        </w:rPr>
        <w:t xml:space="preserve">DBS cards will then be individually packaged in a </w:t>
      </w:r>
      <w:r w:rsidR="00BA07F1" w:rsidRPr="00EC4D1C">
        <w:rPr>
          <w:rFonts w:ascii="Calibri" w:hAnsi="Calibri" w:cs="Calibri"/>
          <w:snapToGrid w:val="0"/>
          <w:color w:val="494641" w:themeColor="text2" w:themeShade="BF"/>
          <w:sz w:val="21"/>
          <w:szCs w:val="21"/>
        </w:rPr>
        <w:t xml:space="preserve">glassine </w:t>
      </w:r>
      <w:r w:rsidR="001E7275" w:rsidRPr="00EC4D1C">
        <w:rPr>
          <w:rFonts w:ascii="Calibri" w:hAnsi="Calibri" w:cs="Calibri"/>
          <w:snapToGrid w:val="0"/>
          <w:color w:val="494641" w:themeColor="text2" w:themeShade="BF"/>
          <w:sz w:val="21"/>
          <w:szCs w:val="21"/>
        </w:rPr>
        <w:t>envelope</w:t>
      </w:r>
      <w:r w:rsidR="000132D4" w:rsidRPr="00EC4D1C">
        <w:rPr>
          <w:rFonts w:ascii="Calibri" w:hAnsi="Calibri" w:cs="Calibri"/>
          <w:snapToGrid w:val="0"/>
          <w:color w:val="494641" w:themeColor="text2" w:themeShade="BF"/>
          <w:sz w:val="21"/>
          <w:szCs w:val="21"/>
        </w:rPr>
        <w:t xml:space="preserve">. The glassine envelope will be placed in a </w:t>
      </w:r>
      <w:r w:rsidRPr="00EC4D1C">
        <w:rPr>
          <w:rFonts w:ascii="Calibri" w:hAnsi="Calibri" w:cs="Calibri"/>
          <w:snapToGrid w:val="0"/>
          <w:color w:val="494641" w:themeColor="text2" w:themeShade="BF"/>
          <w:sz w:val="21"/>
          <w:szCs w:val="21"/>
        </w:rPr>
        <w:t>single gas-impermeable, sealable plastic bag containing desiccant packs to remove residual moisture and containing the humidity indicator card. The sealable plastic bag, containing the DBS cards (considered non-infectious when shipping), will then be placed in the envelope provided in the collection kit with the completed CRF/LRF to ship to the centralized laboratory for drug resistance testing</w:t>
      </w:r>
      <w:r w:rsidR="007F3AB1" w:rsidRPr="00EC4D1C">
        <w:rPr>
          <w:rFonts w:ascii="Calibri" w:hAnsi="Calibri" w:cs="Calibri"/>
          <w:snapToGrid w:val="0"/>
          <w:color w:val="494641" w:themeColor="text2" w:themeShade="BF"/>
          <w:sz w:val="21"/>
          <w:szCs w:val="21"/>
        </w:rPr>
        <w:t xml:space="preserve"> and storage</w:t>
      </w:r>
      <w:r w:rsidRPr="00EC4D1C">
        <w:rPr>
          <w:rFonts w:ascii="Calibri" w:hAnsi="Calibri" w:cs="Calibri"/>
          <w:snapToGrid w:val="0"/>
          <w:color w:val="494641" w:themeColor="text2" w:themeShade="BF"/>
          <w:sz w:val="21"/>
          <w:szCs w:val="21"/>
        </w:rPr>
        <w:t xml:space="preserve">. Country specific guidance may require that leftover blood in the blood tube (considered infectious when shipping) be shipped to the testing laboratory as well.  </w:t>
      </w:r>
    </w:p>
    <w:p w14:paraId="72148F25"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19C4822B"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When sending whole blood, ensure tubes are capped tightly and they are placed in a secondary, leak-proof container (sealable bag) containing absorbent material. That bag should then be placed in a tertiary, rigid shipping container.  Proper labeling should be included on the package per national regulations, including potential requirements for labeling the package as infectious, even if the package only include DBS cards. If both DBS and whole blood are being shipped at the same time to the same place, it is acceptable to include the DBS package in the whole blood shipping container.  </w:t>
      </w:r>
    </w:p>
    <w:p w14:paraId="22C26BB0"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2F05FD20" w14:textId="07CC3294" w:rsidR="007D1F44"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The DBS sample should be shipped as soon as possible and should not exceed storage at ambient temperature for more than 5 days total including the time needed for shipping.  If DBS cannot be shipped to the centralized laboratory within 3 days of collection, DBS must be stored at -80ºC, or temporarily at -20ºC until long-term storage at -80ºC is available. Whole blood for plasma processing should be shipped as soon as possible, ideally within 24 hours. Whole blood may be refrigerated at 4ºC or at room temperature </w:t>
      </w:r>
      <w:r w:rsidR="005854EE" w:rsidRPr="00EC4D1C">
        <w:rPr>
          <w:rFonts w:ascii="Calibri" w:hAnsi="Calibri" w:cs="Calibri"/>
          <w:snapToGrid w:val="0"/>
          <w:color w:val="494641" w:themeColor="text2" w:themeShade="BF"/>
          <w:sz w:val="21"/>
          <w:szCs w:val="21"/>
        </w:rPr>
        <w:t xml:space="preserve">(15-30ºC), </w:t>
      </w:r>
      <w:r w:rsidRPr="00EC4D1C">
        <w:rPr>
          <w:rFonts w:ascii="Calibri" w:hAnsi="Calibri" w:cs="Calibri"/>
          <w:snapToGrid w:val="0"/>
          <w:color w:val="494641" w:themeColor="text2" w:themeShade="BF"/>
          <w:sz w:val="21"/>
          <w:szCs w:val="21"/>
        </w:rPr>
        <w:t>until shipment; do not freeze whole blood.</w:t>
      </w:r>
      <w:r w:rsidR="005854EE" w:rsidRPr="00EC4D1C">
        <w:rPr>
          <w:rFonts w:ascii="Calibri" w:hAnsi="Calibri" w:cs="Calibri"/>
          <w:snapToGrid w:val="0"/>
          <w:color w:val="494641" w:themeColor="text2" w:themeShade="BF"/>
          <w:sz w:val="21"/>
          <w:szCs w:val="21"/>
        </w:rPr>
        <w:t xml:space="preserve"> If </w:t>
      </w:r>
      <w:r w:rsidR="004634CE" w:rsidRPr="00EC4D1C">
        <w:rPr>
          <w:rFonts w:ascii="Calibri" w:hAnsi="Calibri" w:cs="Calibri"/>
          <w:snapToGrid w:val="0"/>
          <w:color w:val="494641" w:themeColor="text2" w:themeShade="BF"/>
          <w:sz w:val="21"/>
          <w:szCs w:val="21"/>
        </w:rPr>
        <w:t xml:space="preserve">the temperature exceeds 30ºC, then the </w:t>
      </w:r>
      <w:r w:rsidR="004E3D6E" w:rsidRPr="00EC4D1C">
        <w:rPr>
          <w:rFonts w:ascii="Calibri" w:hAnsi="Calibri" w:cs="Calibri"/>
          <w:snapToGrid w:val="0"/>
          <w:color w:val="494641" w:themeColor="text2" w:themeShade="BF"/>
          <w:sz w:val="21"/>
          <w:szCs w:val="21"/>
        </w:rPr>
        <w:t>[</w:t>
      </w:r>
      <w:r w:rsidR="004634CE" w:rsidRPr="00EC4D1C">
        <w:rPr>
          <w:rFonts w:ascii="Calibri" w:hAnsi="Calibri" w:cs="Calibri"/>
          <w:i/>
          <w:iCs/>
          <w:snapToGrid w:val="0"/>
          <w:color w:val="494641" w:themeColor="text2" w:themeShade="BF"/>
          <w:sz w:val="21"/>
          <w:szCs w:val="21"/>
        </w:rPr>
        <w:t xml:space="preserve">country </w:t>
      </w:r>
      <w:r w:rsidR="00831B16" w:rsidRPr="00EC4D1C">
        <w:rPr>
          <w:rFonts w:ascii="Calibri" w:hAnsi="Calibri" w:cs="Calibri"/>
          <w:i/>
          <w:iCs/>
          <w:snapToGrid w:val="0"/>
          <w:color w:val="494641" w:themeColor="text2" w:themeShade="BF"/>
          <w:sz w:val="21"/>
          <w:szCs w:val="21"/>
        </w:rPr>
        <w:t>p</w:t>
      </w:r>
      <w:r w:rsidR="004634CE" w:rsidRPr="00EC4D1C">
        <w:rPr>
          <w:rFonts w:ascii="Calibri" w:hAnsi="Calibri" w:cs="Calibri"/>
          <w:i/>
          <w:iCs/>
          <w:snapToGrid w:val="0"/>
          <w:color w:val="494641" w:themeColor="text2" w:themeShade="BF"/>
          <w:sz w:val="21"/>
          <w:szCs w:val="21"/>
        </w:rPr>
        <w:t xml:space="preserve">roject </w:t>
      </w:r>
      <w:r w:rsidR="00831B16" w:rsidRPr="00EC4D1C">
        <w:rPr>
          <w:rFonts w:ascii="Calibri" w:hAnsi="Calibri" w:cs="Calibri"/>
          <w:i/>
          <w:iCs/>
          <w:snapToGrid w:val="0"/>
          <w:color w:val="494641" w:themeColor="text2" w:themeShade="BF"/>
          <w:sz w:val="21"/>
          <w:szCs w:val="21"/>
        </w:rPr>
        <w:t>m</w:t>
      </w:r>
      <w:r w:rsidR="004634CE" w:rsidRPr="00EC4D1C">
        <w:rPr>
          <w:rFonts w:ascii="Calibri" w:hAnsi="Calibri" w:cs="Calibri"/>
          <w:i/>
          <w:iCs/>
          <w:snapToGrid w:val="0"/>
          <w:color w:val="494641" w:themeColor="text2" w:themeShade="BF"/>
          <w:sz w:val="21"/>
          <w:szCs w:val="21"/>
        </w:rPr>
        <w:t>anager</w:t>
      </w:r>
      <w:r w:rsidR="004E3D6E" w:rsidRPr="00EC4D1C">
        <w:rPr>
          <w:rFonts w:ascii="Calibri" w:hAnsi="Calibri" w:cs="Calibri"/>
          <w:snapToGrid w:val="0"/>
          <w:color w:val="494641" w:themeColor="text2" w:themeShade="BF"/>
          <w:sz w:val="21"/>
          <w:szCs w:val="21"/>
        </w:rPr>
        <w:t>]</w:t>
      </w:r>
      <w:r w:rsidR="004634CE" w:rsidRPr="00EC4D1C">
        <w:rPr>
          <w:rFonts w:ascii="Calibri" w:hAnsi="Calibri" w:cs="Calibri"/>
          <w:snapToGrid w:val="0"/>
          <w:color w:val="494641" w:themeColor="text2" w:themeShade="BF"/>
          <w:sz w:val="21"/>
          <w:szCs w:val="21"/>
        </w:rPr>
        <w:t xml:space="preserve"> should try to </w:t>
      </w:r>
      <w:r w:rsidR="007D1F44" w:rsidRPr="00EC4D1C">
        <w:rPr>
          <w:rFonts w:ascii="Calibri" w:hAnsi="Calibri" w:cs="Calibri"/>
          <w:snapToGrid w:val="0"/>
          <w:color w:val="494641" w:themeColor="text2" w:themeShade="BF"/>
          <w:sz w:val="21"/>
          <w:szCs w:val="21"/>
        </w:rPr>
        <w:t>arrange for ice packs or refrigerate where possible.</w:t>
      </w:r>
      <w:r w:rsidRPr="00EC4D1C">
        <w:rPr>
          <w:rFonts w:ascii="Calibri" w:hAnsi="Calibri" w:cs="Calibri"/>
          <w:snapToGrid w:val="0"/>
          <w:color w:val="494641" w:themeColor="text2" w:themeShade="BF"/>
          <w:sz w:val="21"/>
          <w:szCs w:val="21"/>
        </w:rPr>
        <w:t xml:space="preserve"> </w:t>
      </w:r>
    </w:p>
    <w:p w14:paraId="4809E1D8" w14:textId="77777777" w:rsidR="007D1F44" w:rsidRPr="00EC4D1C" w:rsidRDefault="007D1F44"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15F44128" w14:textId="2F1507AE" w:rsidR="00CB5E1A" w:rsidRDefault="008152B0"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If the </w:t>
      </w:r>
      <w:r w:rsidR="00871567" w:rsidRPr="00EC4D1C">
        <w:rPr>
          <w:rFonts w:ascii="Calibri" w:hAnsi="Calibri" w:cs="Calibri"/>
          <w:snapToGrid w:val="0"/>
          <w:color w:val="494641" w:themeColor="text2" w:themeShade="BF"/>
          <w:sz w:val="21"/>
          <w:szCs w:val="21"/>
        </w:rPr>
        <w:t xml:space="preserve">facility </w:t>
      </w:r>
      <w:r w:rsidR="00B37417" w:rsidRPr="00EC4D1C">
        <w:rPr>
          <w:rFonts w:ascii="Calibri" w:hAnsi="Calibri" w:cs="Calibri"/>
          <w:snapToGrid w:val="0"/>
          <w:color w:val="494641" w:themeColor="text2" w:themeShade="BF"/>
          <w:sz w:val="21"/>
          <w:szCs w:val="21"/>
        </w:rPr>
        <w:t>or</w:t>
      </w:r>
      <w:r w:rsidR="00871567" w:rsidRPr="00EC4D1C">
        <w:rPr>
          <w:rFonts w:ascii="Calibri" w:hAnsi="Calibri" w:cs="Calibri"/>
          <w:snapToGrid w:val="0"/>
          <w:color w:val="494641" w:themeColor="text2" w:themeShade="BF"/>
          <w:sz w:val="21"/>
          <w:szCs w:val="21"/>
        </w:rPr>
        <w:t xml:space="preserve"> local lab spins th</w:t>
      </w:r>
      <w:r w:rsidR="00472E0D" w:rsidRPr="00EC4D1C">
        <w:rPr>
          <w:rFonts w:ascii="Calibri" w:hAnsi="Calibri" w:cs="Calibri"/>
          <w:snapToGrid w:val="0"/>
          <w:color w:val="494641" w:themeColor="text2" w:themeShade="BF"/>
          <w:sz w:val="21"/>
          <w:szCs w:val="21"/>
        </w:rPr>
        <w:t xml:space="preserve">e blood to </w:t>
      </w:r>
      <w:r w:rsidR="00FB2ACA" w:rsidRPr="00EC4D1C">
        <w:rPr>
          <w:rFonts w:ascii="Calibri" w:hAnsi="Calibri" w:cs="Calibri"/>
          <w:snapToGrid w:val="0"/>
          <w:color w:val="494641" w:themeColor="text2" w:themeShade="BF"/>
          <w:sz w:val="21"/>
          <w:szCs w:val="21"/>
        </w:rPr>
        <w:t xml:space="preserve">create </w:t>
      </w:r>
      <w:r w:rsidR="00472E0D" w:rsidRPr="00EC4D1C">
        <w:rPr>
          <w:rFonts w:ascii="Calibri" w:hAnsi="Calibri" w:cs="Calibri"/>
          <w:snapToGrid w:val="0"/>
          <w:color w:val="494641" w:themeColor="text2" w:themeShade="BF"/>
          <w:sz w:val="21"/>
          <w:szCs w:val="21"/>
        </w:rPr>
        <w:t xml:space="preserve">a plasma sample, this will need to be shipped on dry ice. In this situation, the facility/lab should contact the </w:t>
      </w:r>
      <w:r w:rsidR="004E3D6E" w:rsidRPr="00EC4D1C">
        <w:rPr>
          <w:rFonts w:ascii="Calibri" w:hAnsi="Calibri" w:cs="Calibri"/>
          <w:snapToGrid w:val="0"/>
          <w:color w:val="494641" w:themeColor="text2" w:themeShade="BF"/>
          <w:sz w:val="21"/>
          <w:szCs w:val="21"/>
        </w:rPr>
        <w:t>[</w:t>
      </w:r>
      <w:r w:rsidR="00472E0D" w:rsidRPr="00EC4D1C">
        <w:rPr>
          <w:rFonts w:ascii="Calibri" w:hAnsi="Calibri" w:cs="Calibri"/>
          <w:i/>
          <w:iCs/>
          <w:snapToGrid w:val="0"/>
          <w:color w:val="494641" w:themeColor="text2" w:themeShade="BF"/>
          <w:sz w:val="21"/>
          <w:szCs w:val="21"/>
        </w:rPr>
        <w:t xml:space="preserve">country </w:t>
      </w:r>
      <w:r w:rsidR="00831B16" w:rsidRPr="00EC4D1C">
        <w:rPr>
          <w:rFonts w:ascii="Calibri" w:hAnsi="Calibri" w:cs="Calibri"/>
          <w:i/>
          <w:iCs/>
          <w:snapToGrid w:val="0"/>
          <w:color w:val="494641" w:themeColor="text2" w:themeShade="BF"/>
          <w:sz w:val="21"/>
          <w:szCs w:val="21"/>
        </w:rPr>
        <w:t>p</w:t>
      </w:r>
      <w:r w:rsidR="00472E0D" w:rsidRPr="00EC4D1C">
        <w:rPr>
          <w:rFonts w:ascii="Calibri" w:hAnsi="Calibri" w:cs="Calibri"/>
          <w:i/>
          <w:iCs/>
          <w:snapToGrid w:val="0"/>
          <w:color w:val="494641" w:themeColor="text2" w:themeShade="BF"/>
          <w:sz w:val="21"/>
          <w:szCs w:val="21"/>
        </w:rPr>
        <w:t xml:space="preserve">roject </w:t>
      </w:r>
      <w:r w:rsidR="00831B16" w:rsidRPr="00EC4D1C">
        <w:rPr>
          <w:rFonts w:ascii="Calibri" w:hAnsi="Calibri" w:cs="Calibri"/>
          <w:i/>
          <w:iCs/>
          <w:snapToGrid w:val="0"/>
          <w:color w:val="494641" w:themeColor="text2" w:themeShade="BF"/>
          <w:sz w:val="21"/>
          <w:szCs w:val="21"/>
        </w:rPr>
        <w:t>m</w:t>
      </w:r>
      <w:r w:rsidR="00472E0D" w:rsidRPr="00EC4D1C">
        <w:rPr>
          <w:rFonts w:ascii="Calibri" w:hAnsi="Calibri" w:cs="Calibri"/>
          <w:i/>
          <w:iCs/>
          <w:snapToGrid w:val="0"/>
          <w:color w:val="494641" w:themeColor="text2" w:themeShade="BF"/>
          <w:sz w:val="21"/>
          <w:szCs w:val="21"/>
        </w:rPr>
        <w:t>anager</w:t>
      </w:r>
      <w:r w:rsidR="004E3D6E" w:rsidRPr="00EC4D1C">
        <w:rPr>
          <w:rFonts w:ascii="Calibri" w:hAnsi="Calibri" w:cs="Calibri"/>
          <w:snapToGrid w:val="0"/>
          <w:color w:val="494641" w:themeColor="text2" w:themeShade="BF"/>
          <w:sz w:val="21"/>
          <w:szCs w:val="21"/>
        </w:rPr>
        <w:t>]</w:t>
      </w:r>
      <w:r w:rsidR="00472E0D" w:rsidRPr="00EC4D1C">
        <w:rPr>
          <w:rFonts w:ascii="Calibri" w:hAnsi="Calibri" w:cs="Calibri"/>
          <w:snapToGrid w:val="0"/>
          <w:color w:val="494641" w:themeColor="text2" w:themeShade="BF"/>
          <w:sz w:val="21"/>
          <w:szCs w:val="21"/>
        </w:rPr>
        <w:t xml:space="preserve"> for additional guidance.</w:t>
      </w:r>
      <w:r w:rsidR="00CB5E1A" w:rsidRPr="00EC4D1C">
        <w:rPr>
          <w:rFonts w:ascii="Calibri" w:hAnsi="Calibri" w:cs="Calibri"/>
          <w:snapToGrid w:val="0"/>
          <w:color w:val="494641" w:themeColor="text2" w:themeShade="BF"/>
          <w:sz w:val="21"/>
          <w:szCs w:val="21"/>
        </w:rPr>
        <w:t xml:space="preserve"> </w:t>
      </w:r>
    </w:p>
    <w:p w14:paraId="7287C500" w14:textId="77777777" w:rsidR="00793AE9" w:rsidRPr="00793AE9" w:rsidRDefault="00793AE9"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483E436E" w14:textId="0F17BC42" w:rsidR="00CB5E1A" w:rsidRPr="00EC4D1C" w:rsidRDefault="007D6538" w:rsidP="00D76C78">
      <w:pPr>
        <w:keepNext/>
        <w:keepLines/>
        <w:numPr>
          <w:ilvl w:val="2"/>
          <w:numId w:val="0"/>
        </w:numPr>
        <w:spacing w:after="60" w:line="276" w:lineRule="auto"/>
        <w:ind w:left="432" w:right="116" w:hanging="432"/>
        <w:outlineLvl w:val="2"/>
        <w:rPr>
          <w:rFonts w:ascii="Poppins SemiBold" w:hAnsi="Poppins SemiBold" w:cs="Poppins SemiBold"/>
          <w:b/>
          <w:bCs/>
          <w:color w:val="29676B" w:themeColor="accent1"/>
          <w:sz w:val="21"/>
          <w:szCs w:val="21"/>
        </w:rPr>
      </w:pPr>
      <w:bookmarkStart w:id="55" w:name="_Toc142048261"/>
      <w:bookmarkStart w:id="56" w:name="_Toc126247380"/>
      <w:r w:rsidRPr="00EC4D1C">
        <w:rPr>
          <w:rFonts w:ascii="Poppins SemiBold" w:hAnsi="Poppins SemiBold" w:cs="Poppins SemiBold"/>
          <w:b/>
          <w:bCs/>
          <w:color w:val="29676B" w:themeColor="accent1"/>
          <w:sz w:val="21"/>
          <w:szCs w:val="21"/>
        </w:rPr>
        <w:t>3.5</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Used Ring Collection</w:t>
      </w:r>
      <w:bookmarkEnd w:id="55"/>
      <w:r w:rsidR="00CB5E1A" w:rsidRPr="00EC4D1C">
        <w:rPr>
          <w:rFonts w:ascii="Poppins SemiBold" w:hAnsi="Poppins SemiBold" w:cs="Poppins SemiBold"/>
          <w:b/>
          <w:bCs/>
          <w:color w:val="29676B" w:themeColor="accent1"/>
          <w:sz w:val="21"/>
          <w:szCs w:val="21"/>
        </w:rPr>
        <w:t xml:space="preserve"> </w:t>
      </w:r>
      <w:bookmarkEnd w:id="56"/>
    </w:p>
    <w:p w14:paraId="17ADBBA3" w14:textId="09CCD69C"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If the participant is using the PrEP ring, the used ring that is returned to the clinic</w:t>
      </w:r>
      <w:r w:rsidR="00AE522C" w:rsidRPr="00EC4D1C">
        <w:rPr>
          <w:rFonts w:ascii="Calibri" w:hAnsi="Calibri" w:cs="Calibri"/>
          <w:snapToGrid w:val="0"/>
          <w:color w:val="494641" w:themeColor="text2" w:themeShade="BF"/>
          <w:sz w:val="21"/>
          <w:szCs w:val="21"/>
        </w:rPr>
        <w:t xml:space="preserve"> by the participant</w:t>
      </w:r>
      <w:r w:rsidRPr="00EC4D1C">
        <w:rPr>
          <w:rFonts w:ascii="Calibri" w:hAnsi="Calibri" w:cs="Calibri"/>
          <w:snapToGrid w:val="0"/>
          <w:color w:val="494641" w:themeColor="text2" w:themeShade="BF"/>
          <w:sz w:val="21"/>
          <w:szCs w:val="21"/>
        </w:rPr>
        <w:t xml:space="preserve"> should be collected for residual drug testing at the time of their first positive HIV test and enrollment into the study. The used ring may contain vaginal secretions and is therefore treated as a biohazard.  </w:t>
      </w:r>
    </w:p>
    <w:p w14:paraId="7F042C89"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118ECBD4" w14:textId="621DA12D" w:rsidR="00CB5E1A" w:rsidRPr="00EC4D1C" w:rsidRDefault="00CB5E1A" w:rsidP="00D76C78">
      <w:pPr>
        <w:keepLines/>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The participant will be instructed to place the used ring in a clean container</w:t>
      </w:r>
      <w:r w:rsidR="00294EFE" w:rsidRPr="00EC4D1C">
        <w:rPr>
          <w:rFonts w:ascii="Calibri" w:hAnsi="Calibri" w:cs="Calibri"/>
          <w:color w:val="494641" w:themeColor="text2" w:themeShade="BF"/>
          <w:sz w:val="21"/>
          <w:szCs w:val="21"/>
        </w:rPr>
        <w:t>, or plastic bag,</w:t>
      </w:r>
      <w:r w:rsidRPr="00EC4D1C">
        <w:rPr>
          <w:rFonts w:ascii="Calibri" w:hAnsi="Calibri" w:cs="Calibri"/>
          <w:snapToGrid w:val="0"/>
          <w:color w:val="494641" w:themeColor="text2" w:themeShade="BF"/>
          <w:sz w:val="21"/>
          <w:szCs w:val="21"/>
        </w:rPr>
        <w:t xml:space="preserve"> in the clinic. The health care worker will then perform the following procedures:</w:t>
      </w:r>
    </w:p>
    <w:p w14:paraId="2E2E4FFF" w14:textId="45F9DF3E" w:rsidR="00CB5E1A" w:rsidRPr="00EC4D1C" w:rsidRDefault="00CB5E1A" w:rsidP="00D76C78">
      <w:pPr>
        <w:keepLines/>
        <w:numPr>
          <w:ilvl w:val="0"/>
          <w:numId w:val="34"/>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Collect the container </w:t>
      </w:r>
      <w:r w:rsidR="00957F90" w:rsidRPr="00EC4D1C">
        <w:rPr>
          <w:rFonts w:ascii="Calibri" w:hAnsi="Calibri" w:cs="Calibri"/>
          <w:snapToGrid w:val="0"/>
          <w:color w:val="494641" w:themeColor="text2" w:themeShade="BF"/>
          <w:sz w:val="21"/>
          <w:szCs w:val="21"/>
        </w:rPr>
        <w:t xml:space="preserve">(if used) </w:t>
      </w:r>
      <w:r w:rsidRPr="00EC4D1C">
        <w:rPr>
          <w:rFonts w:ascii="Calibri" w:hAnsi="Calibri" w:cs="Calibri"/>
          <w:snapToGrid w:val="0"/>
          <w:color w:val="494641" w:themeColor="text2" w:themeShade="BF"/>
          <w:sz w:val="21"/>
          <w:szCs w:val="21"/>
        </w:rPr>
        <w:t>and add water (tap or bottled water is acceptable)</w:t>
      </w:r>
    </w:p>
    <w:p w14:paraId="41BFA428" w14:textId="5DBED546" w:rsidR="00CB5E1A" w:rsidRPr="00EC4D1C" w:rsidRDefault="00CB5E1A" w:rsidP="00D76C78">
      <w:pPr>
        <w:keepLines/>
        <w:numPr>
          <w:ilvl w:val="0"/>
          <w:numId w:val="34"/>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Move the ring around in the water or swirl the container to remove vaginal material</w:t>
      </w:r>
      <w:r w:rsidR="0077060B" w:rsidRPr="00EC4D1C">
        <w:rPr>
          <w:rFonts w:ascii="Calibri" w:hAnsi="Calibri" w:cs="Calibri"/>
          <w:snapToGrid w:val="0"/>
          <w:color w:val="494641" w:themeColor="text2" w:themeShade="BF"/>
          <w:sz w:val="21"/>
          <w:szCs w:val="21"/>
        </w:rPr>
        <w:t xml:space="preserve"> (note: the health care worker may also hold ring under water if a container is not used)</w:t>
      </w:r>
    </w:p>
    <w:p w14:paraId="7009670C" w14:textId="6B7B25C9" w:rsidR="00CB5E1A" w:rsidRPr="00EC4D1C" w:rsidRDefault="00CB5E1A" w:rsidP="00D76C78">
      <w:pPr>
        <w:keepLines/>
        <w:numPr>
          <w:ilvl w:val="0"/>
          <w:numId w:val="34"/>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Take the ring out of the water and blot dry with paper towels or </w:t>
      </w:r>
      <w:proofErr w:type="gramStart"/>
      <w:r w:rsidRPr="00EC4D1C">
        <w:rPr>
          <w:rFonts w:ascii="Calibri" w:hAnsi="Calibri" w:cs="Calibri"/>
          <w:snapToGrid w:val="0"/>
          <w:color w:val="494641" w:themeColor="text2" w:themeShade="BF"/>
          <w:sz w:val="21"/>
          <w:szCs w:val="21"/>
        </w:rPr>
        <w:t>gauze</w:t>
      </w:r>
      <w:proofErr w:type="gramEnd"/>
    </w:p>
    <w:p w14:paraId="33C3335E" w14:textId="77777777" w:rsidR="00CB5E1A" w:rsidRPr="00EC4D1C" w:rsidRDefault="00CB5E1A" w:rsidP="00D76C78">
      <w:pPr>
        <w:keepLines/>
        <w:numPr>
          <w:ilvl w:val="0"/>
          <w:numId w:val="34"/>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The ring should be dry before storing in the study provided sealable plastic </w:t>
      </w:r>
      <w:proofErr w:type="gramStart"/>
      <w:r w:rsidRPr="00EC4D1C">
        <w:rPr>
          <w:rFonts w:ascii="Calibri" w:hAnsi="Calibri" w:cs="Calibri"/>
          <w:snapToGrid w:val="0"/>
          <w:color w:val="494641" w:themeColor="text2" w:themeShade="BF"/>
          <w:sz w:val="21"/>
          <w:szCs w:val="21"/>
        </w:rPr>
        <w:t>bag</w:t>
      </w:r>
      <w:proofErr w:type="gramEnd"/>
    </w:p>
    <w:p w14:paraId="3F2C32EE" w14:textId="1A7213ED" w:rsidR="00CB5E1A" w:rsidRPr="004E0A85" w:rsidRDefault="00CB5E1A" w:rsidP="00D76C78">
      <w:pPr>
        <w:keepLines/>
        <w:numPr>
          <w:ilvl w:val="0"/>
          <w:numId w:val="34"/>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Dispose of blotting materials and contaminated water according to the clinic’s biohazard policy. The container used to rinse the ring can be discarded if </w:t>
      </w:r>
      <w:proofErr w:type="gramStart"/>
      <w:r w:rsidRPr="00EC4D1C">
        <w:rPr>
          <w:rFonts w:ascii="Calibri" w:hAnsi="Calibri" w:cs="Calibri"/>
          <w:snapToGrid w:val="0"/>
          <w:color w:val="494641" w:themeColor="text2" w:themeShade="BF"/>
          <w:sz w:val="21"/>
          <w:szCs w:val="21"/>
        </w:rPr>
        <w:t>disposable, or</w:t>
      </w:r>
      <w:proofErr w:type="gramEnd"/>
      <w:r w:rsidRPr="00EC4D1C">
        <w:rPr>
          <w:rFonts w:ascii="Calibri" w:hAnsi="Calibri" w:cs="Calibri"/>
          <w:snapToGrid w:val="0"/>
          <w:color w:val="494641" w:themeColor="text2" w:themeShade="BF"/>
          <w:sz w:val="21"/>
          <w:szCs w:val="21"/>
        </w:rPr>
        <w:t xml:space="preserve"> cleaned and re-used if a glass container.</w:t>
      </w:r>
    </w:p>
    <w:p w14:paraId="1DAAAFF3"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lastRenderedPageBreak/>
        <w:t xml:space="preserve">Note: the ring can be rinsed in the clinic or the laboratory, but ideally clinics and laboratories will be instructed to keep this process consistent with whatever method they are trained on. If the rings will be rinsed in the laboratory, clinic staff will be instructed to collect the ring and immediately place it in the provided sealable plastic bag. </w:t>
      </w:r>
    </w:p>
    <w:p w14:paraId="382CCECD" w14:textId="77777777" w:rsidR="00CB5E1A" w:rsidRPr="00EC4D1C"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 </w:t>
      </w:r>
    </w:p>
    <w:p w14:paraId="50B4AF90" w14:textId="254DFE35" w:rsidR="00CB5E1A" w:rsidRDefault="00CB5E1A" w:rsidP="00D76C78">
      <w:pPr>
        <w:keepLine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The ring sealable plastic bag will then be placed in the envelope provided in the collection kit with the completed CRF/LRF, and DBS samples, to ship to the centralized laboratory</w:t>
      </w:r>
      <w:r w:rsidR="00AE522C" w:rsidRPr="00EC4D1C">
        <w:rPr>
          <w:rFonts w:ascii="Calibri" w:hAnsi="Calibri" w:cs="Calibri"/>
          <w:color w:val="494641" w:themeColor="text2" w:themeShade="BF"/>
          <w:sz w:val="21"/>
          <w:szCs w:val="21"/>
        </w:rPr>
        <w:t xml:space="preserve"> for storage and shipment to monitor drug levels</w:t>
      </w:r>
      <w:r w:rsidRPr="00EC4D1C">
        <w:rPr>
          <w:rFonts w:ascii="Calibri" w:hAnsi="Calibri" w:cs="Calibri"/>
          <w:snapToGrid w:val="0"/>
          <w:color w:val="494641" w:themeColor="text2" w:themeShade="BF"/>
          <w:sz w:val="21"/>
          <w:szCs w:val="21"/>
        </w:rPr>
        <w:t>.  The ring may remain stored at ambient temperature until shipment.</w:t>
      </w:r>
    </w:p>
    <w:p w14:paraId="6871582A" w14:textId="77777777" w:rsidR="00793AE9" w:rsidRPr="00793AE9" w:rsidRDefault="00793AE9" w:rsidP="00D76C78">
      <w:pPr>
        <w:keepLines/>
        <w:spacing w:line="276" w:lineRule="auto"/>
        <w:ind w:right="116"/>
        <w:rPr>
          <w:rFonts w:ascii="Calibri" w:hAnsi="Calibri" w:cs="Calibri"/>
          <w:snapToGrid w:val="0"/>
          <w:color w:val="494641" w:themeColor="text2" w:themeShade="BF"/>
          <w:sz w:val="21"/>
          <w:szCs w:val="21"/>
        </w:rPr>
      </w:pPr>
    </w:p>
    <w:p w14:paraId="6A7F9E3B" w14:textId="32EFCC60" w:rsidR="00CB5E1A" w:rsidRPr="00EC4D1C" w:rsidRDefault="007D6538" w:rsidP="00D76C78">
      <w:pPr>
        <w:keepNext/>
        <w:keepLines/>
        <w:numPr>
          <w:ilvl w:val="2"/>
          <w:numId w:val="0"/>
        </w:numPr>
        <w:spacing w:after="60" w:line="276" w:lineRule="auto"/>
        <w:ind w:left="432" w:right="116" w:hanging="432"/>
        <w:outlineLvl w:val="2"/>
        <w:rPr>
          <w:rFonts w:ascii="Poppins SemiBold" w:hAnsi="Poppins SemiBold" w:cs="Poppins SemiBold"/>
          <w:b/>
          <w:bCs/>
          <w:color w:val="29676B" w:themeColor="accent1"/>
          <w:sz w:val="21"/>
          <w:szCs w:val="21"/>
        </w:rPr>
      </w:pPr>
      <w:bookmarkStart w:id="57" w:name="_Toc126247381"/>
      <w:bookmarkStart w:id="58" w:name="_Toc142048262"/>
      <w:r w:rsidRPr="00EC4D1C">
        <w:rPr>
          <w:rFonts w:ascii="Poppins SemiBold" w:hAnsi="Poppins SemiBold" w:cs="Poppins SemiBold"/>
          <w:b/>
          <w:bCs/>
          <w:color w:val="29676B" w:themeColor="accent1"/>
          <w:sz w:val="21"/>
          <w:szCs w:val="21"/>
        </w:rPr>
        <w:t>3.6</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Sample Shipment and Communication</w:t>
      </w:r>
      <w:bookmarkEnd w:id="57"/>
      <w:bookmarkEnd w:id="58"/>
    </w:p>
    <w:p w14:paraId="1D341A68" w14:textId="05B16732" w:rsidR="00CB5E1A"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Table </w:t>
      </w:r>
      <w:r w:rsidR="009C5F9A" w:rsidRPr="00EC4D1C">
        <w:rPr>
          <w:rFonts w:ascii="Calibri" w:hAnsi="Calibri" w:cs="Calibri"/>
          <w:snapToGrid w:val="0"/>
          <w:color w:val="494641" w:themeColor="text2" w:themeShade="BF"/>
          <w:sz w:val="21"/>
          <w:szCs w:val="21"/>
        </w:rPr>
        <w:t>2</w:t>
      </w:r>
      <w:r w:rsidRPr="00EC4D1C">
        <w:rPr>
          <w:rFonts w:ascii="Calibri" w:hAnsi="Calibri" w:cs="Calibri"/>
          <w:snapToGrid w:val="0"/>
          <w:color w:val="494641" w:themeColor="text2" w:themeShade="BF"/>
          <w:sz w:val="21"/>
          <w:szCs w:val="21"/>
        </w:rPr>
        <w:t xml:space="preserve"> provides an overview of shipment and communication plans for each study. Further details are included in </w:t>
      </w:r>
      <w:r w:rsidR="00CB2C1E" w:rsidRPr="00EC4D1C">
        <w:rPr>
          <w:rFonts w:ascii="Calibri" w:hAnsi="Calibri" w:cs="Calibri"/>
          <w:snapToGrid w:val="0"/>
          <w:color w:val="494641" w:themeColor="text2" w:themeShade="BF"/>
          <w:sz w:val="21"/>
          <w:szCs w:val="21"/>
        </w:rPr>
        <w:t>[</w:t>
      </w:r>
      <w:r w:rsidR="00CB2C1E" w:rsidRPr="00EC4D1C">
        <w:rPr>
          <w:rFonts w:ascii="Calibri" w:hAnsi="Calibri" w:cs="Calibri"/>
          <w:i/>
          <w:iCs/>
          <w:snapToGrid w:val="0"/>
          <w:color w:val="494641" w:themeColor="text2" w:themeShade="BF"/>
          <w:sz w:val="21"/>
          <w:szCs w:val="21"/>
        </w:rPr>
        <w:t xml:space="preserve">insert if applicable: </w:t>
      </w:r>
      <w:r w:rsidRPr="00EC4D1C">
        <w:rPr>
          <w:rFonts w:ascii="Calibri" w:hAnsi="Calibri" w:cs="Calibri"/>
          <w:i/>
          <w:iCs/>
          <w:snapToGrid w:val="0"/>
          <w:color w:val="494641" w:themeColor="text2" w:themeShade="BF"/>
          <w:sz w:val="21"/>
          <w:szCs w:val="21"/>
        </w:rPr>
        <w:t>project-specific flow charts</w:t>
      </w:r>
      <w:r w:rsidR="00CB2C1E" w:rsidRPr="00EC4D1C">
        <w:rPr>
          <w:rFonts w:ascii="Calibri" w:hAnsi="Calibri" w:cs="Calibri"/>
          <w:snapToGrid w:val="0"/>
          <w:color w:val="494641" w:themeColor="text2" w:themeShade="BF"/>
          <w:sz w:val="21"/>
          <w:szCs w:val="21"/>
        </w:rPr>
        <w:t xml:space="preserve"> </w:t>
      </w:r>
      <w:r w:rsidR="00CB2C1E" w:rsidRPr="00EC4D1C">
        <w:rPr>
          <w:rFonts w:ascii="Calibri" w:hAnsi="Calibri" w:cs="Calibri"/>
          <w:i/>
          <w:iCs/>
          <w:snapToGrid w:val="0"/>
          <w:color w:val="494641" w:themeColor="text2" w:themeShade="BF"/>
          <w:sz w:val="21"/>
          <w:szCs w:val="21"/>
        </w:rPr>
        <w:t>or other support materials</w:t>
      </w:r>
      <w:r w:rsidR="00CB2C1E"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It is best practice for sites to alert the </w:t>
      </w:r>
      <w:r w:rsidR="00831B16"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831B16"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before shipping a sample in case modified procedures are required.</w:t>
      </w:r>
    </w:p>
    <w:p w14:paraId="38E2AA99" w14:textId="77777777" w:rsidR="00793AE9" w:rsidRPr="00793AE9" w:rsidRDefault="00793AE9"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23C56889" w14:textId="2D7E77CD" w:rsidR="00CB5E1A" w:rsidRPr="004E0A85" w:rsidRDefault="00CB5E1A" w:rsidP="00D76C78">
      <w:pPr>
        <w:keepLines/>
        <w:tabs>
          <w:tab w:val="left" w:pos="-1440"/>
        </w:tabs>
        <w:spacing w:after="120" w:line="276" w:lineRule="auto"/>
        <w:ind w:right="116"/>
        <w:rPr>
          <w:rFonts w:ascii="Calibri" w:hAnsi="Calibri" w:cs="Calibri"/>
          <w:b/>
          <w:bCs/>
          <w:i/>
          <w:iCs/>
          <w:snapToGrid w:val="0"/>
          <w:color w:val="29676B" w:themeColor="accent1"/>
          <w:sz w:val="21"/>
          <w:szCs w:val="21"/>
          <w:shd w:val="clear" w:color="auto" w:fill="FFFFFF"/>
        </w:rPr>
      </w:pPr>
      <w:r w:rsidRPr="004E0A85">
        <w:rPr>
          <w:rFonts w:ascii="Calibri" w:hAnsi="Calibri" w:cs="Calibri"/>
          <w:b/>
          <w:bCs/>
          <w:i/>
          <w:iCs/>
          <w:snapToGrid w:val="0"/>
          <w:color w:val="29676B" w:themeColor="accent1"/>
          <w:sz w:val="21"/>
          <w:szCs w:val="21"/>
          <w:shd w:val="clear" w:color="auto" w:fill="FFFFFF"/>
        </w:rPr>
        <w:t xml:space="preserve">Table </w:t>
      </w:r>
      <w:r w:rsidR="009C5F9A" w:rsidRPr="004E0A85">
        <w:rPr>
          <w:rFonts w:ascii="Calibri" w:hAnsi="Calibri" w:cs="Calibri"/>
          <w:b/>
          <w:bCs/>
          <w:i/>
          <w:iCs/>
          <w:snapToGrid w:val="0"/>
          <w:color w:val="29676B" w:themeColor="accent1"/>
          <w:sz w:val="21"/>
          <w:szCs w:val="21"/>
          <w:shd w:val="clear" w:color="auto" w:fill="FFFFFF"/>
        </w:rPr>
        <w:t>2</w:t>
      </w:r>
      <w:r w:rsidR="00EC4D1C" w:rsidRPr="004E0A85">
        <w:rPr>
          <w:rFonts w:ascii="Calibri" w:hAnsi="Calibri" w:cs="Calibri"/>
          <w:b/>
          <w:bCs/>
          <w:i/>
          <w:iCs/>
          <w:snapToGrid w:val="0"/>
          <w:color w:val="29676B" w:themeColor="accent1"/>
          <w:sz w:val="21"/>
          <w:szCs w:val="21"/>
          <w:shd w:val="clear" w:color="auto" w:fill="FFFFFF"/>
        </w:rPr>
        <w:t xml:space="preserve">. </w:t>
      </w:r>
      <w:r w:rsidRPr="004E0A85">
        <w:rPr>
          <w:rFonts w:ascii="Calibri" w:hAnsi="Calibri" w:cs="Calibri"/>
          <w:b/>
          <w:bCs/>
          <w:i/>
          <w:iCs/>
          <w:snapToGrid w:val="0"/>
          <w:color w:val="29676B" w:themeColor="accent1"/>
          <w:sz w:val="21"/>
          <w:szCs w:val="21"/>
          <w:shd w:val="clear" w:color="auto" w:fill="FFFFFF"/>
        </w:rPr>
        <w:t>Project Shipment Overview</w:t>
      </w:r>
    </w:p>
    <w:tbl>
      <w:tblPr>
        <w:tblStyle w:val="GridTable4-Accent1"/>
        <w:tblW w:w="0" w:type="auto"/>
        <w:tblCellMar>
          <w:top w:w="72" w:type="dxa"/>
          <w:bottom w:w="72" w:type="dxa"/>
        </w:tblCellMar>
        <w:tblLook w:val="04A0" w:firstRow="1" w:lastRow="0" w:firstColumn="1" w:lastColumn="0" w:noHBand="0" w:noVBand="1"/>
      </w:tblPr>
      <w:tblGrid>
        <w:gridCol w:w="2383"/>
        <w:gridCol w:w="1923"/>
        <w:gridCol w:w="2249"/>
        <w:gridCol w:w="2461"/>
      </w:tblGrid>
      <w:tr w:rsidR="00CB5E1A" w:rsidRPr="00AB7CF3" w14:paraId="202B47A3" w14:textId="77777777" w:rsidTr="00EC4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6748226A" w14:textId="77777777" w:rsidR="00CB5E1A" w:rsidRPr="00EC4D1C" w:rsidRDefault="00CB5E1A" w:rsidP="00D76C78">
            <w:pPr>
              <w:keepLines/>
              <w:tabs>
                <w:tab w:val="left" w:pos="-1440"/>
              </w:tabs>
              <w:spacing w:line="276" w:lineRule="auto"/>
              <w:ind w:right="116"/>
              <w:rPr>
                <w:rFonts w:ascii="Calibri" w:hAnsi="Calibri" w:cs="Calibri"/>
                <w:snapToGrid w:val="0"/>
                <w:sz w:val="21"/>
                <w:szCs w:val="21"/>
              </w:rPr>
            </w:pPr>
            <w:r w:rsidRPr="00EC4D1C">
              <w:rPr>
                <w:rFonts w:ascii="Calibri" w:hAnsi="Calibri" w:cs="Calibri"/>
                <w:snapToGrid w:val="0"/>
                <w:sz w:val="21"/>
                <w:szCs w:val="21"/>
              </w:rPr>
              <w:t>Project/Study</w:t>
            </w:r>
          </w:p>
        </w:tc>
        <w:tc>
          <w:tcPr>
            <w:tcW w:w="1923" w:type="dxa"/>
          </w:tcPr>
          <w:p w14:paraId="555D23C2" w14:textId="77777777" w:rsidR="00CB5E1A" w:rsidRPr="00EC4D1C" w:rsidRDefault="00CB5E1A" w:rsidP="00D76C78">
            <w:pPr>
              <w:keepLines/>
              <w:tabs>
                <w:tab w:val="left" w:pos="-1440"/>
              </w:tabs>
              <w:spacing w:line="276" w:lineRule="auto"/>
              <w:ind w:right="116"/>
              <w:cnfStyle w:val="100000000000" w:firstRow="1" w:lastRow="0" w:firstColumn="0" w:lastColumn="0" w:oddVBand="0" w:evenVBand="0" w:oddHBand="0" w:evenHBand="0" w:firstRowFirstColumn="0" w:firstRowLastColumn="0" w:lastRowFirstColumn="0" w:lastRowLastColumn="0"/>
              <w:rPr>
                <w:rFonts w:ascii="Calibri" w:hAnsi="Calibri" w:cs="Calibri"/>
                <w:snapToGrid w:val="0"/>
                <w:sz w:val="21"/>
                <w:szCs w:val="21"/>
              </w:rPr>
            </w:pPr>
            <w:r w:rsidRPr="00EC4D1C">
              <w:rPr>
                <w:rFonts w:ascii="Calibri" w:hAnsi="Calibri" w:cs="Calibri"/>
                <w:snapToGrid w:val="0"/>
                <w:sz w:val="21"/>
                <w:szCs w:val="21"/>
              </w:rPr>
              <w:t>Sample Type</w:t>
            </w:r>
          </w:p>
        </w:tc>
        <w:tc>
          <w:tcPr>
            <w:tcW w:w="2249" w:type="dxa"/>
          </w:tcPr>
          <w:p w14:paraId="7131AEDA" w14:textId="77777777" w:rsidR="00CB5E1A" w:rsidRPr="00EC4D1C" w:rsidRDefault="00CB5E1A" w:rsidP="00D76C78">
            <w:pPr>
              <w:keepLines/>
              <w:tabs>
                <w:tab w:val="left" w:pos="-1440"/>
              </w:tabs>
              <w:spacing w:line="276" w:lineRule="auto"/>
              <w:ind w:right="116"/>
              <w:cnfStyle w:val="100000000000" w:firstRow="1" w:lastRow="0" w:firstColumn="0" w:lastColumn="0" w:oddVBand="0" w:evenVBand="0" w:oddHBand="0" w:evenHBand="0" w:firstRowFirstColumn="0" w:firstRowLastColumn="0" w:lastRowFirstColumn="0" w:lastRowLastColumn="0"/>
              <w:rPr>
                <w:rFonts w:ascii="Calibri" w:hAnsi="Calibri" w:cs="Calibri"/>
                <w:snapToGrid w:val="0"/>
                <w:sz w:val="21"/>
                <w:szCs w:val="21"/>
              </w:rPr>
            </w:pPr>
            <w:r w:rsidRPr="00EC4D1C">
              <w:rPr>
                <w:rFonts w:ascii="Calibri" w:hAnsi="Calibri" w:cs="Calibri"/>
                <w:snapToGrid w:val="0"/>
                <w:sz w:val="21"/>
                <w:szCs w:val="21"/>
              </w:rPr>
              <w:t>Shipment</w:t>
            </w:r>
          </w:p>
        </w:tc>
        <w:tc>
          <w:tcPr>
            <w:tcW w:w="2461" w:type="dxa"/>
          </w:tcPr>
          <w:p w14:paraId="1A0DD82F" w14:textId="77777777" w:rsidR="00CB5E1A" w:rsidRPr="00EC4D1C" w:rsidRDefault="00CB5E1A" w:rsidP="00D76C78">
            <w:pPr>
              <w:keepLines/>
              <w:tabs>
                <w:tab w:val="left" w:pos="-1440"/>
              </w:tabs>
              <w:spacing w:line="276" w:lineRule="auto"/>
              <w:ind w:right="116"/>
              <w:cnfStyle w:val="100000000000" w:firstRow="1" w:lastRow="0" w:firstColumn="0" w:lastColumn="0" w:oddVBand="0" w:evenVBand="0" w:oddHBand="0" w:evenHBand="0" w:firstRowFirstColumn="0" w:firstRowLastColumn="0" w:lastRowFirstColumn="0" w:lastRowLastColumn="0"/>
              <w:rPr>
                <w:rFonts w:ascii="Calibri" w:hAnsi="Calibri" w:cs="Calibri"/>
                <w:snapToGrid w:val="0"/>
                <w:sz w:val="21"/>
                <w:szCs w:val="21"/>
              </w:rPr>
            </w:pPr>
            <w:r w:rsidRPr="00EC4D1C">
              <w:rPr>
                <w:rFonts w:ascii="Calibri" w:hAnsi="Calibri" w:cs="Calibri"/>
                <w:snapToGrid w:val="0"/>
                <w:sz w:val="21"/>
                <w:szCs w:val="21"/>
              </w:rPr>
              <w:t>Communication</w:t>
            </w:r>
          </w:p>
        </w:tc>
      </w:tr>
      <w:tr w:rsidR="00CB5E1A" w:rsidRPr="00AB7CF3" w14:paraId="3D569835" w14:textId="77777777" w:rsidTr="00EC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shd w:val="clear" w:color="auto" w:fill="E6F4F6"/>
          </w:tcPr>
          <w:p w14:paraId="3767F369" w14:textId="7C05D4EA" w:rsidR="00CB5E1A" w:rsidRPr="00EC4D1C" w:rsidRDefault="00CB2C1E" w:rsidP="00D76C78">
            <w:pPr>
              <w:keepLines/>
              <w:tabs>
                <w:tab w:val="left" w:pos="-1440"/>
              </w:tabs>
              <w:spacing w:line="276" w:lineRule="auto"/>
              <w:ind w:right="116"/>
              <w:rPr>
                <w:rFonts w:ascii="Calibri" w:hAnsi="Calibri" w:cs="Calibri"/>
                <w:i/>
                <w:iCs/>
                <w:snapToGrid w:val="0"/>
                <w:color w:val="494641" w:themeColor="text2" w:themeShade="BF"/>
                <w:sz w:val="21"/>
                <w:szCs w:val="21"/>
              </w:rPr>
            </w:pPr>
            <w:r w:rsidRPr="00EC4D1C">
              <w:rPr>
                <w:rFonts w:ascii="Calibri" w:hAnsi="Calibri" w:cs="Calibri"/>
                <w:i/>
                <w:iCs/>
                <w:snapToGrid w:val="0"/>
                <w:color w:val="494641" w:themeColor="text2" w:themeShade="BF"/>
                <w:sz w:val="21"/>
                <w:szCs w:val="21"/>
              </w:rPr>
              <w:t>[insert project name]</w:t>
            </w:r>
          </w:p>
        </w:tc>
        <w:tc>
          <w:tcPr>
            <w:tcW w:w="1923" w:type="dxa"/>
            <w:shd w:val="clear" w:color="auto" w:fill="E6F4F6"/>
          </w:tcPr>
          <w:p w14:paraId="29F1C9A7" w14:textId="5546ACB3" w:rsidR="00CB5E1A" w:rsidRPr="00EC4D1C" w:rsidRDefault="00CB2C1E" w:rsidP="00D76C78">
            <w:pPr>
              <w:keepLines/>
              <w:tabs>
                <w:tab w:val="left" w:pos="-1440"/>
              </w:tabs>
              <w:spacing w:line="276" w:lineRule="auto"/>
              <w:ind w:right="116"/>
              <w:cnfStyle w:val="000000100000" w:firstRow="0" w:lastRow="0" w:firstColumn="0" w:lastColumn="0" w:oddVBand="0" w:evenVBand="0" w:oddHBand="1" w:evenHBand="0" w:firstRowFirstColumn="0" w:firstRowLastColumn="0" w:lastRowFirstColumn="0" w:lastRowLastColumn="0"/>
              <w:rPr>
                <w:rFonts w:ascii="Calibri" w:hAnsi="Calibri" w:cs="Calibri"/>
                <w:i/>
                <w:iCs/>
                <w:snapToGrid w:val="0"/>
                <w:color w:val="494641" w:themeColor="text2" w:themeShade="BF"/>
                <w:sz w:val="21"/>
                <w:szCs w:val="21"/>
              </w:rPr>
            </w:pPr>
            <w:r w:rsidRPr="00EC4D1C">
              <w:rPr>
                <w:rFonts w:ascii="Calibri" w:hAnsi="Calibri" w:cs="Calibri"/>
                <w:i/>
                <w:iCs/>
                <w:snapToGrid w:val="0"/>
                <w:color w:val="494641" w:themeColor="text2" w:themeShade="BF"/>
                <w:sz w:val="21"/>
                <w:szCs w:val="21"/>
              </w:rPr>
              <w:t>[</w:t>
            </w:r>
            <w:r w:rsidR="00CB5E1A" w:rsidRPr="00EC4D1C">
              <w:rPr>
                <w:rFonts w:ascii="Calibri" w:hAnsi="Calibri" w:cs="Calibri"/>
                <w:i/>
                <w:iCs/>
                <w:snapToGrid w:val="0"/>
                <w:color w:val="494641" w:themeColor="text2" w:themeShade="BF"/>
                <w:sz w:val="21"/>
                <w:szCs w:val="21"/>
              </w:rPr>
              <w:t>Whole Blood</w:t>
            </w:r>
            <w:r w:rsidRPr="00EC4D1C">
              <w:rPr>
                <w:rFonts w:ascii="Calibri" w:hAnsi="Calibri" w:cs="Calibri"/>
                <w:i/>
                <w:iCs/>
                <w:snapToGrid w:val="0"/>
                <w:color w:val="494641" w:themeColor="text2" w:themeShade="BF"/>
                <w:sz w:val="21"/>
                <w:szCs w:val="21"/>
              </w:rPr>
              <w:t xml:space="preserve">, DBS, </w:t>
            </w:r>
            <w:r w:rsidR="00EF0EA5" w:rsidRPr="00EC4D1C">
              <w:rPr>
                <w:rFonts w:ascii="Calibri" w:hAnsi="Calibri" w:cs="Calibri"/>
                <w:i/>
                <w:iCs/>
                <w:snapToGrid w:val="0"/>
                <w:color w:val="494641" w:themeColor="text2" w:themeShade="BF"/>
                <w:sz w:val="21"/>
                <w:szCs w:val="21"/>
              </w:rPr>
              <w:t xml:space="preserve">and/or </w:t>
            </w:r>
            <w:r w:rsidRPr="00EC4D1C">
              <w:rPr>
                <w:rFonts w:ascii="Calibri" w:hAnsi="Calibri" w:cs="Calibri"/>
                <w:i/>
                <w:iCs/>
                <w:snapToGrid w:val="0"/>
                <w:color w:val="494641" w:themeColor="text2" w:themeShade="BF"/>
                <w:sz w:val="21"/>
                <w:szCs w:val="21"/>
              </w:rPr>
              <w:t>Plasma</w:t>
            </w:r>
            <w:r w:rsidR="00EF0EA5" w:rsidRPr="00EC4D1C">
              <w:rPr>
                <w:rFonts w:ascii="Calibri" w:hAnsi="Calibri" w:cs="Calibri"/>
                <w:i/>
                <w:iCs/>
                <w:snapToGrid w:val="0"/>
                <w:color w:val="494641" w:themeColor="text2" w:themeShade="BF"/>
                <w:sz w:val="21"/>
                <w:szCs w:val="21"/>
              </w:rPr>
              <w:t>]</w:t>
            </w:r>
          </w:p>
        </w:tc>
        <w:tc>
          <w:tcPr>
            <w:tcW w:w="2249" w:type="dxa"/>
            <w:shd w:val="clear" w:color="auto" w:fill="E6F4F6"/>
          </w:tcPr>
          <w:p w14:paraId="3BD1E296" w14:textId="753D2BFC" w:rsidR="00CB5E1A" w:rsidRPr="00EC4D1C" w:rsidRDefault="00EF0EA5" w:rsidP="00D76C78">
            <w:pPr>
              <w:keepLines/>
              <w:tabs>
                <w:tab w:val="left" w:pos="-1440"/>
              </w:tabs>
              <w:spacing w:line="276" w:lineRule="auto"/>
              <w:ind w:right="116"/>
              <w:cnfStyle w:val="000000100000" w:firstRow="0" w:lastRow="0" w:firstColumn="0" w:lastColumn="0" w:oddVBand="0" w:evenVBand="0" w:oddHBand="1" w:evenHBand="0" w:firstRowFirstColumn="0" w:firstRowLastColumn="0" w:lastRowFirstColumn="0" w:lastRowLastColumn="0"/>
              <w:rPr>
                <w:rFonts w:ascii="Calibri" w:hAnsi="Calibri" w:cs="Calibri"/>
                <w:i/>
                <w:iCs/>
                <w:snapToGrid w:val="0"/>
                <w:color w:val="494641" w:themeColor="text2" w:themeShade="BF"/>
                <w:sz w:val="21"/>
                <w:szCs w:val="21"/>
              </w:rPr>
            </w:pPr>
            <w:r w:rsidRPr="00EC4D1C">
              <w:rPr>
                <w:rFonts w:ascii="Calibri" w:hAnsi="Calibri" w:cs="Calibri"/>
                <w:i/>
                <w:iCs/>
                <w:snapToGrid w:val="0"/>
                <w:color w:val="494641" w:themeColor="text2" w:themeShade="BF"/>
                <w:sz w:val="21"/>
                <w:szCs w:val="21"/>
              </w:rPr>
              <w:t xml:space="preserve">[Briefly describe shipment process </w:t>
            </w:r>
            <w:r w:rsidR="0011041A" w:rsidRPr="00EC4D1C">
              <w:rPr>
                <w:rFonts w:ascii="Calibri" w:hAnsi="Calibri" w:cs="Calibri"/>
                <w:i/>
                <w:iCs/>
                <w:snapToGrid w:val="0"/>
                <w:color w:val="494641" w:themeColor="text2" w:themeShade="BF"/>
                <w:sz w:val="21"/>
                <w:szCs w:val="21"/>
              </w:rPr>
              <w:t xml:space="preserve">to applicable lab, including </w:t>
            </w:r>
            <w:r w:rsidRPr="00EC4D1C">
              <w:rPr>
                <w:rFonts w:ascii="Calibri" w:hAnsi="Calibri" w:cs="Calibri"/>
                <w:i/>
                <w:iCs/>
                <w:snapToGrid w:val="0"/>
                <w:color w:val="494641" w:themeColor="text2" w:themeShade="BF"/>
                <w:sz w:val="21"/>
                <w:szCs w:val="21"/>
              </w:rPr>
              <w:t>courier</w:t>
            </w:r>
            <w:r w:rsidR="0036065E" w:rsidRPr="00EC4D1C">
              <w:rPr>
                <w:rFonts w:ascii="Calibri" w:hAnsi="Calibri" w:cs="Calibri"/>
                <w:i/>
                <w:iCs/>
                <w:snapToGrid w:val="0"/>
                <w:color w:val="494641" w:themeColor="text2" w:themeShade="BF"/>
                <w:sz w:val="21"/>
                <w:szCs w:val="21"/>
              </w:rPr>
              <w:t xml:space="preserve"> and any </w:t>
            </w:r>
            <w:r w:rsidR="006B3605" w:rsidRPr="00EC4D1C">
              <w:rPr>
                <w:rFonts w:ascii="Calibri" w:hAnsi="Calibri" w:cs="Calibri"/>
                <w:i/>
                <w:iCs/>
                <w:snapToGrid w:val="0"/>
                <w:color w:val="494641" w:themeColor="text2" w:themeShade="BF"/>
                <w:sz w:val="21"/>
                <w:szCs w:val="21"/>
              </w:rPr>
              <w:t xml:space="preserve">LRFs or </w:t>
            </w:r>
            <w:r w:rsidR="002D5D01" w:rsidRPr="00EC4D1C">
              <w:rPr>
                <w:rFonts w:ascii="Calibri" w:hAnsi="Calibri" w:cs="Calibri"/>
                <w:i/>
                <w:iCs/>
                <w:snapToGrid w:val="0"/>
                <w:color w:val="494641" w:themeColor="text2" w:themeShade="BF"/>
                <w:sz w:val="21"/>
                <w:szCs w:val="21"/>
              </w:rPr>
              <w:t>specimen tracking forms</w:t>
            </w:r>
            <w:r w:rsidRPr="00EC4D1C">
              <w:rPr>
                <w:rFonts w:ascii="Calibri" w:hAnsi="Calibri" w:cs="Calibri"/>
                <w:i/>
                <w:iCs/>
                <w:snapToGrid w:val="0"/>
                <w:color w:val="494641" w:themeColor="text2" w:themeShade="BF"/>
                <w:sz w:val="21"/>
                <w:szCs w:val="21"/>
              </w:rPr>
              <w:t>]</w:t>
            </w:r>
          </w:p>
        </w:tc>
        <w:tc>
          <w:tcPr>
            <w:tcW w:w="2461" w:type="dxa"/>
            <w:shd w:val="clear" w:color="auto" w:fill="E6F4F6"/>
          </w:tcPr>
          <w:p w14:paraId="7DEE62F0" w14:textId="50E4CAFA" w:rsidR="00CB5E1A" w:rsidRPr="00EC4D1C" w:rsidRDefault="0011041A" w:rsidP="00D76C78">
            <w:pPr>
              <w:keepLines/>
              <w:tabs>
                <w:tab w:val="left" w:pos="-1440"/>
              </w:tabs>
              <w:spacing w:line="276" w:lineRule="auto"/>
              <w:ind w:right="116"/>
              <w:cnfStyle w:val="000000100000" w:firstRow="0" w:lastRow="0" w:firstColumn="0" w:lastColumn="0" w:oddVBand="0" w:evenVBand="0" w:oddHBand="1" w:evenHBand="0" w:firstRowFirstColumn="0" w:firstRowLastColumn="0" w:lastRowFirstColumn="0" w:lastRowLastColumn="0"/>
              <w:rPr>
                <w:rFonts w:ascii="Calibri" w:hAnsi="Calibri" w:cs="Calibri"/>
                <w:snapToGrid w:val="0"/>
                <w:color w:val="494641" w:themeColor="text2" w:themeShade="BF"/>
                <w:sz w:val="21"/>
                <w:szCs w:val="21"/>
              </w:rPr>
            </w:pPr>
            <w:r w:rsidRPr="00EC4D1C">
              <w:rPr>
                <w:rFonts w:ascii="Calibri" w:hAnsi="Calibri" w:cs="Calibri"/>
                <w:i/>
                <w:iCs/>
                <w:snapToGrid w:val="0"/>
                <w:color w:val="494641" w:themeColor="text2" w:themeShade="BF"/>
                <w:sz w:val="21"/>
                <w:szCs w:val="21"/>
              </w:rPr>
              <w:t>[Note any key communication plan for laboratory to notify project</w:t>
            </w:r>
            <w:r w:rsidR="005E21B6" w:rsidRPr="00EC4D1C">
              <w:rPr>
                <w:rFonts w:ascii="Calibri" w:hAnsi="Calibri" w:cs="Calibri"/>
                <w:i/>
                <w:iCs/>
                <w:snapToGrid w:val="0"/>
                <w:color w:val="494641" w:themeColor="text2" w:themeShade="BF"/>
                <w:sz w:val="21"/>
                <w:szCs w:val="21"/>
              </w:rPr>
              <w:t xml:space="preserve"> of test results]</w:t>
            </w:r>
            <w:r w:rsidR="005E21B6" w:rsidRPr="00EC4D1C">
              <w:rPr>
                <w:rFonts w:ascii="Calibri" w:hAnsi="Calibri" w:cs="Calibri"/>
                <w:snapToGrid w:val="0"/>
                <w:color w:val="494641" w:themeColor="text2" w:themeShade="BF"/>
                <w:sz w:val="21"/>
                <w:szCs w:val="21"/>
              </w:rPr>
              <w:t xml:space="preserve"> </w:t>
            </w:r>
          </w:p>
        </w:tc>
      </w:tr>
    </w:tbl>
    <w:p w14:paraId="396B6869" w14:textId="77777777" w:rsidR="00793AE9" w:rsidRPr="00793AE9" w:rsidRDefault="00793AE9" w:rsidP="00D76C78">
      <w:pPr>
        <w:keepLines/>
        <w:tabs>
          <w:tab w:val="left" w:pos="-1440"/>
        </w:tabs>
        <w:spacing w:line="276" w:lineRule="auto"/>
        <w:ind w:right="116"/>
        <w:rPr>
          <w:rFonts w:ascii="Calibri" w:hAnsi="Calibri" w:cs="Calibri"/>
          <w:snapToGrid w:val="0"/>
          <w:sz w:val="21"/>
          <w:szCs w:val="21"/>
        </w:rPr>
      </w:pPr>
    </w:p>
    <w:p w14:paraId="1FCB1306" w14:textId="45F6CC08" w:rsidR="00CB5E1A" w:rsidRPr="00EC4D1C" w:rsidRDefault="007D6538" w:rsidP="00D76C78">
      <w:pPr>
        <w:keepNext/>
        <w:keepLines/>
        <w:numPr>
          <w:ilvl w:val="2"/>
          <w:numId w:val="0"/>
        </w:numPr>
        <w:spacing w:after="60" w:line="276" w:lineRule="auto"/>
        <w:ind w:left="432" w:right="116" w:hanging="432"/>
        <w:outlineLvl w:val="2"/>
        <w:rPr>
          <w:rFonts w:ascii="Poppins SemiBold" w:hAnsi="Poppins SemiBold" w:cs="Poppins SemiBold"/>
          <w:b/>
          <w:bCs/>
          <w:color w:val="29676B" w:themeColor="accent1"/>
          <w:sz w:val="21"/>
          <w:szCs w:val="21"/>
        </w:rPr>
      </w:pPr>
      <w:bookmarkStart w:id="59" w:name="_Toc126247382"/>
      <w:bookmarkStart w:id="60" w:name="_Toc142048263"/>
      <w:r w:rsidRPr="00EC4D1C">
        <w:rPr>
          <w:rFonts w:ascii="Poppins SemiBold" w:hAnsi="Poppins SemiBold" w:cs="Poppins SemiBold"/>
          <w:b/>
          <w:bCs/>
          <w:color w:val="29676B" w:themeColor="accent1"/>
          <w:sz w:val="21"/>
          <w:szCs w:val="21"/>
        </w:rPr>
        <w:t>3.7</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HIV Drug Resistance Results</w:t>
      </w:r>
      <w:bookmarkEnd w:id="59"/>
      <w:bookmarkEnd w:id="60"/>
      <w:r w:rsidR="00CB5E1A" w:rsidRPr="00EC4D1C">
        <w:rPr>
          <w:rFonts w:ascii="Poppins SemiBold" w:hAnsi="Poppins SemiBold" w:cs="Poppins SemiBold"/>
          <w:b/>
          <w:bCs/>
          <w:color w:val="29676B" w:themeColor="accent1"/>
          <w:sz w:val="21"/>
          <w:szCs w:val="21"/>
        </w:rPr>
        <w:tab/>
      </w:r>
    </w:p>
    <w:p w14:paraId="79244012" w14:textId="29B2414F" w:rsidR="00793AE9" w:rsidRDefault="00CB5E1A" w:rsidP="00D76C78">
      <w:pPr>
        <w:keepLines/>
        <w:tabs>
          <w:tab w:val="left" w:pos="-1440"/>
        </w:tabs>
        <w:spacing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Once available, test results will be provided to the PrEP facility that collected the sample as well as the </w:t>
      </w:r>
      <w:r w:rsidR="001C1A60"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1C1A60"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Copies of the result should be initialed and dated by the site clinicians and filed in the participant’s chart. Disclosure of available test results should be provided to the participant, as well as to their ART provider, as per protocol requirements. The </w:t>
      </w:r>
      <w:r w:rsidR="00797002"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country project manager</w:t>
      </w:r>
      <w:r w:rsidR="00797002" w:rsidRPr="00EC4D1C">
        <w:rPr>
          <w:rFonts w:ascii="Calibri" w:hAnsi="Calibri" w:cs="Calibri"/>
          <w:snapToGrid w:val="0"/>
          <w:color w:val="494641" w:themeColor="text2" w:themeShade="BF"/>
          <w:sz w:val="21"/>
          <w:szCs w:val="21"/>
        </w:rPr>
        <w:t>]</w:t>
      </w:r>
      <w:r w:rsidRPr="00EC4D1C">
        <w:rPr>
          <w:rFonts w:ascii="Calibri" w:hAnsi="Calibri" w:cs="Calibri"/>
          <w:snapToGrid w:val="0"/>
          <w:color w:val="494641" w:themeColor="text2" w:themeShade="BF"/>
          <w:sz w:val="21"/>
          <w:szCs w:val="21"/>
        </w:rPr>
        <w:t xml:space="preserve"> should refer any questions regarding interpreting drug results to the appropriate resource available in country or with the testing laboratory.  </w:t>
      </w:r>
      <w:bookmarkStart w:id="61" w:name="_Toc415156756"/>
      <w:bookmarkStart w:id="62" w:name="_Toc415216987"/>
      <w:bookmarkStart w:id="63" w:name="_Toc415226542"/>
      <w:bookmarkStart w:id="64" w:name="_Toc415226715"/>
      <w:bookmarkStart w:id="65" w:name="_Toc415226758"/>
      <w:bookmarkEnd w:id="61"/>
      <w:bookmarkEnd w:id="62"/>
      <w:bookmarkEnd w:id="63"/>
      <w:bookmarkEnd w:id="64"/>
      <w:bookmarkEnd w:id="65"/>
    </w:p>
    <w:p w14:paraId="72EC3BA6" w14:textId="77777777" w:rsidR="00793AE9" w:rsidRPr="00793AE9" w:rsidRDefault="00793AE9" w:rsidP="00D76C78">
      <w:pPr>
        <w:keepLines/>
        <w:tabs>
          <w:tab w:val="left" w:pos="-1440"/>
        </w:tabs>
        <w:spacing w:line="276" w:lineRule="auto"/>
        <w:ind w:right="116"/>
        <w:rPr>
          <w:rFonts w:ascii="Calibri" w:hAnsi="Calibri" w:cs="Calibri"/>
          <w:snapToGrid w:val="0"/>
          <w:color w:val="494641" w:themeColor="text2" w:themeShade="BF"/>
          <w:sz w:val="21"/>
          <w:szCs w:val="21"/>
        </w:rPr>
      </w:pPr>
    </w:p>
    <w:p w14:paraId="052B2692" w14:textId="78FCA8F1" w:rsidR="00CB5E1A" w:rsidRPr="00EC4D1C" w:rsidRDefault="003B5E86" w:rsidP="00D76C78">
      <w:pPr>
        <w:keepNext/>
        <w:keepLines/>
        <w:numPr>
          <w:ilvl w:val="2"/>
          <w:numId w:val="0"/>
        </w:numPr>
        <w:spacing w:after="60" w:line="276" w:lineRule="auto"/>
        <w:ind w:left="432" w:right="116" w:hanging="432"/>
        <w:outlineLvl w:val="2"/>
        <w:rPr>
          <w:rFonts w:ascii="Poppins SemiBold" w:hAnsi="Poppins SemiBold" w:cs="Poppins SemiBold"/>
          <w:b/>
          <w:bCs/>
          <w:color w:val="29676B" w:themeColor="accent1"/>
          <w:sz w:val="21"/>
          <w:szCs w:val="21"/>
        </w:rPr>
      </w:pPr>
      <w:bookmarkStart w:id="66" w:name="_Toc126247383"/>
      <w:bookmarkStart w:id="67" w:name="_Toc142048264"/>
      <w:r w:rsidRPr="00EC4D1C">
        <w:rPr>
          <w:rFonts w:ascii="Poppins SemiBold" w:hAnsi="Poppins SemiBold" w:cs="Poppins SemiBold"/>
          <w:b/>
          <w:bCs/>
          <w:color w:val="29676B" w:themeColor="accent1"/>
          <w:sz w:val="21"/>
          <w:szCs w:val="21"/>
        </w:rPr>
        <w:t>3.8</w:t>
      </w:r>
      <w:r w:rsidRPr="00EC4D1C">
        <w:rPr>
          <w:rFonts w:ascii="Poppins SemiBold" w:hAnsi="Poppins SemiBold" w:cs="Poppins SemiBold"/>
          <w:b/>
          <w:bCs/>
          <w:color w:val="29676B" w:themeColor="accent1"/>
          <w:sz w:val="21"/>
          <w:szCs w:val="21"/>
        </w:rPr>
        <w:tab/>
      </w:r>
      <w:r w:rsidR="00CB5E1A" w:rsidRPr="00EC4D1C">
        <w:rPr>
          <w:rFonts w:ascii="Poppins SemiBold" w:hAnsi="Poppins SemiBold" w:cs="Poppins SemiBold"/>
          <w:b/>
          <w:bCs/>
          <w:color w:val="29676B" w:themeColor="accent1"/>
          <w:sz w:val="21"/>
          <w:szCs w:val="21"/>
        </w:rPr>
        <w:t>Study Monitoring</w:t>
      </w:r>
      <w:bookmarkEnd w:id="66"/>
      <w:bookmarkEnd w:id="67"/>
    </w:p>
    <w:p w14:paraId="5EDEB95F" w14:textId="6128078A" w:rsidR="00CB5E1A" w:rsidRPr="00EC4D1C" w:rsidRDefault="00797002" w:rsidP="00D76C78">
      <w:pPr>
        <w:keepLines/>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w:t>
      </w:r>
      <w:r w:rsidRPr="00EC4D1C">
        <w:rPr>
          <w:rFonts w:ascii="Calibri" w:hAnsi="Calibri" w:cs="Calibri"/>
          <w:i/>
          <w:iCs/>
          <w:snapToGrid w:val="0"/>
          <w:color w:val="494641" w:themeColor="text2" w:themeShade="BF"/>
          <w:sz w:val="21"/>
          <w:szCs w:val="21"/>
        </w:rPr>
        <w:t>P</w:t>
      </w:r>
      <w:r w:rsidR="00CB5E1A" w:rsidRPr="00EC4D1C">
        <w:rPr>
          <w:rFonts w:ascii="Calibri" w:hAnsi="Calibri" w:cs="Calibri"/>
          <w:i/>
          <w:iCs/>
          <w:snapToGrid w:val="0"/>
          <w:color w:val="494641" w:themeColor="text2" w:themeShade="BF"/>
          <w:sz w:val="21"/>
          <w:szCs w:val="21"/>
        </w:rPr>
        <w:t>roject staff</w:t>
      </w:r>
      <w:r w:rsidRPr="00EC4D1C">
        <w:rPr>
          <w:rFonts w:ascii="Calibri" w:hAnsi="Calibri" w:cs="Calibri"/>
          <w:snapToGrid w:val="0"/>
          <w:color w:val="494641" w:themeColor="text2" w:themeShade="BF"/>
          <w:sz w:val="21"/>
          <w:szCs w:val="21"/>
        </w:rPr>
        <w:t>]</w:t>
      </w:r>
      <w:r w:rsidR="00CB5E1A" w:rsidRPr="00EC4D1C">
        <w:rPr>
          <w:rFonts w:ascii="Calibri" w:hAnsi="Calibri" w:cs="Calibri"/>
          <w:snapToGrid w:val="0"/>
          <w:color w:val="494641" w:themeColor="text2" w:themeShade="BF"/>
          <w:sz w:val="21"/>
          <w:szCs w:val="21"/>
        </w:rPr>
        <w:t xml:space="preserve"> may review study records at clinics and laboratories. The purpose of these visits is to </w:t>
      </w:r>
    </w:p>
    <w:p w14:paraId="217A5252" w14:textId="77777777" w:rsidR="00CB5E1A" w:rsidRPr="00EC4D1C" w:rsidRDefault="00CB5E1A" w:rsidP="00D76C78">
      <w:pPr>
        <w:keepLines/>
        <w:numPr>
          <w:ilvl w:val="0"/>
          <w:numId w:val="35"/>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Assess the quality of study implementation and </w:t>
      </w:r>
      <w:proofErr w:type="gramStart"/>
      <w:r w:rsidRPr="00EC4D1C">
        <w:rPr>
          <w:rFonts w:ascii="Calibri" w:hAnsi="Calibri" w:cs="Calibri"/>
          <w:snapToGrid w:val="0"/>
          <w:color w:val="494641" w:themeColor="text2" w:themeShade="BF"/>
          <w:sz w:val="21"/>
          <w:szCs w:val="21"/>
        </w:rPr>
        <w:t>documentation</w:t>
      </w:r>
      <w:proofErr w:type="gramEnd"/>
      <w:r w:rsidRPr="00EC4D1C">
        <w:rPr>
          <w:rFonts w:ascii="Calibri" w:hAnsi="Calibri" w:cs="Calibri"/>
          <w:snapToGrid w:val="0"/>
          <w:color w:val="494641" w:themeColor="text2" w:themeShade="BF"/>
          <w:sz w:val="21"/>
          <w:szCs w:val="21"/>
        </w:rPr>
        <w:t xml:space="preserve"> </w:t>
      </w:r>
    </w:p>
    <w:p w14:paraId="6CB4E156" w14:textId="77777777" w:rsidR="00CB5E1A" w:rsidRPr="00EC4D1C" w:rsidRDefault="00CB5E1A" w:rsidP="00D76C78">
      <w:pPr>
        <w:keepLines/>
        <w:numPr>
          <w:ilvl w:val="0"/>
          <w:numId w:val="35"/>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Troubleshoot and provide technical assistance and/or retraining related to implementation issues and </w:t>
      </w:r>
      <w:proofErr w:type="gramStart"/>
      <w:r w:rsidRPr="00EC4D1C">
        <w:rPr>
          <w:rFonts w:ascii="Calibri" w:hAnsi="Calibri" w:cs="Calibri"/>
          <w:snapToGrid w:val="0"/>
          <w:color w:val="494641" w:themeColor="text2" w:themeShade="BF"/>
          <w:sz w:val="21"/>
          <w:szCs w:val="21"/>
        </w:rPr>
        <w:t>problems</w:t>
      </w:r>
      <w:proofErr w:type="gramEnd"/>
      <w:r w:rsidRPr="00EC4D1C">
        <w:rPr>
          <w:rFonts w:ascii="Calibri" w:hAnsi="Calibri" w:cs="Calibri"/>
          <w:snapToGrid w:val="0"/>
          <w:color w:val="494641" w:themeColor="text2" w:themeShade="BF"/>
          <w:sz w:val="21"/>
          <w:szCs w:val="21"/>
        </w:rPr>
        <w:t xml:space="preserve"> </w:t>
      </w:r>
    </w:p>
    <w:p w14:paraId="7235A05E" w14:textId="77777777" w:rsidR="00CB5E1A" w:rsidRPr="00EC4D1C" w:rsidRDefault="00CB5E1A" w:rsidP="00D76C78">
      <w:pPr>
        <w:keepLines/>
        <w:numPr>
          <w:ilvl w:val="0"/>
          <w:numId w:val="35"/>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Share information on successful implementation strategies identified at other sites or </w:t>
      </w:r>
      <w:proofErr w:type="gramStart"/>
      <w:r w:rsidRPr="00EC4D1C">
        <w:rPr>
          <w:rFonts w:ascii="Calibri" w:hAnsi="Calibri" w:cs="Calibri"/>
          <w:snapToGrid w:val="0"/>
          <w:color w:val="494641" w:themeColor="text2" w:themeShade="BF"/>
          <w:sz w:val="21"/>
          <w:szCs w:val="21"/>
        </w:rPr>
        <w:t>laboratories</w:t>
      </w:r>
      <w:proofErr w:type="gramEnd"/>
    </w:p>
    <w:p w14:paraId="09B1E32E" w14:textId="77777777" w:rsidR="00793AE9" w:rsidRDefault="00CB5E1A" w:rsidP="00D76C78">
      <w:pPr>
        <w:keepLines/>
        <w:numPr>
          <w:ilvl w:val="0"/>
          <w:numId w:val="35"/>
        </w:numPr>
        <w:tabs>
          <w:tab w:val="left" w:pos="-1440"/>
        </w:tabs>
        <w:spacing w:after="60" w:line="276" w:lineRule="auto"/>
        <w:ind w:right="116"/>
        <w:rPr>
          <w:rFonts w:ascii="Calibri" w:hAnsi="Calibri" w:cs="Calibri"/>
          <w:snapToGrid w:val="0"/>
          <w:color w:val="494641" w:themeColor="text2" w:themeShade="BF"/>
          <w:sz w:val="21"/>
          <w:szCs w:val="21"/>
        </w:rPr>
      </w:pPr>
      <w:r w:rsidRPr="00EC4D1C">
        <w:rPr>
          <w:rFonts w:ascii="Calibri" w:hAnsi="Calibri" w:cs="Calibri"/>
          <w:snapToGrid w:val="0"/>
          <w:color w:val="494641" w:themeColor="text2" w:themeShade="BF"/>
          <w:sz w:val="21"/>
          <w:szCs w:val="21"/>
        </w:rPr>
        <w:t xml:space="preserve">Identify action items as needed to address study implementation issues and </w:t>
      </w:r>
      <w:proofErr w:type="gramStart"/>
      <w:r w:rsidRPr="00EC4D1C">
        <w:rPr>
          <w:rFonts w:ascii="Calibri" w:hAnsi="Calibri" w:cs="Calibri"/>
          <w:snapToGrid w:val="0"/>
          <w:color w:val="494641" w:themeColor="text2" w:themeShade="BF"/>
          <w:sz w:val="21"/>
          <w:szCs w:val="21"/>
        </w:rPr>
        <w:t>problems</w:t>
      </w:r>
      <w:proofErr w:type="gramEnd"/>
    </w:p>
    <w:p w14:paraId="65CBD146" w14:textId="2FF94AA8" w:rsidR="00CB5E1A" w:rsidRPr="00793AE9" w:rsidRDefault="00797002" w:rsidP="00D76C78">
      <w:pPr>
        <w:keepLines/>
        <w:tabs>
          <w:tab w:val="left" w:pos="-1440"/>
        </w:tabs>
        <w:spacing w:after="60" w:line="276" w:lineRule="auto"/>
        <w:ind w:right="116"/>
        <w:rPr>
          <w:rFonts w:ascii="Calibri" w:hAnsi="Calibri" w:cs="Calibri"/>
          <w:snapToGrid w:val="0"/>
          <w:color w:val="494641" w:themeColor="text2" w:themeShade="BF"/>
          <w:sz w:val="21"/>
          <w:szCs w:val="21"/>
        </w:rPr>
      </w:pPr>
      <w:r w:rsidRPr="00793AE9">
        <w:rPr>
          <w:rFonts w:ascii="Calibri" w:hAnsi="Calibri" w:cs="Calibri"/>
          <w:snapToGrid w:val="0"/>
          <w:color w:val="494641" w:themeColor="text2" w:themeShade="BF"/>
          <w:sz w:val="21"/>
          <w:szCs w:val="21"/>
        </w:rPr>
        <w:lastRenderedPageBreak/>
        <w:t>[</w:t>
      </w:r>
      <w:r w:rsidRPr="00793AE9">
        <w:rPr>
          <w:rFonts w:ascii="Calibri" w:hAnsi="Calibri" w:cs="Calibri"/>
          <w:i/>
          <w:iCs/>
          <w:snapToGrid w:val="0"/>
          <w:color w:val="494641" w:themeColor="text2" w:themeShade="BF"/>
          <w:sz w:val="21"/>
          <w:szCs w:val="21"/>
        </w:rPr>
        <w:t>P</w:t>
      </w:r>
      <w:r w:rsidR="00CB5E1A" w:rsidRPr="00793AE9">
        <w:rPr>
          <w:rFonts w:ascii="Calibri" w:hAnsi="Calibri" w:cs="Calibri"/>
          <w:i/>
          <w:iCs/>
          <w:snapToGrid w:val="0"/>
          <w:color w:val="494641" w:themeColor="text2" w:themeShade="BF"/>
          <w:sz w:val="21"/>
          <w:szCs w:val="21"/>
        </w:rPr>
        <w:t>roject staff</w:t>
      </w:r>
      <w:r w:rsidRPr="00793AE9">
        <w:rPr>
          <w:rFonts w:ascii="Calibri" w:hAnsi="Calibri" w:cs="Calibri"/>
          <w:snapToGrid w:val="0"/>
          <w:color w:val="494641" w:themeColor="text2" w:themeShade="BF"/>
          <w:sz w:val="21"/>
          <w:szCs w:val="21"/>
        </w:rPr>
        <w:t>]</w:t>
      </w:r>
      <w:r w:rsidR="00CB5E1A" w:rsidRPr="00793AE9">
        <w:rPr>
          <w:rFonts w:ascii="Calibri" w:hAnsi="Calibri" w:cs="Calibri"/>
          <w:snapToGrid w:val="0"/>
          <w:color w:val="494641" w:themeColor="text2" w:themeShade="BF"/>
          <w:sz w:val="21"/>
          <w:szCs w:val="21"/>
        </w:rPr>
        <w:t xml:space="preserve"> will document the visit and associated findings in an assessment report. The report will summarize observations and include action items. A copy of the report is stored at the </w:t>
      </w:r>
      <w:r w:rsidRPr="00793AE9">
        <w:rPr>
          <w:rFonts w:ascii="Calibri" w:hAnsi="Calibri" w:cs="Calibri"/>
          <w:snapToGrid w:val="0"/>
          <w:color w:val="494641" w:themeColor="text2" w:themeShade="BF"/>
          <w:sz w:val="21"/>
          <w:szCs w:val="21"/>
        </w:rPr>
        <w:t>[</w:t>
      </w:r>
      <w:r w:rsidR="00CB5E1A" w:rsidRPr="00793AE9">
        <w:rPr>
          <w:rFonts w:ascii="Calibri" w:hAnsi="Calibri" w:cs="Calibri"/>
          <w:i/>
          <w:iCs/>
          <w:snapToGrid w:val="0"/>
          <w:color w:val="494641" w:themeColor="text2" w:themeShade="BF"/>
          <w:sz w:val="21"/>
          <w:szCs w:val="21"/>
        </w:rPr>
        <w:t xml:space="preserve">country project manager office and in the </w:t>
      </w:r>
      <w:r w:rsidRPr="00793AE9">
        <w:rPr>
          <w:rFonts w:ascii="Calibri" w:hAnsi="Calibri" w:cs="Calibri"/>
          <w:i/>
          <w:iCs/>
          <w:snapToGrid w:val="0"/>
          <w:color w:val="494641" w:themeColor="text2" w:themeShade="BF"/>
          <w:sz w:val="21"/>
          <w:szCs w:val="21"/>
        </w:rPr>
        <w:t>headquarters</w:t>
      </w:r>
      <w:r w:rsidR="00CB5E1A" w:rsidRPr="00793AE9">
        <w:rPr>
          <w:rFonts w:ascii="Calibri" w:hAnsi="Calibri" w:cs="Calibri"/>
          <w:i/>
          <w:iCs/>
          <w:snapToGrid w:val="0"/>
          <w:color w:val="494641" w:themeColor="text2" w:themeShade="BF"/>
          <w:sz w:val="21"/>
          <w:szCs w:val="21"/>
        </w:rPr>
        <w:t xml:space="preserve"> office</w:t>
      </w:r>
      <w:r w:rsidRPr="00793AE9">
        <w:rPr>
          <w:rFonts w:ascii="Calibri" w:hAnsi="Calibri" w:cs="Calibri"/>
          <w:snapToGrid w:val="0"/>
          <w:color w:val="494641" w:themeColor="text2" w:themeShade="BF"/>
          <w:sz w:val="21"/>
          <w:szCs w:val="21"/>
        </w:rPr>
        <w:t>]</w:t>
      </w:r>
      <w:r w:rsidR="00CB5E1A" w:rsidRPr="00793AE9">
        <w:rPr>
          <w:rFonts w:ascii="Calibri" w:hAnsi="Calibri" w:cs="Calibri"/>
          <w:snapToGrid w:val="0"/>
          <w:color w:val="494641" w:themeColor="text2" w:themeShade="BF"/>
          <w:sz w:val="21"/>
          <w:szCs w:val="21"/>
        </w:rPr>
        <w:t xml:space="preserve"> records.</w:t>
      </w:r>
    </w:p>
    <w:p w14:paraId="7DCD3312" w14:textId="4EC5F537" w:rsidR="00CB5E1A" w:rsidRPr="00AB7CF3" w:rsidRDefault="000951AC" w:rsidP="00D76C78">
      <w:pPr>
        <w:pStyle w:val="BodyTextIndent2"/>
        <w:spacing w:line="276" w:lineRule="auto"/>
        <w:ind w:left="0" w:right="116"/>
        <w:rPr>
          <w:rStyle w:val="Style11pt"/>
          <w:sz w:val="21"/>
          <w:szCs w:val="21"/>
        </w:rPr>
      </w:pPr>
      <w:r w:rsidRPr="00AB7CF3">
        <w:rPr>
          <w:rStyle w:val="Style11pt"/>
          <w:sz w:val="21"/>
          <w:szCs w:val="21"/>
        </w:rPr>
        <w:t xml:space="preserve"> </w:t>
      </w:r>
    </w:p>
    <w:p w14:paraId="11D893A6" w14:textId="77777777" w:rsidR="00CB5E1A" w:rsidRPr="00AB7CF3" w:rsidRDefault="00CB5E1A" w:rsidP="00D76C78">
      <w:pPr>
        <w:spacing w:line="276" w:lineRule="auto"/>
        <w:ind w:right="116"/>
        <w:rPr>
          <w:rStyle w:val="Style11pt"/>
          <w:sz w:val="21"/>
          <w:szCs w:val="21"/>
        </w:rPr>
      </w:pPr>
      <w:r w:rsidRPr="00AB7CF3">
        <w:rPr>
          <w:rStyle w:val="Style11pt"/>
          <w:sz w:val="21"/>
          <w:szCs w:val="21"/>
        </w:rPr>
        <w:br w:type="page"/>
      </w:r>
    </w:p>
    <w:p w14:paraId="6B27D086" w14:textId="77777777" w:rsidR="0055579F" w:rsidRPr="00AB7CF3" w:rsidRDefault="0055579F" w:rsidP="00D76C78">
      <w:pPr>
        <w:pStyle w:val="BodyTextIndent2"/>
        <w:spacing w:line="276" w:lineRule="auto"/>
        <w:ind w:left="0" w:right="116"/>
        <w:rPr>
          <w:rFonts w:ascii="Arial Narrow" w:hAnsi="Arial Narrow"/>
          <w:b/>
          <w:sz w:val="21"/>
          <w:szCs w:val="21"/>
        </w:rPr>
        <w:sectPr w:rsidR="0055579F" w:rsidRPr="00AB7CF3" w:rsidSect="00010980">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titlePg/>
          <w:docGrid w:linePitch="360"/>
        </w:sectPr>
      </w:pPr>
    </w:p>
    <w:p w14:paraId="71356415" w14:textId="457BD734" w:rsidR="009D521D" w:rsidRPr="00EC4D1C" w:rsidRDefault="00371287" w:rsidP="00D76C78">
      <w:pPr>
        <w:pStyle w:val="Heading1"/>
        <w:spacing w:line="276" w:lineRule="auto"/>
        <w:ind w:left="432" w:right="116" w:hanging="432"/>
        <w:rPr>
          <w:rFonts w:ascii="Poppins" w:hAnsi="Poppins" w:cs="Poppins"/>
          <w:bCs/>
          <w:color w:val="29676B" w:themeColor="accent1"/>
          <w:sz w:val="26"/>
          <w:szCs w:val="26"/>
        </w:rPr>
      </w:pPr>
      <w:bookmarkStart w:id="68" w:name="_Toc126249017"/>
      <w:bookmarkStart w:id="69" w:name="_Toc142048265"/>
      <w:r w:rsidRPr="00EC4D1C">
        <w:rPr>
          <w:rFonts w:ascii="Poppins" w:hAnsi="Poppins" w:cs="Poppins"/>
          <w:bCs/>
          <w:color w:val="29676B" w:themeColor="accent1"/>
          <w:sz w:val="26"/>
          <w:szCs w:val="26"/>
        </w:rPr>
        <w:lastRenderedPageBreak/>
        <w:t xml:space="preserve">Laboratory Procedures </w:t>
      </w:r>
      <w:r w:rsidR="009D521D" w:rsidRPr="00EC4D1C">
        <w:rPr>
          <w:rFonts w:ascii="Poppins" w:hAnsi="Poppins" w:cs="Poppins"/>
          <w:bCs/>
          <w:color w:val="29676B" w:themeColor="accent1"/>
          <w:sz w:val="26"/>
          <w:szCs w:val="26"/>
        </w:rPr>
        <w:t>Introduction</w:t>
      </w:r>
      <w:bookmarkEnd w:id="68"/>
      <w:bookmarkEnd w:id="69"/>
    </w:p>
    <w:p w14:paraId="284D67ED" w14:textId="21E33D4C" w:rsidR="009D521D" w:rsidRPr="00EC4D1C" w:rsidRDefault="009D521D" w:rsidP="00D76C78">
      <w:pPr>
        <w:spacing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 xml:space="preserve">This section provides information and instructions for laboratory staff related to the processing, storing, shipping, and testing of laboratory specimens for the MOSAIC HIV drug resistance (HIVDR)-sponsored studies. The laboratory will communicate directly with the </w:t>
      </w:r>
      <w:r w:rsidR="008450CE" w:rsidRPr="00EC4D1C">
        <w:rPr>
          <w:rFonts w:ascii="Calibri" w:hAnsi="Calibri" w:cs="Calibri"/>
          <w:color w:val="494641" w:themeColor="text2" w:themeShade="BF"/>
          <w:sz w:val="21"/>
          <w:szCs w:val="21"/>
        </w:rPr>
        <w:t>[</w:t>
      </w:r>
      <w:r w:rsidRPr="00EC4D1C">
        <w:rPr>
          <w:rFonts w:ascii="Calibri" w:hAnsi="Calibri" w:cs="Calibri"/>
          <w:i/>
          <w:iCs/>
          <w:color w:val="494641" w:themeColor="text2" w:themeShade="BF"/>
          <w:sz w:val="21"/>
          <w:szCs w:val="21"/>
        </w:rPr>
        <w:t>country project managers</w:t>
      </w:r>
      <w:r w:rsidR="008450CE" w:rsidRPr="00EC4D1C">
        <w:rPr>
          <w:rFonts w:ascii="Calibri" w:hAnsi="Calibri" w:cs="Calibri"/>
          <w:color w:val="494641" w:themeColor="text2" w:themeShade="BF"/>
          <w:sz w:val="21"/>
          <w:szCs w:val="21"/>
        </w:rPr>
        <w:t>]</w:t>
      </w:r>
      <w:r w:rsidRPr="00EC4D1C">
        <w:rPr>
          <w:rFonts w:ascii="Calibri" w:hAnsi="Calibri" w:cs="Calibri"/>
          <w:color w:val="494641" w:themeColor="text2" w:themeShade="BF"/>
          <w:sz w:val="21"/>
          <w:szCs w:val="21"/>
        </w:rPr>
        <w:t xml:space="preserve"> throughout the process of specimen receipt, testing, and storage.</w:t>
      </w:r>
    </w:p>
    <w:p w14:paraId="48C99A3E" w14:textId="77777777" w:rsidR="009D521D" w:rsidRPr="00AB7CF3" w:rsidRDefault="009D521D" w:rsidP="00D76C78">
      <w:pPr>
        <w:spacing w:line="276" w:lineRule="auto"/>
        <w:ind w:right="116"/>
        <w:rPr>
          <w:rFonts w:ascii="Arial" w:hAnsi="Arial" w:cs="Arial"/>
          <w:sz w:val="21"/>
          <w:szCs w:val="21"/>
        </w:rPr>
      </w:pPr>
    </w:p>
    <w:p w14:paraId="20906768" w14:textId="232F964A" w:rsidR="009D521D" w:rsidRPr="00EC4D1C" w:rsidRDefault="009D521D" w:rsidP="00D76C78">
      <w:pPr>
        <w:pStyle w:val="Heading2"/>
        <w:numPr>
          <w:ilvl w:val="1"/>
          <w:numId w:val="18"/>
        </w:numPr>
        <w:spacing w:after="60" w:line="276" w:lineRule="auto"/>
        <w:ind w:left="432" w:right="116" w:hanging="432"/>
        <w:rPr>
          <w:rFonts w:ascii="Poppins" w:hAnsi="Poppins" w:cs="Poppins"/>
          <w:color w:val="29676B" w:themeColor="accent1"/>
          <w:sz w:val="21"/>
          <w:szCs w:val="21"/>
        </w:rPr>
      </w:pPr>
      <w:bookmarkStart w:id="70" w:name="_Toc126249018"/>
      <w:bookmarkStart w:id="71" w:name="_Toc142048266"/>
      <w:r w:rsidRPr="00EC4D1C">
        <w:rPr>
          <w:rFonts w:ascii="Poppins" w:hAnsi="Poppins" w:cs="Poppins"/>
          <w:color w:val="29676B" w:themeColor="accent1"/>
          <w:sz w:val="21"/>
          <w:szCs w:val="21"/>
        </w:rPr>
        <w:t>Current Protocol Specifications</w:t>
      </w:r>
      <w:bookmarkEnd w:id="70"/>
      <w:bookmarkEnd w:id="71"/>
    </w:p>
    <w:p w14:paraId="5EDBB48E" w14:textId="77777777" w:rsidR="009D521D" w:rsidRPr="00EC4D1C" w:rsidRDefault="009D521D" w:rsidP="00D76C78">
      <w:pPr>
        <w:pStyle w:val="BodyText"/>
        <w:spacing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All specimens collected will be obtained from a clinic or healthcare facility that collected the blood sample, and/or PrEP ring, from a PrEP client who seroconverted (had an HIV positive rapid test) and consented to having their sample tested for HIVDR and drug levels.  Additionally, samples may undergo viral load testing to address any challenges with HIVDR testing. Unless otherwise specified, the samples will be shipped via courier service from the clinic site at ambient temperature to the testing laboratory.</w:t>
      </w:r>
    </w:p>
    <w:p w14:paraId="2DAA9922" w14:textId="77777777" w:rsidR="009D521D" w:rsidRPr="00EC4D1C" w:rsidRDefault="009D521D" w:rsidP="00D76C78">
      <w:pPr>
        <w:pStyle w:val="BodyText"/>
        <w:spacing w:line="276" w:lineRule="auto"/>
        <w:ind w:right="116"/>
        <w:rPr>
          <w:rFonts w:ascii="Calibri" w:hAnsi="Calibri" w:cs="Calibri"/>
          <w:color w:val="494641" w:themeColor="text2" w:themeShade="BF"/>
          <w:sz w:val="21"/>
          <w:szCs w:val="21"/>
        </w:rPr>
      </w:pPr>
    </w:p>
    <w:p w14:paraId="04C17643" w14:textId="77777777" w:rsidR="009D521D" w:rsidRPr="00EC4D1C" w:rsidRDefault="009D521D" w:rsidP="00D76C78">
      <w:pPr>
        <w:pStyle w:val="BodyText"/>
        <w:spacing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The specimens received must be processed in the laboratory by qualified personnel and all specimens will be handled according to Good Clinical Laboratory Practices (GCLP) and Universal Precautions.</w:t>
      </w:r>
    </w:p>
    <w:p w14:paraId="0CE291B4" w14:textId="77777777" w:rsidR="009D521D" w:rsidRPr="00EC4D1C" w:rsidRDefault="009D521D" w:rsidP="00D76C78">
      <w:pPr>
        <w:pStyle w:val="BodyText"/>
        <w:spacing w:line="276" w:lineRule="auto"/>
        <w:ind w:right="116"/>
        <w:rPr>
          <w:rFonts w:ascii="Calibri" w:hAnsi="Calibri" w:cs="Calibri"/>
          <w:color w:val="494641" w:themeColor="text2" w:themeShade="BF"/>
          <w:sz w:val="21"/>
          <w:szCs w:val="21"/>
        </w:rPr>
      </w:pPr>
    </w:p>
    <w:p w14:paraId="6AFC640E" w14:textId="77777777" w:rsidR="009D521D" w:rsidRPr="00EC4D1C" w:rsidRDefault="009D521D" w:rsidP="00D76C78">
      <w:p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 xml:space="preserve">Performance of this procedure will expose personnel to biohazardous material. All specimens must be handled as infectious material as outlined in your Laboratory’s Safety Manual. The technologist must take all precautions and adhere to all prescribed policies when collecting </w:t>
      </w:r>
      <w:r w:rsidRPr="00EC4D1C">
        <w:rPr>
          <w:rFonts w:ascii="Calibri" w:eastAsia="Arial" w:hAnsi="Calibri" w:cs="Calibri"/>
          <w:color w:val="494641" w:themeColor="text2" w:themeShade="BF"/>
          <w:sz w:val="21"/>
          <w:szCs w:val="21"/>
        </w:rPr>
        <w:t>and handling biological specimens</w:t>
      </w:r>
      <w:r w:rsidRPr="00EC4D1C">
        <w:rPr>
          <w:rFonts w:ascii="Calibri" w:hAnsi="Calibri" w:cs="Calibri"/>
          <w:color w:val="494641" w:themeColor="text2" w:themeShade="BF"/>
          <w:sz w:val="21"/>
          <w:szCs w:val="21"/>
        </w:rPr>
        <w:t>.</w:t>
      </w:r>
    </w:p>
    <w:p w14:paraId="6F9759BB" w14:textId="77777777" w:rsidR="009D521D" w:rsidRPr="00EC4D1C" w:rsidRDefault="009D521D" w:rsidP="00D76C78">
      <w:p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right="116"/>
        <w:rPr>
          <w:rFonts w:ascii="Calibri" w:hAnsi="Calibri" w:cs="Calibri"/>
          <w:color w:val="494641" w:themeColor="text2" w:themeShade="BF"/>
          <w:sz w:val="21"/>
          <w:szCs w:val="21"/>
        </w:rPr>
      </w:pPr>
    </w:p>
    <w:p w14:paraId="1C5A4376" w14:textId="77777777" w:rsidR="009D521D" w:rsidRPr="00EC4D1C" w:rsidRDefault="009D521D" w:rsidP="00D76C78">
      <w:p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This procedure may expose you to:</w:t>
      </w:r>
    </w:p>
    <w:p w14:paraId="4DDAC854" w14:textId="77777777" w:rsidR="009D521D" w:rsidRPr="00EC4D1C" w:rsidRDefault="009D521D" w:rsidP="00D76C78">
      <w:pPr>
        <w:pStyle w:val="ListParagraph"/>
        <w:numPr>
          <w:ilvl w:val="0"/>
          <w:numId w:val="37"/>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Bloodborne pathogens</w:t>
      </w:r>
    </w:p>
    <w:p w14:paraId="5D441CC6" w14:textId="77777777" w:rsidR="009D521D" w:rsidRPr="00EC4D1C" w:rsidRDefault="009D521D" w:rsidP="00D76C78">
      <w:p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right="116"/>
        <w:rPr>
          <w:rFonts w:ascii="Calibri" w:hAnsi="Calibri" w:cs="Calibri"/>
          <w:color w:val="494641" w:themeColor="text2" w:themeShade="BF"/>
          <w:sz w:val="21"/>
          <w:szCs w:val="21"/>
        </w:rPr>
      </w:pPr>
    </w:p>
    <w:p w14:paraId="1910C51A" w14:textId="77777777" w:rsidR="009D521D" w:rsidRPr="00EC4D1C" w:rsidRDefault="009D521D" w:rsidP="00D76C78">
      <w:p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To perform this procedure, laboratory personnel must use:</w:t>
      </w:r>
    </w:p>
    <w:p w14:paraId="336642E0" w14:textId="77777777" w:rsidR="009D521D" w:rsidRPr="00EC4D1C" w:rsidRDefault="009D521D" w:rsidP="002B66EB">
      <w:pPr>
        <w:pStyle w:val="ListParagraph"/>
        <w:numPr>
          <w:ilvl w:val="0"/>
          <w:numId w:val="48"/>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Gloves</w:t>
      </w:r>
    </w:p>
    <w:p w14:paraId="75204956" w14:textId="77777777" w:rsidR="009D521D" w:rsidRPr="00EC4D1C" w:rsidRDefault="009D521D" w:rsidP="002B66EB">
      <w:pPr>
        <w:pStyle w:val="ListParagraph"/>
        <w:numPr>
          <w:ilvl w:val="0"/>
          <w:numId w:val="48"/>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after="60" w:line="276" w:lineRule="auto"/>
        <w:ind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Disinfectant: Diluted bleach (1:10 v/v solution)</w:t>
      </w:r>
    </w:p>
    <w:p w14:paraId="72AA70C2" w14:textId="77777777" w:rsidR="009D521D" w:rsidRPr="00EC4D1C" w:rsidRDefault="009D521D" w:rsidP="00D76C78">
      <w:pPr>
        <w:pStyle w:val="BodyText"/>
        <w:spacing w:line="276" w:lineRule="auto"/>
        <w:ind w:right="116"/>
        <w:rPr>
          <w:rFonts w:ascii="Calibri" w:hAnsi="Calibri" w:cs="Calibri"/>
          <w:color w:val="494641" w:themeColor="text2" w:themeShade="BF"/>
          <w:sz w:val="21"/>
          <w:szCs w:val="21"/>
        </w:rPr>
      </w:pPr>
    </w:p>
    <w:p w14:paraId="6DB6CFFC" w14:textId="2A40565E" w:rsidR="009D521D" w:rsidRDefault="009D521D" w:rsidP="00D76C78">
      <w:pPr>
        <w:autoSpaceDE w:val="0"/>
        <w:autoSpaceDN w:val="0"/>
        <w:adjustRightInd w:val="0"/>
        <w:spacing w:line="276" w:lineRule="auto"/>
        <w:ind w:right="116"/>
        <w:jc w:val="both"/>
        <w:rPr>
          <w:rFonts w:ascii="Calibri" w:eastAsia="Arial" w:hAnsi="Calibri" w:cs="Calibri"/>
          <w:color w:val="494641" w:themeColor="text2" w:themeShade="BF"/>
          <w:sz w:val="21"/>
          <w:szCs w:val="21"/>
        </w:rPr>
      </w:pPr>
      <w:r w:rsidRPr="00EC4D1C">
        <w:rPr>
          <w:rFonts w:ascii="Calibri" w:eastAsia="Arial" w:hAnsi="Calibri" w:cs="Calibri"/>
          <w:color w:val="494641" w:themeColor="text2" w:themeShade="BF"/>
          <w:sz w:val="21"/>
          <w:szCs w:val="21"/>
        </w:rPr>
        <w:t xml:space="preserve">This section of the MOP gives basic guidance to laboratory staff but is not an exhaustive procedure manual. This section must be supplemented with laboratory Standard Operating Procedures (SOP) for specimen management, processing, and testing. </w:t>
      </w:r>
    </w:p>
    <w:p w14:paraId="47DC0713" w14:textId="77777777" w:rsidR="00793AE9" w:rsidRPr="00793AE9" w:rsidRDefault="00793AE9" w:rsidP="00D76C78">
      <w:pPr>
        <w:autoSpaceDE w:val="0"/>
        <w:autoSpaceDN w:val="0"/>
        <w:adjustRightInd w:val="0"/>
        <w:spacing w:line="276" w:lineRule="auto"/>
        <w:ind w:right="116"/>
        <w:jc w:val="both"/>
        <w:rPr>
          <w:rFonts w:ascii="Calibri" w:eastAsia="Arial" w:hAnsi="Calibri" w:cs="Calibri"/>
          <w:color w:val="494641" w:themeColor="text2" w:themeShade="BF"/>
          <w:sz w:val="21"/>
          <w:szCs w:val="21"/>
        </w:rPr>
      </w:pPr>
    </w:p>
    <w:p w14:paraId="0E33602D" w14:textId="2670814F" w:rsidR="009D521D" w:rsidRPr="00EC4D1C" w:rsidRDefault="009D521D" w:rsidP="00D76C78">
      <w:pPr>
        <w:pStyle w:val="Heading2"/>
        <w:numPr>
          <w:ilvl w:val="1"/>
          <w:numId w:val="18"/>
        </w:numPr>
        <w:spacing w:after="0" w:line="276" w:lineRule="auto"/>
        <w:ind w:left="432" w:right="116" w:hanging="432"/>
        <w:rPr>
          <w:rFonts w:ascii="Poppins SemiBold" w:hAnsi="Poppins SemiBold" w:cs="Poppins SemiBold"/>
          <w:bCs/>
          <w:color w:val="29676B" w:themeColor="accent1"/>
          <w:sz w:val="21"/>
          <w:szCs w:val="21"/>
        </w:rPr>
      </w:pPr>
      <w:bookmarkStart w:id="72" w:name="_Toc126249019"/>
      <w:bookmarkStart w:id="73" w:name="_Toc142048267"/>
      <w:r w:rsidRPr="00EC4D1C">
        <w:rPr>
          <w:rFonts w:ascii="Poppins SemiBold" w:hAnsi="Poppins SemiBold" w:cs="Poppins SemiBold"/>
          <w:bCs/>
          <w:color w:val="29676B" w:themeColor="accent1"/>
          <w:sz w:val="21"/>
          <w:szCs w:val="21"/>
        </w:rPr>
        <w:t>Equipment and Materials Required for Dried Blood Spot (DBS) Processing and Storage</w:t>
      </w:r>
      <w:bookmarkEnd w:id="72"/>
      <w:bookmarkEnd w:id="73"/>
    </w:p>
    <w:p w14:paraId="14D531F8" w14:textId="77777777" w:rsidR="00EC4D1C" w:rsidRPr="00EC4D1C" w:rsidRDefault="00EC4D1C" w:rsidP="00D76C78">
      <w:pPr>
        <w:ind w:left="432" w:right="116"/>
      </w:pPr>
    </w:p>
    <w:p w14:paraId="63FD6993" w14:textId="77777777" w:rsidR="009D521D" w:rsidRPr="00EC4D1C" w:rsidRDefault="009D521D" w:rsidP="00D76C78">
      <w:pPr>
        <w:spacing w:line="276" w:lineRule="auto"/>
        <w:ind w:left="432" w:right="116"/>
        <w:rPr>
          <w:rFonts w:ascii="Calibri" w:hAnsi="Calibri" w:cs="Calibri"/>
          <w:b/>
          <w:color w:val="494641" w:themeColor="text2" w:themeShade="BF"/>
          <w:sz w:val="21"/>
          <w:szCs w:val="21"/>
        </w:rPr>
      </w:pPr>
      <w:r w:rsidRPr="00EC4D1C">
        <w:rPr>
          <w:rFonts w:ascii="Calibri" w:hAnsi="Calibri" w:cs="Calibri"/>
          <w:b/>
          <w:color w:val="494641" w:themeColor="text2" w:themeShade="BF"/>
          <w:sz w:val="21"/>
          <w:szCs w:val="21"/>
        </w:rPr>
        <w:t xml:space="preserve">Equipment: </w:t>
      </w:r>
    </w:p>
    <w:p w14:paraId="0BC81455" w14:textId="77777777" w:rsidR="009D521D" w:rsidRPr="00EC4D1C" w:rsidRDefault="009D521D" w:rsidP="00D76C78">
      <w:pPr>
        <w:pStyle w:val="ListParagraph"/>
        <w:numPr>
          <w:ilvl w:val="0"/>
          <w:numId w:val="39"/>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left="1080"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-70°C freezer for storage</w:t>
      </w:r>
      <w:r w:rsidRPr="00EC4D1C">
        <w:rPr>
          <w:rFonts w:ascii="Calibri" w:hAnsi="Calibri" w:cs="Calibri"/>
          <w:color w:val="494641" w:themeColor="text2" w:themeShade="BF"/>
          <w:sz w:val="21"/>
          <w:szCs w:val="21"/>
        </w:rPr>
        <w:tab/>
      </w:r>
      <w:r w:rsidRPr="00EC4D1C">
        <w:rPr>
          <w:rFonts w:ascii="Calibri" w:hAnsi="Calibri" w:cs="Calibri"/>
          <w:color w:val="494641" w:themeColor="text2" w:themeShade="BF"/>
          <w:sz w:val="21"/>
          <w:szCs w:val="21"/>
        </w:rPr>
        <w:tab/>
      </w:r>
    </w:p>
    <w:p w14:paraId="15C0B1E3" w14:textId="77777777" w:rsidR="009D521D" w:rsidRPr="00EC4D1C" w:rsidRDefault="009D521D" w:rsidP="00D76C78">
      <w:pPr>
        <w:spacing w:line="276" w:lineRule="auto"/>
        <w:ind w:left="432" w:right="116" w:firstLine="720"/>
        <w:rPr>
          <w:rFonts w:ascii="Calibri" w:hAnsi="Calibri" w:cs="Calibri"/>
          <w:b/>
          <w:color w:val="494641" w:themeColor="text2" w:themeShade="BF"/>
          <w:sz w:val="21"/>
          <w:szCs w:val="21"/>
        </w:rPr>
      </w:pPr>
    </w:p>
    <w:p w14:paraId="1C74FD00" w14:textId="77777777" w:rsidR="009D521D" w:rsidRPr="00EC4D1C" w:rsidRDefault="009D521D" w:rsidP="00D76C78">
      <w:pPr>
        <w:spacing w:line="276" w:lineRule="auto"/>
        <w:ind w:left="432" w:right="116"/>
        <w:rPr>
          <w:rFonts w:ascii="Calibri" w:hAnsi="Calibri" w:cs="Calibri"/>
          <w:b/>
          <w:color w:val="494641" w:themeColor="text2" w:themeShade="BF"/>
          <w:sz w:val="21"/>
          <w:szCs w:val="21"/>
        </w:rPr>
      </w:pPr>
      <w:r w:rsidRPr="00EC4D1C">
        <w:rPr>
          <w:rFonts w:ascii="Calibri" w:hAnsi="Calibri" w:cs="Calibri"/>
          <w:b/>
          <w:color w:val="494641" w:themeColor="text2" w:themeShade="BF"/>
          <w:sz w:val="21"/>
          <w:szCs w:val="21"/>
        </w:rPr>
        <w:t>Materials:</w:t>
      </w:r>
    </w:p>
    <w:p w14:paraId="4F1AB0EE" w14:textId="77777777" w:rsidR="009D521D" w:rsidRPr="00EC4D1C" w:rsidRDefault="009D521D" w:rsidP="00D76C78">
      <w:pPr>
        <w:pStyle w:val="ListParagraph"/>
        <w:numPr>
          <w:ilvl w:val="0"/>
          <w:numId w:val="38"/>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left="1080"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Gloves</w:t>
      </w:r>
    </w:p>
    <w:p w14:paraId="4E0282B0" w14:textId="77777777" w:rsidR="009D521D" w:rsidRPr="00EC4D1C" w:rsidRDefault="009D521D" w:rsidP="00D76C78">
      <w:pPr>
        <w:pStyle w:val="ListParagraph"/>
        <w:numPr>
          <w:ilvl w:val="0"/>
          <w:numId w:val="38"/>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left="1080"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 xml:space="preserve">Freezer boxes or storage containers large enough to contain DBS cards in their sealed </w:t>
      </w:r>
      <w:proofErr w:type="gramStart"/>
      <w:r w:rsidRPr="00EC4D1C">
        <w:rPr>
          <w:rFonts w:ascii="Calibri" w:hAnsi="Calibri" w:cs="Calibri"/>
          <w:color w:val="494641" w:themeColor="text2" w:themeShade="BF"/>
          <w:sz w:val="21"/>
          <w:szCs w:val="21"/>
        </w:rPr>
        <w:t>bags</w:t>
      </w:r>
      <w:proofErr w:type="gramEnd"/>
    </w:p>
    <w:p w14:paraId="515C66D0" w14:textId="77777777" w:rsidR="009D521D" w:rsidRPr="00EC4D1C" w:rsidRDefault="009D521D" w:rsidP="00D76C78">
      <w:pPr>
        <w:pStyle w:val="ListParagraph"/>
        <w:numPr>
          <w:ilvl w:val="0"/>
          <w:numId w:val="38"/>
        </w:numPr>
        <w:tabs>
          <w:tab w:val="left" w:pos="-1440"/>
          <w:tab w:val="left" w:pos="-720"/>
          <w:tab w:val="left" w:pos="0"/>
          <w:tab w:val="left" w:pos="474"/>
          <w:tab w:val="left" w:pos="965"/>
          <w:tab w:val="left" w:pos="1440"/>
          <w:tab w:val="left" w:pos="1914"/>
          <w:tab w:val="left" w:pos="2405"/>
          <w:tab w:val="left" w:pos="2880"/>
          <w:tab w:val="left" w:pos="3354"/>
          <w:tab w:val="left" w:pos="3845"/>
          <w:tab w:val="left" w:pos="4320"/>
          <w:tab w:val="left" w:pos="4794"/>
          <w:tab w:val="left" w:pos="5285"/>
          <w:tab w:val="left" w:pos="5760"/>
          <w:tab w:val="left" w:pos="6234"/>
          <w:tab w:val="left" w:pos="6725"/>
          <w:tab w:val="left" w:pos="7200"/>
          <w:tab w:val="left" w:pos="7674"/>
          <w:tab w:val="left" w:pos="8165"/>
          <w:tab w:val="left" w:pos="8640"/>
        </w:tabs>
        <w:suppressAutoHyphens/>
        <w:spacing w:line="276" w:lineRule="auto"/>
        <w:ind w:left="1080" w:right="116"/>
        <w:rPr>
          <w:rFonts w:ascii="Calibri" w:hAnsi="Calibri" w:cs="Calibri"/>
          <w:color w:val="494641" w:themeColor="text2" w:themeShade="BF"/>
          <w:sz w:val="21"/>
          <w:szCs w:val="21"/>
        </w:rPr>
      </w:pPr>
      <w:r w:rsidRPr="00EC4D1C">
        <w:rPr>
          <w:rFonts w:ascii="Calibri" w:hAnsi="Calibri" w:cs="Calibri"/>
          <w:color w:val="494641" w:themeColor="text2" w:themeShade="BF"/>
          <w:sz w:val="21"/>
          <w:szCs w:val="21"/>
        </w:rPr>
        <w:t xml:space="preserve">Extra desiccant packs and sealable bags if </w:t>
      </w:r>
      <w:proofErr w:type="gramStart"/>
      <w:r w:rsidRPr="00EC4D1C">
        <w:rPr>
          <w:rFonts w:ascii="Calibri" w:hAnsi="Calibri" w:cs="Calibri"/>
          <w:color w:val="494641" w:themeColor="text2" w:themeShade="BF"/>
          <w:sz w:val="21"/>
          <w:szCs w:val="21"/>
        </w:rPr>
        <w:t>needed</w:t>
      </w:r>
      <w:proofErr w:type="gramEnd"/>
    </w:p>
    <w:p w14:paraId="37C8D009" w14:textId="77777777" w:rsidR="009D521D" w:rsidRDefault="009D521D" w:rsidP="00D76C78">
      <w:pPr>
        <w:spacing w:line="276" w:lineRule="auto"/>
        <w:ind w:right="116"/>
        <w:rPr>
          <w:rFonts w:ascii="Arial Narrow" w:hAnsi="Arial Narrow"/>
          <w:b/>
          <w:sz w:val="21"/>
          <w:szCs w:val="21"/>
        </w:rPr>
      </w:pPr>
    </w:p>
    <w:p w14:paraId="1C4579F7" w14:textId="77777777" w:rsidR="00793AE9" w:rsidRPr="00AB7CF3" w:rsidRDefault="00793AE9" w:rsidP="00D76C78">
      <w:pPr>
        <w:spacing w:line="276" w:lineRule="auto"/>
        <w:ind w:right="116"/>
        <w:rPr>
          <w:rFonts w:ascii="Arial Narrow" w:hAnsi="Arial Narrow"/>
          <w:b/>
          <w:sz w:val="21"/>
          <w:szCs w:val="21"/>
        </w:rPr>
      </w:pPr>
    </w:p>
    <w:p w14:paraId="6020116B" w14:textId="1D811D42" w:rsidR="009D521D" w:rsidRPr="00FB386D" w:rsidRDefault="009D521D" w:rsidP="00D76C78">
      <w:pPr>
        <w:pStyle w:val="Heading2"/>
        <w:numPr>
          <w:ilvl w:val="1"/>
          <w:numId w:val="18"/>
        </w:numPr>
        <w:spacing w:after="60" w:line="276" w:lineRule="auto"/>
        <w:ind w:left="432" w:right="116" w:hanging="432"/>
        <w:rPr>
          <w:rFonts w:ascii="Poppins SemiBold" w:hAnsi="Poppins SemiBold" w:cs="Poppins SemiBold"/>
          <w:bCs/>
          <w:color w:val="29676B" w:themeColor="accent1"/>
          <w:sz w:val="21"/>
          <w:szCs w:val="21"/>
        </w:rPr>
      </w:pPr>
      <w:bookmarkStart w:id="74" w:name="_Toc126249020"/>
      <w:bookmarkStart w:id="75" w:name="_Toc142048268"/>
      <w:r w:rsidRPr="00EC4D1C">
        <w:rPr>
          <w:rFonts w:ascii="Poppins SemiBold" w:hAnsi="Poppins SemiBold" w:cs="Poppins SemiBold"/>
          <w:bCs/>
          <w:color w:val="29676B" w:themeColor="accent1"/>
          <w:sz w:val="21"/>
          <w:szCs w:val="21"/>
        </w:rPr>
        <w:lastRenderedPageBreak/>
        <w:t>Procedures for Sample Processing and Storage</w:t>
      </w:r>
      <w:bookmarkEnd w:id="74"/>
      <w:bookmarkEnd w:id="75"/>
    </w:p>
    <w:p w14:paraId="17283A09" w14:textId="66ABF764" w:rsidR="009D521D" w:rsidRPr="00900170" w:rsidRDefault="009D521D" w:rsidP="00D76C78">
      <w:pPr>
        <w:pStyle w:val="Heading2"/>
        <w:numPr>
          <w:ilvl w:val="2"/>
          <w:numId w:val="18"/>
        </w:numPr>
        <w:spacing w:after="60" w:line="276" w:lineRule="auto"/>
        <w:ind w:right="116" w:hanging="720"/>
        <w:rPr>
          <w:rFonts w:ascii="Poppins" w:hAnsi="Poppins" w:cs="Poppins"/>
          <w:b w:val="0"/>
          <w:color w:val="29676B" w:themeColor="accent1"/>
          <w:sz w:val="21"/>
          <w:szCs w:val="21"/>
        </w:rPr>
      </w:pPr>
      <w:bookmarkStart w:id="76" w:name="_Toc126249021"/>
      <w:bookmarkStart w:id="77" w:name="_Toc142048269"/>
      <w:r w:rsidRPr="00900170">
        <w:rPr>
          <w:rFonts w:ascii="Poppins" w:hAnsi="Poppins" w:cs="Poppins"/>
          <w:b w:val="0"/>
          <w:color w:val="29676B" w:themeColor="accent1"/>
          <w:sz w:val="21"/>
          <w:szCs w:val="21"/>
        </w:rPr>
        <w:t>Receipt of Specimen Shipment</w:t>
      </w:r>
      <w:bookmarkEnd w:id="76"/>
      <w:bookmarkEnd w:id="77"/>
    </w:p>
    <w:p w14:paraId="2F44D699" w14:textId="22959535" w:rsidR="009D521D" w:rsidRPr="00900170" w:rsidRDefault="009D521D" w:rsidP="00D76C78">
      <w:pPr>
        <w:tabs>
          <w:tab w:val="left" w:pos="720"/>
        </w:tabs>
        <w:spacing w:after="60" w:line="276" w:lineRule="auto"/>
        <w:ind w:right="116"/>
        <w:rPr>
          <w:rFonts w:ascii="Calibri" w:hAnsi="Calibri" w:cs="Calibri"/>
          <w:color w:val="494641" w:themeColor="text2" w:themeShade="BF"/>
          <w:sz w:val="21"/>
          <w:szCs w:val="21"/>
        </w:rPr>
      </w:pPr>
      <w:r w:rsidRPr="00900170">
        <w:rPr>
          <w:rFonts w:ascii="Calibri" w:hAnsi="Calibri" w:cs="Calibri"/>
          <w:color w:val="494641" w:themeColor="text2" w:themeShade="BF"/>
          <w:sz w:val="21"/>
          <w:szCs w:val="21"/>
        </w:rPr>
        <w:t xml:space="preserve">The laboratory will be notified that a shipment is arriving by the </w:t>
      </w:r>
      <w:r w:rsidR="008450CE" w:rsidRPr="00900170">
        <w:rPr>
          <w:rFonts w:ascii="Calibri" w:hAnsi="Calibri" w:cs="Calibri"/>
          <w:color w:val="494641" w:themeColor="text2" w:themeShade="BF"/>
          <w:sz w:val="21"/>
          <w:szCs w:val="21"/>
        </w:rPr>
        <w:t>[</w:t>
      </w:r>
      <w:r w:rsidRPr="00900170">
        <w:rPr>
          <w:rFonts w:ascii="Calibri" w:hAnsi="Calibri" w:cs="Calibri"/>
          <w:i/>
          <w:iCs/>
          <w:color w:val="494641" w:themeColor="text2" w:themeShade="BF"/>
          <w:sz w:val="21"/>
          <w:szCs w:val="21"/>
        </w:rPr>
        <w:t>country program manager</w:t>
      </w:r>
      <w:r w:rsidR="008450CE" w:rsidRPr="00900170">
        <w:rPr>
          <w:rFonts w:ascii="Calibri" w:hAnsi="Calibri" w:cs="Calibri"/>
          <w:color w:val="494641" w:themeColor="text2" w:themeShade="BF"/>
          <w:sz w:val="21"/>
          <w:szCs w:val="21"/>
        </w:rPr>
        <w:t>]</w:t>
      </w:r>
      <w:r w:rsidRPr="00900170">
        <w:rPr>
          <w:rFonts w:ascii="Calibri" w:hAnsi="Calibri" w:cs="Calibri"/>
          <w:color w:val="494641" w:themeColor="text2" w:themeShade="BF"/>
          <w:sz w:val="21"/>
          <w:szCs w:val="21"/>
        </w:rPr>
        <w:t xml:space="preserve"> or by the PrEP site.  Upon arrival of a shipment, the following is done:</w:t>
      </w:r>
    </w:p>
    <w:p w14:paraId="7EE98677" w14:textId="77777777" w:rsidR="009D521D" w:rsidRPr="00900170" w:rsidRDefault="009D521D" w:rsidP="00D76C78">
      <w:pPr>
        <w:numPr>
          <w:ilvl w:val="0"/>
          <w:numId w:val="5"/>
        </w:numPr>
        <w:spacing w:after="60" w:line="276" w:lineRule="auto"/>
        <w:ind w:right="116"/>
        <w:rPr>
          <w:rFonts w:ascii="Calibri" w:hAnsi="Calibri" w:cs="Calibri"/>
          <w:color w:val="494641" w:themeColor="text2" w:themeShade="BF"/>
          <w:sz w:val="21"/>
          <w:szCs w:val="21"/>
        </w:rPr>
      </w:pPr>
      <w:r w:rsidRPr="00900170">
        <w:rPr>
          <w:rFonts w:ascii="Calibri" w:hAnsi="Calibri" w:cs="Calibri"/>
          <w:color w:val="494641" w:themeColor="text2" w:themeShade="BF"/>
          <w:sz w:val="21"/>
          <w:szCs w:val="21"/>
        </w:rPr>
        <w:t>Document shipment’s received date and initials onto the Laboratory Requisition Form (LRF) and the laboratory’s specimen logging notebook or electronic system.</w:t>
      </w:r>
    </w:p>
    <w:p w14:paraId="5FD89018" w14:textId="2057D9DD" w:rsidR="009D521D" w:rsidRPr="00900170" w:rsidRDefault="009D521D" w:rsidP="00D76C78">
      <w:pPr>
        <w:numPr>
          <w:ilvl w:val="0"/>
          <w:numId w:val="5"/>
        </w:numPr>
        <w:spacing w:after="60" w:line="276" w:lineRule="auto"/>
        <w:ind w:right="116"/>
        <w:rPr>
          <w:rFonts w:ascii="Calibri" w:hAnsi="Calibri" w:cs="Calibri"/>
          <w:color w:val="494641" w:themeColor="text2" w:themeShade="BF"/>
          <w:sz w:val="21"/>
          <w:szCs w:val="21"/>
        </w:rPr>
      </w:pPr>
      <w:r w:rsidRPr="00900170">
        <w:rPr>
          <w:rFonts w:ascii="Calibri" w:hAnsi="Calibri" w:cs="Calibri"/>
          <w:color w:val="494641" w:themeColor="text2" w:themeShade="BF"/>
          <w:sz w:val="21"/>
          <w:szCs w:val="21"/>
        </w:rPr>
        <w:t xml:space="preserve">Check that the LRF is filled in with all details required, scan a copy of the LRF and the CRF and send via email to the </w:t>
      </w:r>
      <w:r w:rsidR="00543381" w:rsidRPr="00900170">
        <w:rPr>
          <w:rFonts w:ascii="Calibri" w:hAnsi="Calibri" w:cs="Calibri"/>
          <w:color w:val="494641" w:themeColor="text2" w:themeShade="BF"/>
          <w:sz w:val="21"/>
          <w:szCs w:val="21"/>
        </w:rPr>
        <w:t>[</w:t>
      </w:r>
      <w:r w:rsidRPr="00900170">
        <w:rPr>
          <w:rFonts w:ascii="Calibri" w:hAnsi="Calibri" w:cs="Calibri"/>
          <w:i/>
          <w:iCs/>
          <w:color w:val="494641" w:themeColor="text2" w:themeShade="BF"/>
          <w:sz w:val="21"/>
          <w:szCs w:val="21"/>
        </w:rPr>
        <w:t>country project manager</w:t>
      </w:r>
      <w:r w:rsidR="00543381" w:rsidRPr="00900170">
        <w:rPr>
          <w:rFonts w:ascii="Calibri" w:hAnsi="Calibri" w:cs="Calibri"/>
          <w:color w:val="494641" w:themeColor="text2" w:themeShade="BF"/>
          <w:sz w:val="21"/>
          <w:szCs w:val="21"/>
        </w:rPr>
        <w:t>]</w:t>
      </w:r>
      <w:r w:rsidRPr="00900170">
        <w:rPr>
          <w:rFonts w:ascii="Calibri" w:hAnsi="Calibri" w:cs="Calibri"/>
          <w:color w:val="494641" w:themeColor="text2" w:themeShade="BF"/>
          <w:sz w:val="21"/>
          <w:szCs w:val="21"/>
        </w:rPr>
        <w:t xml:space="preserve">. </w:t>
      </w:r>
    </w:p>
    <w:p w14:paraId="121CD525" w14:textId="77777777" w:rsidR="009D521D" w:rsidRPr="00900170" w:rsidRDefault="009D521D" w:rsidP="00D76C78">
      <w:pPr>
        <w:numPr>
          <w:ilvl w:val="0"/>
          <w:numId w:val="5"/>
        </w:numPr>
        <w:spacing w:after="60" w:line="276" w:lineRule="auto"/>
        <w:ind w:right="116"/>
        <w:rPr>
          <w:rFonts w:ascii="Calibri" w:hAnsi="Calibri" w:cs="Calibri"/>
          <w:color w:val="494641" w:themeColor="text2" w:themeShade="BF"/>
          <w:sz w:val="21"/>
          <w:szCs w:val="21"/>
        </w:rPr>
      </w:pPr>
      <w:r w:rsidRPr="00900170">
        <w:rPr>
          <w:rFonts w:ascii="Calibri" w:hAnsi="Calibri" w:cs="Calibri"/>
          <w:color w:val="494641" w:themeColor="text2" w:themeShade="BF"/>
          <w:sz w:val="21"/>
          <w:szCs w:val="21"/>
        </w:rPr>
        <w:t xml:space="preserve">If the LRF or CRF is not </w:t>
      </w:r>
      <w:proofErr w:type="gramStart"/>
      <w:r w:rsidRPr="00900170">
        <w:rPr>
          <w:rFonts w:ascii="Calibri" w:hAnsi="Calibri" w:cs="Calibri"/>
          <w:color w:val="494641" w:themeColor="text2" w:themeShade="BF"/>
          <w:sz w:val="21"/>
          <w:szCs w:val="21"/>
        </w:rPr>
        <w:t>completely filled</w:t>
      </w:r>
      <w:proofErr w:type="gramEnd"/>
      <w:r w:rsidRPr="00900170">
        <w:rPr>
          <w:rFonts w:ascii="Calibri" w:hAnsi="Calibri" w:cs="Calibri"/>
          <w:color w:val="494641" w:themeColor="text2" w:themeShade="BF"/>
          <w:sz w:val="21"/>
          <w:szCs w:val="21"/>
        </w:rPr>
        <w:t>, or there are any errors or deviations noted, the project manager will follow up with the PrEP site to complete/correct the form. A completed and corrected LRF will be re-sent to the laboratory for filing, as needed.</w:t>
      </w:r>
    </w:p>
    <w:p w14:paraId="7729998C" w14:textId="46C877EB" w:rsidR="009D521D" w:rsidRPr="00900170" w:rsidRDefault="009D521D" w:rsidP="00D76C78">
      <w:pPr>
        <w:numPr>
          <w:ilvl w:val="0"/>
          <w:numId w:val="5"/>
        </w:numPr>
        <w:spacing w:after="60" w:line="276" w:lineRule="auto"/>
        <w:ind w:right="116"/>
        <w:rPr>
          <w:rFonts w:ascii="Calibri" w:hAnsi="Calibri" w:cs="Calibri"/>
          <w:color w:val="494641" w:themeColor="text2" w:themeShade="BF"/>
          <w:sz w:val="21"/>
          <w:szCs w:val="21"/>
        </w:rPr>
      </w:pPr>
      <w:r w:rsidRPr="00900170">
        <w:rPr>
          <w:rFonts w:ascii="Calibri" w:hAnsi="Calibri" w:cs="Calibri"/>
          <w:color w:val="494641" w:themeColor="text2" w:themeShade="BF"/>
          <w:sz w:val="21"/>
          <w:szCs w:val="21"/>
        </w:rPr>
        <w:t xml:space="preserve">Check contents of received envelope according to Table </w:t>
      </w:r>
      <w:r w:rsidR="009C5F9A" w:rsidRPr="00900170">
        <w:rPr>
          <w:rFonts w:ascii="Calibri" w:hAnsi="Calibri" w:cs="Calibri"/>
          <w:color w:val="494641" w:themeColor="text2" w:themeShade="BF"/>
          <w:sz w:val="21"/>
          <w:szCs w:val="21"/>
        </w:rPr>
        <w:t>3</w:t>
      </w:r>
      <w:r w:rsidRPr="00900170">
        <w:rPr>
          <w:rFonts w:ascii="Calibri" w:hAnsi="Calibri" w:cs="Calibri"/>
          <w:color w:val="494641" w:themeColor="text2" w:themeShade="BF"/>
          <w:sz w:val="21"/>
          <w:szCs w:val="21"/>
        </w:rPr>
        <w:t>.</w:t>
      </w:r>
    </w:p>
    <w:p w14:paraId="11F4770A" w14:textId="77777777" w:rsidR="009D521D" w:rsidRPr="00900170" w:rsidRDefault="009D521D" w:rsidP="00D76C78">
      <w:pPr>
        <w:tabs>
          <w:tab w:val="left" w:pos="1080"/>
        </w:tabs>
        <w:spacing w:line="276" w:lineRule="auto"/>
        <w:ind w:left="1440" w:right="116"/>
        <w:rPr>
          <w:rFonts w:ascii="Calibri" w:hAnsi="Calibri" w:cs="Calibri"/>
          <w:color w:val="494641" w:themeColor="text2" w:themeShade="BF"/>
          <w:sz w:val="21"/>
          <w:szCs w:val="21"/>
          <w:highlight w:val="yellow"/>
        </w:rPr>
      </w:pPr>
    </w:p>
    <w:p w14:paraId="694A31D3" w14:textId="02FD5009" w:rsidR="009D521D" w:rsidRPr="00900170" w:rsidRDefault="009D521D" w:rsidP="00D76C78">
      <w:pPr>
        <w:spacing w:after="120" w:line="276" w:lineRule="auto"/>
        <w:ind w:right="116"/>
        <w:rPr>
          <w:rFonts w:ascii="Calibri" w:hAnsi="Calibri" w:cs="Calibri"/>
          <w:b/>
          <w:i/>
          <w:iCs/>
          <w:color w:val="29676B" w:themeColor="accent1"/>
          <w:sz w:val="21"/>
          <w:szCs w:val="21"/>
        </w:rPr>
      </w:pPr>
      <w:r w:rsidRPr="00900170">
        <w:rPr>
          <w:rFonts w:ascii="Calibri" w:hAnsi="Calibri" w:cs="Calibri"/>
          <w:b/>
          <w:i/>
          <w:iCs/>
          <w:color w:val="29676B" w:themeColor="accent1"/>
          <w:sz w:val="21"/>
          <w:szCs w:val="21"/>
        </w:rPr>
        <w:t xml:space="preserve">Table </w:t>
      </w:r>
      <w:r w:rsidR="009C5F9A" w:rsidRPr="00900170">
        <w:rPr>
          <w:rFonts w:ascii="Calibri" w:hAnsi="Calibri" w:cs="Calibri"/>
          <w:b/>
          <w:i/>
          <w:iCs/>
          <w:color w:val="29676B" w:themeColor="accent1"/>
          <w:sz w:val="21"/>
          <w:szCs w:val="21"/>
        </w:rPr>
        <w:t>3</w:t>
      </w:r>
      <w:r w:rsidRPr="00900170">
        <w:rPr>
          <w:rFonts w:ascii="Calibri" w:hAnsi="Calibri" w:cs="Calibri"/>
          <w:b/>
          <w:i/>
          <w:iCs/>
          <w:color w:val="29676B" w:themeColor="accent1"/>
          <w:sz w:val="21"/>
          <w:szCs w:val="21"/>
        </w:rPr>
        <w:t>.  Checklist for Sample Receipt</w:t>
      </w:r>
    </w:p>
    <w:tbl>
      <w:tblPr>
        <w:tblW w:w="8748" w:type="dxa"/>
        <w:jc w:val="center"/>
        <w:tblBorders>
          <w:top w:val="single" w:sz="4" w:space="0" w:color="CAE8EB" w:themeColor="accent1" w:themeTint="33"/>
          <w:left w:val="single" w:sz="4" w:space="0" w:color="CAE8EB" w:themeColor="accent1" w:themeTint="33"/>
          <w:bottom w:val="single" w:sz="4" w:space="0" w:color="CAE8EB" w:themeColor="accent1" w:themeTint="33"/>
          <w:right w:val="single" w:sz="4" w:space="0" w:color="CAE8EB" w:themeColor="accent1" w:themeTint="33"/>
          <w:insideH w:val="single" w:sz="4" w:space="0" w:color="CAE8EB" w:themeColor="accent1" w:themeTint="33"/>
          <w:insideV w:val="single" w:sz="4" w:space="0" w:color="CAE8EB" w:themeColor="accent1" w:themeTint="33"/>
        </w:tblBorders>
        <w:shd w:val="clear" w:color="auto" w:fill="E6F4F6"/>
        <w:tblCellMar>
          <w:top w:w="115" w:type="dxa"/>
          <w:bottom w:w="115" w:type="dxa"/>
        </w:tblCellMar>
        <w:tblLook w:val="04A0" w:firstRow="1" w:lastRow="0" w:firstColumn="1" w:lastColumn="0" w:noHBand="0" w:noVBand="1"/>
      </w:tblPr>
      <w:tblGrid>
        <w:gridCol w:w="8748"/>
      </w:tblGrid>
      <w:tr w:rsidR="009D521D" w:rsidRPr="00AB7CF3" w14:paraId="7016128E" w14:textId="77777777" w:rsidTr="004F3036">
        <w:trPr>
          <w:jc w:val="center"/>
        </w:trPr>
        <w:tc>
          <w:tcPr>
            <w:tcW w:w="8748" w:type="dxa"/>
            <w:shd w:val="clear" w:color="auto" w:fill="E6F4F6"/>
            <w:vAlign w:val="center"/>
          </w:tcPr>
          <w:p w14:paraId="5E665214" w14:textId="77777777" w:rsidR="009D521D" w:rsidRPr="00900170" w:rsidRDefault="009D521D" w:rsidP="00D76C78">
            <w:pPr>
              <w:spacing w:line="276" w:lineRule="auto"/>
              <w:ind w:right="116"/>
              <w:rPr>
                <w:rFonts w:ascii="Calibri" w:hAnsi="Calibri" w:cs="Calibri"/>
                <w:b/>
                <w:bCs/>
                <w:sz w:val="21"/>
                <w:szCs w:val="21"/>
              </w:rPr>
            </w:pPr>
            <w:r w:rsidRPr="00900170">
              <w:rPr>
                <w:rFonts w:ascii="Calibri" w:hAnsi="Calibri" w:cs="Calibri"/>
                <w:b/>
                <w:bCs/>
                <w:sz w:val="21"/>
                <w:szCs w:val="21"/>
              </w:rPr>
              <w:t>Each envelope should include:</w:t>
            </w:r>
          </w:p>
          <w:p w14:paraId="1667AEB9" w14:textId="77777777" w:rsidR="009D521D" w:rsidRPr="00900170" w:rsidRDefault="009D521D" w:rsidP="00D76C78">
            <w:pPr>
              <w:numPr>
                <w:ilvl w:val="0"/>
                <w:numId w:val="40"/>
              </w:numPr>
              <w:spacing w:line="276" w:lineRule="auto"/>
              <w:ind w:right="116"/>
              <w:rPr>
                <w:rFonts w:ascii="Calibri" w:hAnsi="Calibri" w:cs="Calibri"/>
                <w:sz w:val="21"/>
                <w:szCs w:val="21"/>
              </w:rPr>
            </w:pPr>
            <w:r w:rsidRPr="00900170">
              <w:rPr>
                <w:rFonts w:ascii="Calibri" w:hAnsi="Calibri" w:cs="Calibri"/>
                <w:sz w:val="21"/>
                <w:szCs w:val="21"/>
              </w:rPr>
              <w:t>EDTA tube with whole blood, plasma, and/or two DBS cards with 5 spots of blood on each card in a sealed plastic bag with a desiccant and humidity indicator card.</w:t>
            </w:r>
          </w:p>
          <w:p w14:paraId="22A6A070" w14:textId="77777777" w:rsidR="009D521D" w:rsidRPr="00900170" w:rsidRDefault="009D521D" w:rsidP="00D76C78">
            <w:pPr>
              <w:numPr>
                <w:ilvl w:val="0"/>
                <w:numId w:val="40"/>
              </w:numPr>
              <w:spacing w:line="276" w:lineRule="auto"/>
              <w:ind w:right="116"/>
              <w:rPr>
                <w:rFonts w:ascii="Calibri" w:hAnsi="Calibri" w:cs="Calibri"/>
                <w:sz w:val="21"/>
                <w:szCs w:val="21"/>
              </w:rPr>
            </w:pPr>
            <w:r w:rsidRPr="00900170">
              <w:rPr>
                <w:rFonts w:ascii="Calibri" w:hAnsi="Calibri" w:cs="Calibri"/>
                <w:sz w:val="21"/>
                <w:szCs w:val="21"/>
              </w:rPr>
              <w:t xml:space="preserve">A completed corresponding LRF, CRF, and Chain of Custody form (if applicable) </w:t>
            </w:r>
          </w:p>
          <w:p w14:paraId="6D65A920" w14:textId="77777777" w:rsidR="009D521D" w:rsidRPr="00900170" w:rsidRDefault="009D521D" w:rsidP="00D76C78">
            <w:pPr>
              <w:numPr>
                <w:ilvl w:val="0"/>
                <w:numId w:val="40"/>
              </w:numPr>
              <w:spacing w:line="276" w:lineRule="auto"/>
              <w:ind w:right="116"/>
              <w:rPr>
                <w:rFonts w:ascii="Calibri" w:hAnsi="Calibri" w:cs="Calibri"/>
                <w:sz w:val="21"/>
                <w:szCs w:val="21"/>
              </w:rPr>
            </w:pPr>
            <w:r w:rsidRPr="00900170">
              <w:rPr>
                <w:rFonts w:ascii="Calibri" w:hAnsi="Calibri" w:cs="Calibri"/>
                <w:sz w:val="21"/>
                <w:szCs w:val="21"/>
              </w:rPr>
              <w:t>Used ring in a sealed bag (if applicable)</w:t>
            </w:r>
          </w:p>
        </w:tc>
      </w:tr>
      <w:tr w:rsidR="009D521D" w:rsidRPr="00AB7CF3" w14:paraId="705650CB" w14:textId="77777777" w:rsidTr="004F3036">
        <w:trPr>
          <w:trHeight w:val="1628"/>
          <w:jc w:val="center"/>
        </w:trPr>
        <w:tc>
          <w:tcPr>
            <w:tcW w:w="8748" w:type="dxa"/>
            <w:shd w:val="clear" w:color="auto" w:fill="E6F4F6"/>
            <w:vAlign w:val="center"/>
          </w:tcPr>
          <w:p w14:paraId="19D2BB03" w14:textId="77777777" w:rsidR="009D521D" w:rsidRPr="00900170" w:rsidRDefault="009D521D" w:rsidP="00D76C78">
            <w:pPr>
              <w:spacing w:line="276" w:lineRule="auto"/>
              <w:ind w:right="116"/>
              <w:rPr>
                <w:rFonts w:ascii="Calibri" w:hAnsi="Calibri" w:cs="Calibri"/>
                <w:b/>
                <w:bCs/>
                <w:sz w:val="21"/>
                <w:szCs w:val="21"/>
              </w:rPr>
            </w:pPr>
            <w:r w:rsidRPr="00900170">
              <w:rPr>
                <w:rFonts w:ascii="Calibri" w:hAnsi="Calibri" w:cs="Calibri"/>
                <w:b/>
                <w:bCs/>
                <w:sz w:val="21"/>
                <w:szCs w:val="21"/>
              </w:rPr>
              <w:t>LRF:</w:t>
            </w:r>
          </w:p>
          <w:p w14:paraId="445D2B72" w14:textId="77777777" w:rsidR="009D521D" w:rsidRPr="00900170" w:rsidRDefault="009D521D" w:rsidP="00D76C78">
            <w:pPr>
              <w:numPr>
                <w:ilvl w:val="0"/>
                <w:numId w:val="41"/>
              </w:numPr>
              <w:spacing w:line="276" w:lineRule="auto"/>
              <w:ind w:right="116"/>
              <w:rPr>
                <w:rFonts w:ascii="Calibri" w:hAnsi="Calibri" w:cs="Calibri"/>
                <w:sz w:val="21"/>
                <w:szCs w:val="21"/>
              </w:rPr>
            </w:pPr>
            <w:r w:rsidRPr="00900170">
              <w:rPr>
                <w:rFonts w:ascii="Calibri" w:hAnsi="Calibri" w:cs="Calibri"/>
                <w:sz w:val="21"/>
                <w:szCs w:val="21"/>
              </w:rPr>
              <w:t xml:space="preserve">The barcodes and/or participant ID on each DBS cards, blood tube, and/or ring storage pouch, must match the client ID on the LRF </w:t>
            </w:r>
          </w:p>
          <w:p w14:paraId="45588796" w14:textId="4E36AB37" w:rsidR="009D521D" w:rsidRPr="00900170" w:rsidRDefault="009D521D" w:rsidP="00D76C78">
            <w:pPr>
              <w:numPr>
                <w:ilvl w:val="0"/>
                <w:numId w:val="41"/>
              </w:numPr>
              <w:spacing w:line="276" w:lineRule="auto"/>
              <w:ind w:right="116"/>
              <w:rPr>
                <w:rFonts w:ascii="Calibri" w:hAnsi="Calibri" w:cs="Calibri"/>
                <w:sz w:val="21"/>
                <w:szCs w:val="21"/>
              </w:rPr>
            </w:pPr>
            <w:r w:rsidRPr="00900170">
              <w:rPr>
                <w:rFonts w:ascii="Calibri" w:hAnsi="Calibri" w:cs="Calibri"/>
                <w:sz w:val="21"/>
                <w:szCs w:val="21"/>
              </w:rPr>
              <w:t xml:space="preserve">The LRF must be </w:t>
            </w:r>
            <w:proofErr w:type="gramStart"/>
            <w:r w:rsidRPr="00900170">
              <w:rPr>
                <w:rFonts w:ascii="Calibri" w:hAnsi="Calibri" w:cs="Calibri"/>
                <w:sz w:val="21"/>
                <w:szCs w:val="21"/>
              </w:rPr>
              <w:t>completely filled</w:t>
            </w:r>
            <w:proofErr w:type="gramEnd"/>
            <w:r w:rsidRPr="00900170">
              <w:rPr>
                <w:rFonts w:ascii="Calibri" w:hAnsi="Calibri" w:cs="Calibri"/>
                <w:sz w:val="21"/>
                <w:szCs w:val="21"/>
              </w:rPr>
              <w:t xml:space="preserve"> out; any missing information is to be reported to the </w:t>
            </w:r>
            <w:r w:rsidR="00543381" w:rsidRPr="00900170">
              <w:rPr>
                <w:rFonts w:ascii="Calibri" w:hAnsi="Calibri" w:cs="Calibri"/>
                <w:sz w:val="21"/>
                <w:szCs w:val="21"/>
              </w:rPr>
              <w:t>[</w:t>
            </w:r>
            <w:r w:rsidRPr="00900170">
              <w:rPr>
                <w:rFonts w:ascii="Calibri" w:hAnsi="Calibri" w:cs="Calibri"/>
                <w:i/>
                <w:iCs/>
                <w:sz w:val="21"/>
                <w:szCs w:val="21"/>
              </w:rPr>
              <w:t xml:space="preserve">country project </w:t>
            </w:r>
            <w:r w:rsidR="00543381" w:rsidRPr="00900170">
              <w:rPr>
                <w:rFonts w:ascii="Calibri" w:hAnsi="Calibri" w:cs="Calibri"/>
                <w:i/>
                <w:iCs/>
                <w:sz w:val="21"/>
                <w:szCs w:val="21"/>
              </w:rPr>
              <w:t>manager</w:t>
            </w:r>
            <w:r w:rsidR="00543381" w:rsidRPr="00900170">
              <w:rPr>
                <w:rFonts w:ascii="Calibri" w:hAnsi="Calibri" w:cs="Calibri"/>
                <w:sz w:val="21"/>
                <w:szCs w:val="21"/>
              </w:rPr>
              <w:t>]</w:t>
            </w:r>
          </w:p>
        </w:tc>
      </w:tr>
    </w:tbl>
    <w:p w14:paraId="0615E8D4" w14:textId="77777777" w:rsidR="009D521D" w:rsidRPr="00AB7CF3" w:rsidRDefault="009D521D" w:rsidP="00D76C78">
      <w:pPr>
        <w:spacing w:line="276" w:lineRule="auto"/>
        <w:ind w:right="116"/>
        <w:contextualSpacing/>
        <w:rPr>
          <w:rFonts w:ascii="Arial" w:hAnsi="Arial" w:cs="Arial"/>
          <w:sz w:val="21"/>
          <w:szCs w:val="21"/>
        </w:rPr>
      </w:pPr>
    </w:p>
    <w:p w14:paraId="1E702082" w14:textId="3B5F17C6" w:rsidR="009D521D" w:rsidRPr="0047439A" w:rsidRDefault="009D521D" w:rsidP="00D76C78">
      <w:pPr>
        <w:pStyle w:val="Heading2"/>
        <w:numPr>
          <w:ilvl w:val="2"/>
          <w:numId w:val="18"/>
        </w:numPr>
        <w:spacing w:after="60" w:line="276" w:lineRule="auto"/>
        <w:ind w:right="116" w:hanging="720"/>
        <w:rPr>
          <w:rFonts w:ascii="Poppins" w:hAnsi="Poppins" w:cs="Poppins"/>
          <w:b w:val="0"/>
          <w:bCs/>
          <w:color w:val="29676B" w:themeColor="accent1"/>
          <w:sz w:val="21"/>
          <w:szCs w:val="21"/>
        </w:rPr>
      </w:pPr>
      <w:bookmarkStart w:id="78" w:name="_Toc126249022"/>
      <w:bookmarkStart w:id="79" w:name="_Toc142048270"/>
      <w:r w:rsidRPr="0047439A">
        <w:rPr>
          <w:rFonts w:ascii="Poppins" w:hAnsi="Poppins" w:cs="Poppins"/>
          <w:b w:val="0"/>
          <w:bCs/>
          <w:color w:val="29676B" w:themeColor="accent1"/>
          <w:sz w:val="21"/>
          <w:szCs w:val="21"/>
        </w:rPr>
        <w:t>Notification of Specimen Shipment Receipt</w:t>
      </w:r>
      <w:bookmarkEnd w:id="78"/>
      <w:bookmarkEnd w:id="79"/>
    </w:p>
    <w:p w14:paraId="4F26C995" w14:textId="39DE4EBA" w:rsidR="009D521D" w:rsidRPr="00FB386D" w:rsidRDefault="009D521D" w:rsidP="00D76C78">
      <w:pPr>
        <w:spacing w:after="60" w:line="276"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Notify the </w:t>
      </w:r>
      <w:r w:rsidR="00401F3A" w:rsidRPr="00FB386D">
        <w:rPr>
          <w:rFonts w:ascii="Calibri" w:hAnsi="Calibri" w:cs="Calibri"/>
          <w:color w:val="494641" w:themeColor="text2" w:themeShade="BF"/>
          <w:sz w:val="21"/>
          <w:szCs w:val="21"/>
        </w:rPr>
        <w:t>[</w:t>
      </w:r>
      <w:r w:rsidRPr="00FB386D">
        <w:rPr>
          <w:rFonts w:ascii="Calibri" w:hAnsi="Calibri" w:cs="Calibri"/>
          <w:i/>
          <w:iCs/>
          <w:color w:val="494641" w:themeColor="text2" w:themeShade="BF"/>
          <w:sz w:val="21"/>
          <w:szCs w:val="21"/>
        </w:rPr>
        <w:t>country project manager</w:t>
      </w:r>
      <w:r w:rsidR="00401F3A" w:rsidRPr="00FB386D">
        <w:rPr>
          <w:rFonts w:ascii="Calibri" w:hAnsi="Calibri" w:cs="Calibri"/>
          <w:color w:val="494641" w:themeColor="text2" w:themeShade="BF"/>
          <w:sz w:val="21"/>
          <w:szCs w:val="21"/>
        </w:rPr>
        <w:t>]</w:t>
      </w:r>
      <w:r w:rsidRPr="00FB386D">
        <w:rPr>
          <w:rFonts w:ascii="Calibri" w:hAnsi="Calibri" w:cs="Calibri"/>
          <w:color w:val="494641" w:themeColor="text2" w:themeShade="BF"/>
          <w:sz w:val="21"/>
          <w:szCs w:val="21"/>
        </w:rPr>
        <w:t xml:space="preserve"> (via phone and/or email) and add a note on the corresponding LRF of any deviations identified during the shipment review as described in Table </w:t>
      </w:r>
      <w:r w:rsidR="009C5F9A" w:rsidRPr="00FB386D">
        <w:rPr>
          <w:rFonts w:ascii="Calibri" w:hAnsi="Calibri" w:cs="Calibri"/>
          <w:color w:val="494641" w:themeColor="text2" w:themeShade="BF"/>
          <w:sz w:val="21"/>
          <w:szCs w:val="21"/>
        </w:rPr>
        <w:t>3</w:t>
      </w:r>
      <w:r w:rsidRPr="00FB386D">
        <w:rPr>
          <w:rFonts w:ascii="Calibri" w:hAnsi="Calibri" w:cs="Calibri"/>
          <w:color w:val="494641" w:themeColor="text2" w:themeShade="BF"/>
          <w:sz w:val="21"/>
          <w:szCs w:val="21"/>
        </w:rPr>
        <w:t>, including but not limited to:</w:t>
      </w:r>
    </w:p>
    <w:p w14:paraId="1E102F4D"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Missing LRF or CRF</w:t>
      </w:r>
    </w:p>
    <w:p w14:paraId="6DF34C1A"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Missing information on the LRF (e.g., date of sample collection)</w:t>
      </w:r>
    </w:p>
    <w:p w14:paraId="29BB64F4"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Bag does not contain desiccant and/or humidity indicator </w:t>
      </w:r>
      <w:proofErr w:type="gramStart"/>
      <w:r w:rsidRPr="00FB386D">
        <w:rPr>
          <w:rFonts w:ascii="Calibri" w:hAnsi="Calibri" w:cs="Calibri"/>
          <w:color w:val="494641" w:themeColor="text2" w:themeShade="BF"/>
          <w:sz w:val="21"/>
          <w:szCs w:val="21"/>
        </w:rPr>
        <w:t>card</w:t>
      </w:r>
      <w:proofErr w:type="gramEnd"/>
    </w:p>
    <w:p w14:paraId="151CA083"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Desiccant changes color due to excess humidity </w:t>
      </w:r>
    </w:p>
    <w:p w14:paraId="06467A17"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Humidity is indicated on humidity indicator </w:t>
      </w:r>
      <w:proofErr w:type="gramStart"/>
      <w:r w:rsidRPr="00FB386D">
        <w:rPr>
          <w:rFonts w:ascii="Calibri" w:hAnsi="Calibri" w:cs="Calibri"/>
          <w:color w:val="494641" w:themeColor="text2" w:themeShade="BF"/>
          <w:sz w:val="21"/>
          <w:szCs w:val="21"/>
        </w:rPr>
        <w:t>card</w:t>
      </w:r>
      <w:proofErr w:type="gramEnd"/>
    </w:p>
    <w:p w14:paraId="58C6762E"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Bag’s seal is </w:t>
      </w:r>
      <w:proofErr w:type="gramStart"/>
      <w:r w:rsidRPr="00FB386D">
        <w:rPr>
          <w:rFonts w:ascii="Calibri" w:hAnsi="Calibri" w:cs="Calibri"/>
          <w:color w:val="494641" w:themeColor="text2" w:themeShade="BF"/>
          <w:sz w:val="21"/>
          <w:szCs w:val="21"/>
        </w:rPr>
        <w:t>faulty</w:t>
      </w:r>
      <w:proofErr w:type="gramEnd"/>
    </w:p>
    <w:p w14:paraId="50B0BAE5"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Spots are left blank on the </w:t>
      </w:r>
      <w:proofErr w:type="gramStart"/>
      <w:r w:rsidRPr="00FB386D">
        <w:rPr>
          <w:rFonts w:ascii="Calibri" w:hAnsi="Calibri" w:cs="Calibri"/>
          <w:color w:val="494641" w:themeColor="text2" w:themeShade="BF"/>
          <w:sz w:val="21"/>
          <w:szCs w:val="21"/>
        </w:rPr>
        <w:t>DBS</w:t>
      </w:r>
      <w:proofErr w:type="gramEnd"/>
    </w:p>
    <w:p w14:paraId="26FECA85"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Spots are not incorrectly made on the DBS (e.g., insufficient volume)</w:t>
      </w:r>
    </w:p>
    <w:p w14:paraId="17AC164D"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Damage to the card</w:t>
      </w:r>
    </w:p>
    <w:p w14:paraId="3FE0547A" w14:textId="77777777" w:rsidR="009D521D" w:rsidRPr="00FB386D" w:rsidRDefault="009D521D" w:rsidP="00D76C78">
      <w:pPr>
        <w:numPr>
          <w:ilvl w:val="0"/>
          <w:numId w:val="42"/>
        </w:numPr>
        <w:spacing w:after="60" w:line="360" w:lineRule="auto"/>
        <w:ind w:right="116"/>
        <w:contextualSpacing/>
        <w:rPr>
          <w:rFonts w:ascii="Calibri" w:hAnsi="Calibri" w:cs="Calibri"/>
          <w:color w:val="494641" w:themeColor="text2" w:themeShade="BF"/>
          <w:sz w:val="21"/>
          <w:szCs w:val="21"/>
        </w:rPr>
      </w:pPr>
      <w:r w:rsidRPr="00FB386D">
        <w:rPr>
          <w:rFonts w:ascii="Calibri" w:hAnsi="Calibri" w:cs="Calibri"/>
          <w:color w:val="494641" w:themeColor="text2" w:themeShade="BF"/>
          <w:sz w:val="21"/>
          <w:szCs w:val="21"/>
        </w:rPr>
        <w:t xml:space="preserve">Issues with blood in EDTA tube (e.g., </w:t>
      </w:r>
      <w:proofErr w:type="gramStart"/>
      <w:r w:rsidRPr="00FB386D">
        <w:rPr>
          <w:rFonts w:ascii="Calibri" w:hAnsi="Calibri" w:cs="Calibri"/>
          <w:color w:val="494641" w:themeColor="text2" w:themeShade="BF"/>
          <w:sz w:val="21"/>
          <w:szCs w:val="21"/>
        </w:rPr>
        <w:t>clotting</w:t>
      </w:r>
      <w:proofErr w:type="gramEnd"/>
      <w:r w:rsidRPr="00FB386D">
        <w:rPr>
          <w:rFonts w:ascii="Calibri" w:hAnsi="Calibri" w:cs="Calibri"/>
          <w:color w:val="494641" w:themeColor="text2" w:themeShade="BF"/>
          <w:sz w:val="21"/>
          <w:szCs w:val="21"/>
        </w:rPr>
        <w:t xml:space="preserve"> or other issue) (if included)</w:t>
      </w:r>
    </w:p>
    <w:p w14:paraId="1C159142" w14:textId="77777777" w:rsidR="009D521D" w:rsidRPr="0047439A" w:rsidRDefault="009D521D" w:rsidP="00D76C78">
      <w:pPr>
        <w:spacing w:line="276" w:lineRule="auto"/>
        <w:ind w:left="720" w:right="116"/>
        <w:contextualSpacing/>
        <w:rPr>
          <w:rFonts w:ascii="Calibri" w:hAnsi="Calibri" w:cs="Calibri"/>
          <w:sz w:val="21"/>
          <w:szCs w:val="21"/>
        </w:rPr>
      </w:pPr>
    </w:p>
    <w:p w14:paraId="7559E091" w14:textId="411CD5E1" w:rsidR="009D521D" w:rsidRPr="0047439A" w:rsidRDefault="009D521D" w:rsidP="00D76C78">
      <w:pPr>
        <w:pStyle w:val="Heading2"/>
        <w:numPr>
          <w:ilvl w:val="2"/>
          <w:numId w:val="18"/>
        </w:numPr>
        <w:spacing w:after="60" w:line="276" w:lineRule="auto"/>
        <w:ind w:right="116" w:hanging="720"/>
        <w:rPr>
          <w:rFonts w:ascii="Poppins" w:hAnsi="Poppins" w:cs="Poppins"/>
          <w:b w:val="0"/>
          <w:bCs/>
          <w:color w:val="29676B" w:themeColor="accent1"/>
          <w:sz w:val="21"/>
          <w:szCs w:val="21"/>
        </w:rPr>
      </w:pPr>
      <w:bookmarkStart w:id="80" w:name="_Toc126249023"/>
      <w:bookmarkStart w:id="81" w:name="_Toc142048271"/>
      <w:r w:rsidRPr="0047439A">
        <w:rPr>
          <w:rFonts w:ascii="Poppins" w:hAnsi="Poppins" w:cs="Poppins"/>
          <w:b w:val="0"/>
          <w:bCs/>
          <w:color w:val="29676B" w:themeColor="accent1"/>
          <w:sz w:val="21"/>
          <w:szCs w:val="21"/>
        </w:rPr>
        <w:t>Specimen Processing and Arrangement for Storage</w:t>
      </w:r>
      <w:bookmarkEnd w:id="80"/>
      <w:bookmarkEnd w:id="81"/>
    </w:p>
    <w:p w14:paraId="3C30D439" w14:textId="5BB64E27" w:rsidR="009D521D" w:rsidRPr="0047439A" w:rsidRDefault="009D521D" w:rsidP="00D76C78">
      <w:pPr>
        <w:spacing w:after="60" w:line="276" w:lineRule="auto"/>
        <w:ind w:right="116"/>
        <w:contextualSpacing/>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Once the shipment is reviewed and the </w:t>
      </w:r>
      <w:r w:rsidR="00401F3A" w:rsidRPr="0047439A">
        <w:rPr>
          <w:rFonts w:ascii="Calibri" w:hAnsi="Calibri" w:cs="Calibri"/>
          <w:color w:val="494641" w:themeColor="text2" w:themeShade="BF"/>
          <w:sz w:val="21"/>
          <w:szCs w:val="21"/>
        </w:rPr>
        <w:t>[</w:t>
      </w:r>
      <w:r w:rsidRPr="0047439A">
        <w:rPr>
          <w:rFonts w:ascii="Calibri" w:hAnsi="Calibri" w:cs="Calibri"/>
          <w:i/>
          <w:iCs/>
          <w:color w:val="494641" w:themeColor="text2" w:themeShade="BF"/>
          <w:sz w:val="21"/>
          <w:szCs w:val="21"/>
        </w:rPr>
        <w:t>country project manager</w:t>
      </w:r>
      <w:r w:rsidR="00401F3A" w:rsidRPr="0047439A">
        <w:rPr>
          <w:rFonts w:ascii="Calibri" w:hAnsi="Calibri" w:cs="Calibri"/>
          <w:color w:val="494641" w:themeColor="text2" w:themeShade="BF"/>
          <w:sz w:val="21"/>
          <w:szCs w:val="21"/>
        </w:rPr>
        <w:t>]</w:t>
      </w:r>
      <w:r w:rsidRPr="0047439A">
        <w:rPr>
          <w:rFonts w:ascii="Calibri" w:hAnsi="Calibri" w:cs="Calibri"/>
          <w:color w:val="494641" w:themeColor="text2" w:themeShade="BF"/>
          <w:sz w:val="21"/>
          <w:szCs w:val="21"/>
        </w:rPr>
        <w:t xml:space="preserve"> is notified, as described above, the following steps occur to prepare for sample processing and storage:</w:t>
      </w:r>
    </w:p>
    <w:p w14:paraId="384A725D" w14:textId="77777777" w:rsidR="009D521D" w:rsidRPr="0047439A"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If EDTA blood tube received:</w:t>
      </w:r>
    </w:p>
    <w:p w14:paraId="1B122398" w14:textId="77777777" w:rsidR="009D521D" w:rsidRPr="0047439A" w:rsidRDefault="009D521D" w:rsidP="00D76C78">
      <w:pPr>
        <w:pStyle w:val="ListParagraph"/>
        <w:numPr>
          <w:ilvl w:val="1"/>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Process the blood tube for plasma separation and collection according to the laboratory’s established SOPs. Aliquot the plasma into appropriately labeled cryo-tubes. </w:t>
      </w:r>
    </w:p>
    <w:p w14:paraId="513C0E67" w14:textId="056D4EC8" w:rsidR="0047439A" w:rsidRDefault="009D521D" w:rsidP="00D76C78">
      <w:pPr>
        <w:pStyle w:val="ListParagraph"/>
        <w:numPr>
          <w:ilvl w:val="1"/>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Spot one or two extra DBS card as back up and for PK evaluatio</w:t>
      </w:r>
      <w:bookmarkStart w:id="82" w:name="_Hlk97207639"/>
      <w:r w:rsidR="0047439A">
        <w:rPr>
          <w:rFonts w:ascii="Calibri" w:hAnsi="Calibri" w:cs="Calibri"/>
          <w:color w:val="494641" w:themeColor="text2" w:themeShade="BF"/>
          <w:sz w:val="21"/>
          <w:szCs w:val="21"/>
        </w:rPr>
        <w:t>n</w:t>
      </w:r>
    </w:p>
    <w:p w14:paraId="415227DA" w14:textId="77777777" w:rsidR="00647AED" w:rsidRPr="00647AED" w:rsidRDefault="00647AED" w:rsidP="00D76C78">
      <w:pPr>
        <w:pStyle w:val="ListParagraph"/>
        <w:spacing w:line="276" w:lineRule="auto"/>
        <w:ind w:left="1440" w:right="116"/>
        <w:rPr>
          <w:rFonts w:ascii="Calibri" w:hAnsi="Calibri" w:cs="Calibri"/>
          <w:color w:val="494641" w:themeColor="text2" w:themeShade="BF"/>
          <w:sz w:val="12"/>
          <w:szCs w:val="12"/>
        </w:rPr>
      </w:pPr>
    </w:p>
    <w:p w14:paraId="6D9A926E" w14:textId="4A6A5EB5" w:rsidR="0047439A"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Repackage the DBS cards into a new sealable plastic bag and replace the desiccant pack, with a new desiccant.</w:t>
      </w:r>
      <w:bookmarkEnd w:id="82"/>
    </w:p>
    <w:p w14:paraId="7704AEBA" w14:textId="77777777" w:rsidR="00647AED" w:rsidRPr="00647AED" w:rsidRDefault="00647AED" w:rsidP="00D76C78">
      <w:pPr>
        <w:pStyle w:val="ListParagraph"/>
        <w:spacing w:line="276" w:lineRule="auto"/>
        <w:ind w:right="116"/>
        <w:rPr>
          <w:rFonts w:ascii="Calibri" w:hAnsi="Calibri" w:cs="Calibri"/>
          <w:color w:val="494641" w:themeColor="text2" w:themeShade="BF"/>
          <w:sz w:val="12"/>
          <w:szCs w:val="12"/>
        </w:rPr>
      </w:pPr>
    </w:p>
    <w:p w14:paraId="1E1780A1" w14:textId="2D44B301" w:rsidR="0047439A"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For the DBS cards: Label each freezer box (or a large bag for study samples) according to your laboratory’s standard freezer organizational practices.  Ensure there is a humidity indicator card in each [box or bag].  One DBS sample will be used for viral load and/or HIVDR testing. The 2nd DBS card will be shipped to laboratory in </w:t>
      </w:r>
      <w:r w:rsidR="00481634" w:rsidRPr="0047439A">
        <w:rPr>
          <w:rFonts w:ascii="Calibri" w:hAnsi="Calibri" w:cs="Calibri"/>
          <w:color w:val="494641" w:themeColor="text2" w:themeShade="BF"/>
          <w:sz w:val="21"/>
          <w:szCs w:val="21"/>
        </w:rPr>
        <w:t>[</w:t>
      </w:r>
      <w:r w:rsidR="00481634" w:rsidRPr="0047439A">
        <w:rPr>
          <w:rFonts w:ascii="Calibri" w:hAnsi="Calibri" w:cs="Calibri"/>
          <w:i/>
          <w:iCs/>
          <w:color w:val="494641" w:themeColor="text2" w:themeShade="BF"/>
          <w:sz w:val="21"/>
          <w:szCs w:val="21"/>
        </w:rPr>
        <w:t xml:space="preserve">insert </w:t>
      </w:r>
      <w:r w:rsidR="00C42919" w:rsidRPr="0047439A">
        <w:rPr>
          <w:rFonts w:ascii="Calibri" w:hAnsi="Calibri" w:cs="Calibri"/>
          <w:i/>
          <w:iCs/>
          <w:color w:val="494641" w:themeColor="text2" w:themeShade="BF"/>
          <w:sz w:val="21"/>
          <w:szCs w:val="21"/>
        </w:rPr>
        <w:t xml:space="preserve">country name </w:t>
      </w:r>
      <w:r w:rsidR="00481634" w:rsidRPr="0047439A">
        <w:rPr>
          <w:rFonts w:ascii="Calibri" w:hAnsi="Calibri" w:cs="Calibri"/>
          <w:i/>
          <w:iCs/>
          <w:color w:val="494641" w:themeColor="text2" w:themeShade="BF"/>
          <w:sz w:val="21"/>
          <w:szCs w:val="21"/>
        </w:rPr>
        <w:t>as applicable</w:t>
      </w:r>
      <w:r w:rsidR="00481634" w:rsidRPr="0047439A">
        <w:rPr>
          <w:rFonts w:ascii="Calibri" w:hAnsi="Calibri" w:cs="Calibri"/>
          <w:color w:val="494641" w:themeColor="text2" w:themeShade="BF"/>
          <w:sz w:val="21"/>
          <w:szCs w:val="21"/>
        </w:rPr>
        <w:t>]</w:t>
      </w:r>
      <w:r w:rsidRPr="0047439A">
        <w:rPr>
          <w:rFonts w:ascii="Calibri" w:hAnsi="Calibri" w:cs="Calibri"/>
          <w:color w:val="494641" w:themeColor="text2" w:themeShade="BF"/>
          <w:sz w:val="21"/>
          <w:szCs w:val="21"/>
        </w:rPr>
        <w:t xml:space="preserve"> for estimation of drug levels.</w:t>
      </w:r>
    </w:p>
    <w:p w14:paraId="318D255E" w14:textId="77777777" w:rsidR="00647AED" w:rsidRPr="00647AED" w:rsidRDefault="00647AED" w:rsidP="00D76C78">
      <w:pPr>
        <w:spacing w:line="276" w:lineRule="auto"/>
        <w:ind w:right="116"/>
        <w:rPr>
          <w:rFonts w:ascii="Calibri" w:hAnsi="Calibri" w:cs="Calibri"/>
          <w:color w:val="494641" w:themeColor="text2" w:themeShade="BF"/>
          <w:sz w:val="12"/>
          <w:szCs w:val="12"/>
        </w:rPr>
      </w:pPr>
    </w:p>
    <w:p w14:paraId="5248B1EC" w14:textId="1EF161E1" w:rsidR="009D521D"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For the plasma aliquots in cryo-tubes: store the labeled plasma aliquots in a labeled </w:t>
      </w:r>
      <w:proofErr w:type="spellStart"/>
      <w:r w:rsidRPr="0047439A">
        <w:rPr>
          <w:rFonts w:ascii="Calibri" w:hAnsi="Calibri" w:cs="Calibri"/>
          <w:color w:val="494641" w:themeColor="text2" w:themeShade="BF"/>
          <w:sz w:val="21"/>
          <w:szCs w:val="21"/>
        </w:rPr>
        <w:t>cryobox</w:t>
      </w:r>
      <w:proofErr w:type="spellEnd"/>
      <w:r w:rsidRPr="0047439A">
        <w:rPr>
          <w:rFonts w:ascii="Calibri" w:hAnsi="Calibri" w:cs="Calibri"/>
          <w:color w:val="494641" w:themeColor="text2" w:themeShade="BF"/>
          <w:sz w:val="21"/>
          <w:szCs w:val="21"/>
        </w:rPr>
        <w:t xml:space="preserve"> at -80°C for HIVDR testing.</w:t>
      </w:r>
    </w:p>
    <w:p w14:paraId="2BCC5520" w14:textId="77777777" w:rsidR="00647AED" w:rsidRPr="00647AED" w:rsidRDefault="00647AED" w:rsidP="00D76C78">
      <w:pPr>
        <w:spacing w:line="276" w:lineRule="auto"/>
        <w:ind w:right="116"/>
        <w:rPr>
          <w:rFonts w:ascii="Calibri" w:hAnsi="Calibri" w:cs="Calibri"/>
          <w:color w:val="494641" w:themeColor="text2" w:themeShade="BF"/>
          <w:sz w:val="12"/>
          <w:szCs w:val="12"/>
        </w:rPr>
      </w:pPr>
    </w:p>
    <w:p w14:paraId="79A4C0A8" w14:textId="3E8211CB" w:rsidR="009D521D"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For the PrEP rings: store the ring at room temperature, it will be shipped to a laboratory in </w:t>
      </w:r>
      <w:r w:rsidR="00E9648B" w:rsidRPr="0047439A">
        <w:rPr>
          <w:rFonts w:ascii="Calibri" w:hAnsi="Calibri" w:cs="Calibri"/>
          <w:color w:val="494641" w:themeColor="text2" w:themeShade="BF"/>
          <w:sz w:val="21"/>
          <w:szCs w:val="21"/>
        </w:rPr>
        <w:t>[</w:t>
      </w:r>
      <w:r w:rsidR="00E9648B" w:rsidRPr="0047439A">
        <w:rPr>
          <w:rFonts w:ascii="Calibri" w:hAnsi="Calibri" w:cs="Calibri"/>
          <w:i/>
          <w:iCs/>
          <w:color w:val="494641" w:themeColor="text2" w:themeShade="BF"/>
          <w:sz w:val="21"/>
          <w:szCs w:val="21"/>
        </w:rPr>
        <w:t>insert country name</w:t>
      </w:r>
      <w:r w:rsidR="00E9648B" w:rsidRPr="0047439A">
        <w:rPr>
          <w:rFonts w:ascii="Calibri" w:hAnsi="Calibri" w:cs="Calibri"/>
          <w:color w:val="494641" w:themeColor="text2" w:themeShade="BF"/>
          <w:sz w:val="21"/>
          <w:szCs w:val="21"/>
        </w:rPr>
        <w:t>]</w:t>
      </w:r>
      <w:r w:rsidRPr="0047439A">
        <w:rPr>
          <w:rFonts w:ascii="Calibri" w:hAnsi="Calibri" w:cs="Calibri"/>
          <w:color w:val="494641" w:themeColor="text2" w:themeShade="BF"/>
          <w:sz w:val="21"/>
          <w:szCs w:val="21"/>
        </w:rPr>
        <w:t>.</w:t>
      </w:r>
    </w:p>
    <w:p w14:paraId="7DC91B47" w14:textId="77777777" w:rsidR="00647AED" w:rsidRPr="00647AED" w:rsidRDefault="00647AED" w:rsidP="00D76C78">
      <w:pPr>
        <w:spacing w:line="276" w:lineRule="auto"/>
        <w:ind w:right="116"/>
        <w:rPr>
          <w:rFonts w:ascii="Calibri" w:hAnsi="Calibri" w:cs="Calibri"/>
          <w:color w:val="494641" w:themeColor="text2" w:themeShade="BF"/>
          <w:sz w:val="12"/>
          <w:szCs w:val="12"/>
        </w:rPr>
      </w:pPr>
    </w:p>
    <w:p w14:paraId="04DFBE04" w14:textId="4142E619" w:rsidR="009D521D"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Store the DBS cards (and/or plasma aliquots) in a sealed bag or freezer box and store at -80ºC until needed for HIVDR testing or for shipment to </w:t>
      </w:r>
      <w:r w:rsidR="00E9648B" w:rsidRPr="0047439A">
        <w:rPr>
          <w:rFonts w:ascii="Calibri" w:hAnsi="Calibri" w:cs="Calibri"/>
          <w:color w:val="494641" w:themeColor="text2" w:themeShade="BF"/>
          <w:sz w:val="21"/>
          <w:szCs w:val="21"/>
        </w:rPr>
        <w:t>[</w:t>
      </w:r>
      <w:r w:rsidR="00E9648B" w:rsidRPr="0047439A">
        <w:rPr>
          <w:rFonts w:ascii="Calibri" w:hAnsi="Calibri" w:cs="Calibri"/>
          <w:i/>
          <w:iCs/>
          <w:color w:val="494641" w:themeColor="text2" w:themeShade="BF"/>
          <w:sz w:val="21"/>
          <w:szCs w:val="21"/>
        </w:rPr>
        <w:t>insert country name as applicable</w:t>
      </w:r>
      <w:r w:rsidR="00E9648B" w:rsidRPr="0047439A">
        <w:rPr>
          <w:rFonts w:ascii="Calibri" w:hAnsi="Calibri" w:cs="Calibri"/>
          <w:color w:val="494641" w:themeColor="text2" w:themeShade="BF"/>
          <w:sz w:val="21"/>
          <w:szCs w:val="21"/>
        </w:rPr>
        <w:t xml:space="preserve">] </w:t>
      </w:r>
      <w:r w:rsidRPr="0047439A">
        <w:rPr>
          <w:rFonts w:ascii="Calibri" w:hAnsi="Calibri" w:cs="Calibri"/>
          <w:color w:val="494641" w:themeColor="text2" w:themeShade="BF"/>
          <w:sz w:val="21"/>
          <w:szCs w:val="21"/>
        </w:rPr>
        <w:t>for drug resistance or drug level testing.  Indicate on the laboratory specimen log the details of the sample and the location of the storage in the -80°C freezer.</w:t>
      </w:r>
    </w:p>
    <w:p w14:paraId="7ABC516E" w14:textId="77777777" w:rsidR="00647AED" w:rsidRPr="00647AED" w:rsidRDefault="00647AED" w:rsidP="00D76C78">
      <w:pPr>
        <w:spacing w:line="276" w:lineRule="auto"/>
        <w:ind w:right="116"/>
        <w:rPr>
          <w:rFonts w:ascii="Calibri" w:hAnsi="Calibri" w:cs="Calibri"/>
          <w:color w:val="494641" w:themeColor="text2" w:themeShade="BF"/>
          <w:sz w:val="12"/>
          <w:szCs w:val="12"/>
        </w:rPr>
      </w:pPr>
    </w:p>
    <w:p w14:paraId="16895302" w14:textId="77777777" w:rsidR="009D521D" w:rsidRDefault="009D521D" w:rsidP="00D76C78">
      <w:pPr>
        <w:pStyle w:val="ListParagraph"/>
        <w:numPr>
          <w:ilvl w:val="0"/>
          <w:numId w:val="43"/>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Store the LRF and CRF in a secured, locked, cabinet until requested.</w:t>
      </w:r>
    </w:p>
    <w:p w14:paraId="5E186E43" w14:textId="77777777" w:rsidR="00647AED" w:rsidRPr="00647AED" w:rsidRDefault="00647AED" w:rsidP="00D76C78">
      <w:pPr>
        <w:spacing w:line="276" w:lineRule="auto"/>
        <w:ind w:right="116"/>
        <w:rPr>
          <w:rFonts w:ascii="Calibri" w:hAnsi="Calibri" w:cs="Calibri"/>
          <w:color w:val="494641" w:themeColor="text2" w:themeShade="BF"/>
          <w:sz w:val="21"/>
          <w:szCs w:val="21"/>
        </w:rPr>
      </w:pPr>
    </w:p>
    <w:p w14:paraId="151C1A74" w14:textId="7A9F611B" w:rsidR="009D521D" w:rsidRPr="0047439A" w:rsidRDefault="009D521D" w:rsidP="00D76C78">
      <w:pPr>
        <w:pStyle w:val="Heading2"/>
        <w:numPr>
          <w:ilvl w:val="2"/>
          <w:numId w:val="18"/>
        </w:numPr>
        <w:spacing w:after="60" w:line="276" w:lineRule="auto"/>
        <w:ind w:right="116" w:hanging="720"/>
        <w:rPr>
          <w:rFonts w:ascii="Poppins" w:hAnsi="Poppins" w:cs="Poppins"/>
          <w:b w:val="0"/>
          <w:bCs/>
          <w:sz w:val="21"/>
          <w:szCs w:val="21"/>
        </w:rPr>
      </w:pPr>
      <w:bookmarkStart w:id="83" w:name="_Toc126249024"/>
      <w:bookmarkStart w:id="84" w:name="_Toc142048272"/>
      <w:r w:rsidRPr="0047439A">
        <w:rPr>
          <w:rFonts w:ascii="Poppins" w:hAnsi="Poppins" w:cs="Poppins"/>
          <w:b w:val="0"/>
          <w:bCs/>
          <w:color w:val="29676B" w:themeColor="accent1"/>
          <w:sz w:val="21"/>
          <w:szCs w:val="21"/>
        </w:rPr>
        <w:t>Specimen HIV-1 Drug Resistance (HIVDR) Testing</w:t>
      </w:r>
      <w:bookmarkEnd w:id="83"/>
      <w:bookmarkEnd w:id="84"/>
    </w:p>
    <w:p w14:paraId="278EC640" w14:textId="2579297B" w:rsidR="009D521D" w:rsidRPr="0047439A" w:rsidRDefault="009D521D" w:rsidP="00D76C78">
      <w:pPr>
        <w:spacing w:after="60" w:line="276" w:lineRule="auto"/>
        <w:ind w:right="116"/>
        <w:rPr>
          <w:rFonts w:ascii="Calibri" w:hAnsi="Calibri" w:cs="Calibri"/>
          <w:bCs/>
          <w:color w:val="494641" w:themeColor="text2" w:themeShade="BF"/>
          <w:sz w:val="21"/>
          <w:szCs w:val="21"/>
        </w:rPr>
      </w:pPr>
      <w:r w:rsidRPr="0047439A">
        <w:rPr>
          <w:rFonts w:ascii="Calibri" w:hAnsi="Calibri" w:cs="Calibri"/>
          <w:bCs/>
          <w:color w:val="494641" w:themeColor="text2" w:themeShade="BF"/>
          <w:sz w:val="21"/>
          <w:szCs w:val="21"/>
        </w:rPr>
        <w:t>The laboratory will conduct the following procedures for HIVDR Testing:</w:t>
      </w:r>
    </w:p>
    <w:p w14:paraId="2B5841B8" w14:textId="77777777" w:rsidR="009D521D" w:rsidRDefault="009D521D" w:rsidP="004F3036">
      <w:pPr>
        <w:pStyle w:val="ListParagraph"/>
        <w:numPr>
          <w:ilvl w:val="0"/>
          <w:numId w:val="9"/>
        </w:numPr>
        <w:spacing w:after="60" w:line="276" w:lineRule="auto"/>
        <w:ind w:right="115"/>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Testing of DBS (and/or plasma) samples for HIVDR testing will be performed as per the applicable laboratory HIVDR testing SOP.  Procedures will include: </w:t>
      </w:r>
    </w:p>
    <w:p w14:paraId="6A3225ED" w14:textId="77777777" w:rsidR="004F3036" w:rsidRPr="004F3036" w:rsidRDefault="004F3036" w:rsidP="004F3036">
      <w:pPr>
        <w:pStyle w:val="ListParagraph"/>
        <w:spacing w:after="60" w:line="276" w:lineRule="auto"/>
        <w:ind w:right="115"/>
        <w:rPr>
          <w:rFonts w:ascii="Calibri" w:hAnsi="Calibri" w:cs="Calibri"/>
          <w:color w:val="494641" w:themeColor="text2" w:themeShade="BF"/>
          <w:sz w:val="12"/>
          <w:szCs w:val="12"/>
        </w:rPr>
      </w:pPr>
    </w:p>
    <w:p w14:paraId="73DDF9B8" w14:textId="77777777" w:rsidR="009D521D" w:rsidRPr="0047439A" w:rsidRDefault="009D521D" w:rsidP="00D76C78">
      <w:pPr>
        <w:pStyle w:val="ListParagraph"/>
        <w:numPr>
          <w:ilvl w:val="1"/>
          <w:numId w:val="9"/>
        </w:numPr>
        <w:spacing w:after="120"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Extraction of nucleic acids: performed using the </w:t>
      </w:r>
      <w:proofErr w:type="spellStart"/>
      <w:r w:rsidRPr="0047439A">
        <w:rPr>
          <w:rFonts w:ascii="Calibri" w:hAnsi="Calibri" w:cs="Calibri"/>
          <w:color w:val="494641" w:themeColor="text2" w:themeShade="BF"/>
          <w:sz w:val="21"/>
          <w:szCs w:val="21"/>
        </w:rPr>
        <w:t>bioMérieux</w:t>
      </w:r>
      <w:proofErr w:type="spellEnd"/>
      <w:r w:rsidRPr="0047439A">
        <w:rPr>
          <w:rFonts w:ascii="Calibri" w:hAnsi="Calibri" w:cs="Calibri"/>
          <w:color w:val="494641" w:themeColor="text2" w:themeShade="BF"/>
          <w:sz w:val="21"/>
          <w:szCs w:val="21"/>
        </w:rPr>
        <w:t xml:space="preserve"> </w:t>
      </w:r>
      <w:proofErr w:type="spellStart"/>
      <w:r w:rsidRPr="0047439A">
        <w:rPr>
          <w:rFonts w:ascii="Calibri" w:hAnsi="Calibri" w:cs="Calibri"/>
          <w:color w:val="494641" w:themeColor="text2" w:themeShade="BF"/>
          <w:sz w:val="21"/>
          <w:szCs w:val="21"/>
        </w:rPr>
        <w:t>NucliSENS</w:t>
      </w:r>
      <w:proofErr w:type="spellEnd"/>
      <w:r w:rsidRPr="0047439A">
        <w:rPr>
          <w:rFonts w:ascii="Calibri" w:hAnsi="Calibri" w:cs="Calibri"/>
          <w:color w:val="494641" w:themeColor="text2" w:themeShade="BF"/>
          <w:sz w:val="21"/>
          <w:szCs w:val="21"/>
        </w:rPr>
        <w:t xml:space="preserve">® System, the </w:t>
      </w:r>
      <w:proofErr w:type="spellStart"/>
      <w:r w:rsidRPr="0047439A">
        <w:rPr>
          <w:rFonts w:ascii="Calibri" w:hAnsi="Calibri" w:cs="Calibri"/>
          <w:color w:val="494641" w:themeColor="text2" w:themeShade="BF"/>
          <w:sz w:val="21"/>
          <w:szCs w:val="21"/>
        </w:rPr>
        <w:t>ViroSeq</w:t>
      </w:r>
      <w:proofErr w:type="spellEnd"/>
      <w:r w:rsidRPr="0047439A">
        <w:rPr>
          <w:rFonts w:ascii="Calibri" w:hAnsi="Calibri" w:cs="Calibri"/>
          <w:color w:val="494641" w:themeColor="text2" w:themeShade="BF"/>
          <w:sz w:val="21"/>
          <w:szCs w:val="21"/>
        </w:rPr>
        <w:t xml:space="preserve"> HIV-1 Genotyping System, Qiagen, or a validated commercial or laboratory-developed system. </w:t>
      </w:r>
    </w:p>
    <w:p w14:paraId="204B3FA4" w14:textId="13B992A3" w:rsidR="009D521D" w:rsidRPr="00647AED" w:rsidRDefault="009D521D" w:rsidP="00D76C78">
      <w:pPr>
        <w:pStyle w:val="ListParagraph"/>
        <w:numPr>
          <w:ilvl w:val="1"/>
          <w:numId w:val="9"/>
        </w:numPr>
        <w:spacing w:after="120" w:line="276" w:lineRule="auto"/>
        <w:ind w:right="116"/>
        <w:rPr>
          <w:rFonts w:ascii="Calibri" w:hAnsi="Calibri" w:cs="Calibri"/>
          <w:color w:val="494641" w:themeColor="text2" w:themeShade="BF"/>
          <w:sz w:val="12"/>
          <w:szCs w:val="12"/>
        </w:rPr>
      </w:pPr>
      <w:r w:rsidRPr="0047439A">
        <w:rPr>
          <w:rFonts w:ascii="Calibri" w:hAnsi="Calibri" w:cs="Calibri"/>
          <w:color w:val="494641" w:themeColor="text2" w:themeShade="BF"/>
          <w:sz w:val="21"/>
          <w:szCs w:val="21"/>
        </w:rPr>
        <w:t xml:space="preserve">PCR Amplification of extracted nucleic acids and </w:t>
      </w:r>
      <w:r w:rsidR="00490CDE" w:rsidRPr="0047439A">
        <w:rPr>
          <w:rFonts w:ascii="Calibri" w:hAnsi="Calibri" w:cs="Calibri"/>
          <w:color w:val="494641" w:themeColor="text2" w:themeShade="BF"/>
          <w:sz w:val="21"/>
          <w:szCs w:val="21"/>
        </w:rPr>
        <w:t xml:space="preserve">Sanger </w:t>
      </w:r>
      <w:r w:rsidRPr="0047439A">
        <w:rPr>
          <w:rFonts w:ascii="Calibri" w:hAnsi="Calibri" w:cs="Calibri"/>
          <w:color w:val="494641" w:themeColor="text2" w:themeShade="BF"/>
          <w:sz w:val="21"/>
          <w:szCs w:val="21"/>
        </w:rPr>
        <w:t xml:space="preserve">sequencing </w:t>
      </w:r>
      <w:r w:rsidR="00490CDE" w:rsidRPr="0047439A">
        <w:rPr>
          <w:rFonts w:ascii="Calibri" w:hAnsi="Calibri" w:cs="Calibri"/>
          <w:color w:val="494641" w:themeColor="text2" w:themeShade="BF"/>
          <w:sz w:val="21"/>
          <w:szCs w:val="21"/>
        </w:rPr>
        <w:t xml:space="preserve">of HIV-1 </w:t>
      </w:r>
      <w:r w:rsidR="00490CDE" w:rsidRPr="0047439A">
        <w:rPr>
          <w:rFonts w:ascii="Calibri" w:hAnsi="Calibri" w:cs="Calibri"/>
          <w:i/>
          <w:iCs/>
          <w:color w:val="494641" w:themeColor="text2" w:themeShade="BF"/>
          <w:sz w:val="21"/>
          <w:szCs w:val="21"/>
        </w:rPr>
        <w:t>polymerase</w:t>
      </w:r>
      <w:r w:rsidR="00490CDE" w:rsidRPr="0047439A">
        <w:rPr>
          <w:rFonts w:ascii="Calibri" w:hAnsi="Calibri" w:cs="Calibri"/>
          <w:color w:val="494641" w:themeColor="text2" w:themeShade="BF"/>
          <w:sz w:val="21"/>
          <w:szCs w:val="21"/>
        </w:rPr>
        <w:t xml:space="preserve"> (</w:t>
      </w:r>
      <w:r w:rsidR="00490CDE" w:rsidRPr="0047439A">
        <w:rPr>
          <w:rFonts w:ascii="Calibri" w:hAnsi="Calibri" w:cs="Calibri"/>
          <w:i/>
          <w:iCs/>
          <w:color w:val="494641" w:themeColor="text2" w:themeShade="BF"/>
          <w:sz w:val="21"/>
          <w:szCs w:val="21"/>
        </w:rPr>
        <w:t>protease</w:t>
      </w:r>
      <w:r w:rsidR="00490CDE" w:rsidRPr="0047439A">
        <w:rPr>
          <w:rFonts w:ascii="Calibri" w:hAnsi="Calibri" w:cs="Calibri"/>
          <w:color w:val="494641" w:themeColor="text2" w:themeShade="BF"/>
          <w:sz w:val="21"/>
          <w:szCs w:val="21"/>
        </w:rPr>
        <w:t xml:space="preserve">, </w:t>
      </w:r>
      <w:r w:rsidR="00490CDE" w:rsidRPr="0047439A">
        <w:rPr>
          <w:rFonts w:ascii="Calibri" w:hAnsi="Calibri" w:cs="Calibri"/>
          <w:i/>
          <w:iCs/>
          <w:color w:val="494641" w:themeColor="text2" w:themeShade="BF"/>
          <w:sz w:val="21"/>
          <w:szCs w:val="21"/>
        </w:rPr>
        <w:t xml:space="preserve">reverse </w:t>
      </w:r>
      <w:proofErr w:type="spellStart"/>
      <w:r w:rsidR="00490CDE" w:rsidRPr="0047439A">
        <w:rPr>
          <w:rFonts w:ascii="Calibri" w:hAnsi="Calibri" w:cs="Calibri"/>
          <w:i/>
          <w:iCs/>
          <w:color w:val="494641" w:themeColor="text2" w:themeShade="BF"/>
          <w:sz w:val="21"/>
          <w:szCs w:val="21"/>
        </w:rPr>
        <w:t>trascriptase</w:t>
      </w:r>
      <w:proofErr w:type="spellEnd"/>
      <w:r w:rsidR="00490CDE" w:rsidRPr="0047439A">
        <w:rPr>
          <w:rFonts w:ascii="Calibri" w:hAnsi="Calibri" w:cs="Calibri"/>
          <w:color w:val="494641" w:themeColor="text2" w:themeShade="BF"/>
          <w:sz w:val="21"/>
          <w:szCs w:val="21"/>
        </w:rPr>
        <w:t xml:space="preserve"> &amp; i</w:t>
      </w:r>
      <w:r w:rsidR="00490CDE" w:rsidRPr="0047439A">
        <w:rPr>
          <w:rFonts w:ascii="Calibri" w:hAnsi="Calibri" w:cs="Calibri"/>
          <w:i/>
          <w:iCs/>
          <w:color w:val="494641" w:themeColor="text2" w:themeShade="BF"/>
          <w:sz w:val="21"/>
          <w:szCs w:val="21"/>
        </w:rPr>
        <w:t xml:space="preserve">ntegrase </w:t>
      </w:r>
      <w:r w:rsidR="00490CDE" w:rsidRPr="0047439A">
        <w:rPr>
          <w:rFonts w:ascii="Calibri" w:hAnsi="Calibri" w:cs="Calibri"/>
          <w:color w:val="494641" w:themeColor="text2" w:themeShade="BF"/>
          <w:sz w:val="21"/>
          <w:szCs w:val="21"/>
        </w:rPr>
        <w:t xml:space="preserve">region) </w:t>
      </w:r>
      <w:r w:rsidRPr="0047439A">
        <w:rPr>
          <w:rFonts w:ascii="Calibri" w:hAnsi="Calibri" w:cs="Calibri"/>
          <w:color w:val="494641" w:themeColor="text2" w:themeShade="BF"/>
          <w:sz w:val="21"/>
          <w:szCs w:val="21"/>
        </w:rPr>
        <w:t xml:space="preserve">using either the WHO accredited </w:t>
      </w:r>
      <w:r w:rsidR="00490CDE" w:rsidRPr="0047439A">
        <w:rPr>
          <w:rFonts w:ascii="Calibri" w:hAnsi="Calibri" w:cs="Calibri"/>
          <w:color w:val="494641" w:themeColor="text2" w:themeShade="BF"/>
          <w:sz w:val="21"/>
          <w:szCs w:val="21"/>
        </w:rPr>
        <w:t xml:space="preserve">ABI </w:t>
      </w:r>
      <w:r w:rsidRPr="0047439A">
        <w:rPr>
          <w:rFonts w:ascii="Calibri" w:hAnsi="Calibri" w:cs="Calibri"/>
          <w:color w:val="494641" w:themeColor="text2" w:themeShade="BF"/>
          <w:sz w:val="21"/>
          <w:szCs w:val="21"/>
        </w:rPr>
        <w:t xml:space="preserve">Thermo-Fisher HIV-1 DR test kit, the </w:t>
      </w:r>
      <w:proofErr w:type="spellStart"/>
      <w:r w:rsidRPr="0047439A">
        <w:rPr>
          <w:rFonts w:ascii="Calibri" w:hAnsi="Calibri" w:cs="Calibri"/>
          <w:color w:val="494641" w:themeColor="text2" w:themeShade="BF"/>
          <w:sz w:val="21"/>
          <w:szCs w:val="21"/>
        </w:rPr>
        <w:t>ViroSeq</w:t>
      </w:r>
      <w:proofErr w:type="spellEnd"/>
      <w:r w:rsidRPr="0047439A">
        <w:rPr>
          <w:rFonts w:ascii="Calibri" w:hAnsi="Calibri" w:cs="Calibri"/>
          <w:color w:val="494641" w:themeColor="text2" w:themeShade="BF"/>
          <w:sz w:val="21"/>
          <w:szCs w:val="21"/>
        </w:rPr>
        <w:t xml:space="preserve"> HIV-1 Genotyping System or a validated commercial or laboratory-developed procedure.</w:t>
      </w:r>
      <w:r w:rsidR="00647AED">
        <w:rPr>
          <w:rFonts w:ascii="Calibri" w:hAnsi="Calibri" w:cs="Calibri"/>
          <w:color w:val="494641" w:themeColor="text2" w:themeShade="BF"/>
          <w:sz w:val="21"/>
          <w:szCs w:val="21"/>
        </w:rPr>
        <w:br/>
      </w:r>
    </w:p>
    <w:p w14:paraId="01D548B4" w14:textId="0987B84A" w:rsidR="009D521D" w:rsidRPr="0047439A" w:rsidRDefault="009D521D" w:rsidP="00D76C78">
      <w:pPr>
        <w:pStyle w:val="ListParagraph"/>
        <w:numPr>
          <w:ilvl w:val="0"/>
          <w:numId w:val="9"/>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t xml:space="preserve">Figure </w:t>
      </w:r>
      <w:r w:rsidR="00C42919" w:rsidRPr="0047439A">
        <w:rPr>
          <w:rFonts w:ascii="Calibri" w:hAnsi="Calibri" w:cs="Calibri"/>
          <w:color w:val="494641" w:themeColor="text2" w:themeShade="BF"/>
          <w:sz w:val="21"/>
          <w:szCs w:val="21"/>
        </w:rPr>
        <w:t>3</w:t>
      </w:r>
      <w:r w:rsidRPr="0047439A">
        <w:rPr>
          <w:rFonts w:ascii="Calibri" w:hAnsi="Calibri" w:cs="Calibri"/>
          <w:color w:val="494641" w:themeColor="text2" w:themeShade="BF"/>
          <w:sz w:val="21"/>
          <w:szCs w:val="21"/>
        </w:rPr>
        <w:t xml:space="preserve"> describes the general systematic flow of HIV RNA and HIVDR testing that will be performed across laboratories; however, each laboratory will test samples according to their standard operating procedures. </w:t>
      </w:r>
    </w:p>
    <w:p w14:paraId="6E52D7DC" w14:textId="77777777" w:rsidR="009D521D" w:rsidRPr="00647AED" w:rsidRDefault="009D521D" w:rsidP="00D76C78">
      <w:pPr>
        <w:spacing w:line="276" w:lineRule="auto"/>
        <w:ind w:right="116"/>
        <w:rPr>
          <w:rFonts w:ascii="Calibri" w:hAnsi="Calibri" w:cs="Calibri"/>
          <w:color w:val="494641" w:themeColor="text2" w:themeShade="BF"/>
          <w:sz w:val="12"/>
          <w:szCs w:val="12"/>
        </w:rPr>
      </w:pPr>
    </w:p>
    <w:p w14:paraId="7B301525" w14:textId="55E3E475" w:rsidR="009D521D" w:rsidRPr="0047439A" w:rsidRDefault="009D521D" w:rsidP="00D76C78">
      <w:pPr>
        <w:pStyle w:val="ListParagraph"/>
        <w:numPr>
          <w:ilvl w:val="0"/>
          <w:numId w:val="9"/>
        </w:numPr>
        <w:spacing w:line="276" w:lineRule="auto"/>
        <w:ind w:right="116"/>
        <w:rPr>
          <w:rFonts w:ascii="Calibri" w:hAnsi="Calibri" w:cs="Calibri"/>
          <w:color w:val="494641" w:themeColor="text2" w:themeShade="BF"/>
          <w:sz w:val="21"/>
          <w:szCs w:val="21"/>
        </w:rPr>
      </w:pPr>
      <w:r w:rsidRPr="0047439A">
        <w:rPr>
          <w:rFonts w:ascii="Calibri" w:hAnsi="Calibri" w:cs="Calibri"/>
          <w:color w:val="494641" w:themeColor="text2" w:themeShade="BF"/>
          <w:sz w:val="21"/>
          <w:szCs w:val="21"/>
        </w:rPr>
        <w:lastRenderedPageBreak/>
        <w:t xml:space="preserve">Once the results are ready, results are emailed to the </w:t>
      </w:r>
      <w:r w:rsidR="00BB1881" w:rsidRPr="0047439A">
        <w:rPr>
          <w:rFonts w:ascii="Calibri" w:hAnsi="Calibri" w:cs="Calibri"/>
          <w:color w:val="494641" w:themeColor="text2" w:themeShade="BF"/>
          <w:sz w:val="21"/>
          <w:szCs w:val="21"/>
        </w:rPr>
        <w:t>[</w:t>
      </w:r>
      <w:r w:rsidRPr="0047439A">
        <w:rPr>
          <w:rFonts w:ascii="Calibri" w:hAnsi="Calibri" w:cs="Calibri"/>
          <w:i/>
          <w:iCs/>
          <w:color w:val="494641" w:themeColor="text2" w:themeShade="BF"/>
          <w:sz w:val="21"/>
          <w:szCs w:val="21"/>
        </w:rPr>
        <w:t>country project manager</w:t>
      </w:r>
      <w:r w:rsidR="00BB1881" w:rsidRPr="0047439A">
        <w:rPr>
          <w:rFonts w:ascii="Calibri" w:hAnsi="Calibri" w:cs="Calibri"/>
          <w:color w:val="494641" w:themeColor="text2" w:themeShade="BF"/>
          <w:sz w:val="21"/>
          <w:szCs w:val="21"/>
        </w:rPr>
        <w:t>]</w:t>
      </w:r>
      <w:r w:rsidRPr="0047439A">
        <w:rPr>
          <w:rFonts w:ascii="Calibri" w:hAnsi="Calibri" w:cs="Calibri"/>
          <w:color w:val="494641" w:themeColor="text2" w:themeShade="BF"/>
          <w:sz w:val="21"/>
          <w:szCs w:val="21"/>
        </w:rPr>
        <w:t xml:space="preserve"> and applicable site as required.</w:t>
      </w:r>
    </w:p>
    <w:p w14:paraId="7EA837E1" w14:textId="77777777" w:rsidR="009D521D" w:rsidRPr="00647AED" w:rsidRDefault="009D521D" w:rsidP="00D76C78">
      <w:pPr>
        <w:pStyle w:val="ListParagraph"/>
        <w:spacing w:line="276" w:lineRule="auto"/>
        <w:ind w:right="116"/>
        <w:rPr>
          <w:rFonts w:ascii="Calibri" w:hAnsi="Calibri" w:cs="Calibri"/>
          <w:color w:val="494641" w:themeColor="text2" w:themeShade="BF"/>
          <w:sz w:val="12"/>
          <w:szCs w:val="12"/>
        </w:rPr>
      </w:pPr>
    </w:p>
    <w:p w14:paraId="021C4851" w14:textId="77777777" w:rsidR="00054BBC" w:rsidRDefault="009D521D" w:rsidP="00054BBC">
      <w:pPr>
        <w:pStyle w:val="ListParagraph"/>
        <w:numPr>
          <w:ilvl w:val="0"/>
          <w:numId w:val="9"/>
        </w:numPr>
        <w:spacing w:line="276" w:lineRule="auto"/>
        <w:ind w:right="116"/>
        <w:rPr>
          <w:rFonts w:ascii="Calibri" w:hAnsi="Calibri" w:cs="Calibri"/>
          <w:b/>
          <w:i/>
          <w:iCs/>
          <w:color w:val="29676B" w:themeColor="accent1"/>
          <w:sz w:val="21"/>
          <w:szCs w:val="21"/>
        </w:rPr>
      </w:pPr>
      <w:r w:rsidRPr="00C75046">
        <w:rPr>
          <w:rFonts w:ascii="Calibri" w:hAnsi="Calibri" w:cs="Calibri"/>
          <w:color w:val="494641" w:themeColor="text2" w:themeShade="BF"/>
          <w:sz w:val="21"/>
          <w:szCs w:val="21"/>
        </w:rPr>
        <w:t>Copies of the results are filed in secure MOSAIC files at the laboratory, or within a secure electronic cloud-based electronic storage system</w:t>
      </w:r>
      <w:r w:rsidR="00C75046">
        <w:rPr>
          <w:rFonts w:ascii="Calibri" w:hAnsi="Calibri" w:cs="Calibri"/>
          <w:color w:val="494641" w:themeColor="text2" w:themeShade="BF"/>
          <w:sz w:val="21"/>
          <w:szCs w:val="21"/>
        </w:rPr>
        <w:t>.</w:t>
      </w:r>
      <w:r w:rsidR="00054BBC" w:rsidRPr="00054BBC">
        <w:rPr>
          <w:rFonts w:ascii="Calibri" w:hAnsi="Calibri" w:cs="Calibri"/>
          <w:b/>
          <w:i/>
          <w:iCs/>
          <w:color w:val="29676B" w:themeColor="accent1"/>
          <w:sz w:val="21"/>
          <w:szCs w:val="21"/>
        </w:rPr>
        <w:t xml:space="preserve"> </w:t>
      </w:r>
    </w:p>
    <w:p w14:paraId="120F0DF7" w14:textId="77777777" w:rsidR="00054BBC" w:rsidRPr="00054BBC" w:rsidRDefault="00054BBC" w:rsidP="00054BBC">
      <w:pPr>
        <w:pStyle w:val="ListParagraph"/>
        <w:rPr>
          <w:rFonts w:ascii="Calibri" w:hAnsi="Calibri" w:cs="Calibri"/>
          <w:b/>
          <w:i/>
          <w:iCs/>
          <w:color w:val="29676B" w:themeColor="accent1"/>
          <w:sz w:val="21"/>
          <w:szCs w:val="21"/>
        </w:rPr>
      </w:pPr>
    </w:p>
    <w:p w14:paraId="211D9E26" w14:textId="5C45F030" w:rsidR="00054BBC" w:rsidRPr="00C75046" w:rsidRDefault="00054BBC" w:rsidP="00054BBC">
      <w:pPr>
        <w:pStyle w:val="ListParagraph"/>
        <w:spacing w:line="276" w:lineRule="auto"/>
        <w:ind w:right="116"/>
        <w:jc w:val="center"/>
        <w:rPr>
          <w:rFonts w:ascii="Calibri" w:hAnsi="Calibri" w:cs="Calibri"/>
          <w:b/>
          <w:i/>
          <w:iCs/>
          <w:color w:val="29676B" w:themeColor="accent1"/>
          <w:sz w:val="21"/>
          <w:szCs w:val="21"/>
        </w:rPr>
      </w:pPr>
      <w:r w:rsidRPr="00C75046">
        <w:rPr>
          <w:rFonts w:ascii="Calibri" w:hAnsi="Calibri" w:cs="Calibri"/>
          <w:b/>
          <w:i/>
          <w:iCs/>
          <w:color w:val="29676B" w:themeColor="accent1"/>
          <w:sz w:val="21"/>
          <w:szCs w:val="21"/>
        </w:rPr>
        <w:t>Figure 3: Laboratory Testing Flow</w:t>
      </w:r>
    </w:p>
    <w:p w14:paraId="0848E090" w14:textId="77777777" w:rsidR="00054BBC" w:rsidRPr="00AB7CF3" w:rsidRDefault="00054BBC" w:rsidP="00054BBC">
      <w:pPr>
        <w:spacing w:line="276" w:lineRule="auto"/>
        <w:ind w:right="116"/>
        <w:rPr>
          <w:rFonts w:ascii="Arial" w:hAnsi="Arial" w:cs="Arial"/>
          <w:b/>
          <w:sz w:val="21"/>
          <w:szCs w:val="21"/>
        </w:rPr>
      </w:pPr>
    </w:p>
    <w:p w14:paraId="6EDBB619" w14:textId="77777777" w:rsidR="00054BBC" w:rsidRPr="00AB7CF3" w:rsidRDefault="00054BBC" w:rsidP="00054BBC">
      <w:pPr>
        <w:spacing w:line="276" w:lineRule="auto"/>
        <w:ind w:right="116"/>
        <w:rPr>
          <w:rFonts w:ascii="Arial" w:hAnsi="Arial" w:cs="Arial"/>
          <w:b/>
          <w:sz w:val="21"/>
          <w:szCs w:val="21"/>
        </w:rPr>
      </w:pPr>
      <w:r>
        <w:rPr>
          <w:rFonts w:ascii="Arial" w:hAnsi="Arial" w:cs="Arial"/>
          <w:b/>
          <w:noProof/>
          <w:sz w:val="21"/>
          <w:szCs w:val="21"/>
        </w:rPr>
        <mc:AlternateContent>
          <mc:Choice Requires="wps">
            <w:drawing>
              <wp:anchor distT="0" distB="0" distL="114300" distR="114300" simplePos="0" relativeHeight="251669511" behindDoc="0" locked="0" layoutInCell="1" allowOverlap="1" wp14:anchorId="736A6DAA" wp14:editId="54FE0938">
                <wp:simplePos x="0" y="0"/>
                <wp:positionH relativeFrom="column">
                  <wp:posOffset>537</wp:posOffset>
                </wp:positionH>
                <wp:positionV relativeFrom="paragraph">
                  <wp:posOffset>4812524</wp:posOffset>
                </wp:positionV>
                <wp:extent cx="5512777" cy="993531"/>
                <wp:effectExtent l="0" t="0" r="12065" b="10160"/>
                <wp:wrapNone/>
                <wp:docPr id="1393542028" name="Text Box 3"/>
                <wp:cNvGraphicFramePr/>
                <a:graphic xmlns:a="http://schemas.openxmlformats.org/drawingml/2006/main">
                  <a:graphicData uri="http://schemas.microsoft.com/office/word/2010/wordprocessingShape">
                    <wps:wsp>
                      <wps:cNvSpPr txBox="1"/>
                      <wps:spPr>
                        <a:xfrm>
                          <a:off x="0" y="0"/>
                          <a:ext cx="5512777" cy="993531"/>
                        </a:xfrm>
                        <a:prstGeom prst="rect">
                          <a:avLst/>
                        </a:prstGeom>
                        <a:noFill/>
                        <a:ln w="6350">
                          <a:solidFill>
                            <a:schemeClr val="accent1">
                              <a:shade val="15000"/>
                            </a:schemeClr>
                          </a:solidFill>
                        </a:ln>
                      </wps:spPr>
                      <wps:txbx>
                        <w:txbxContent>
                          <w:p w14:paraId="555A679A"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*Skip step for DBS samples, if RNA PCR assay using DBS is not available or if there is limited sample volume (&lt;2 ml plasma or &lt;5 DBS spots).</w:t>
                            </w:r>
                          </w:p>
                          <w:p w14:paraId="08455FC2"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 xml:space="preserve">**Copies/mL thresholds for successfully testing HIVDR may differ at individual labs; specific testing algorithms will be described in lab-specific SOPs or other guidance documents. </w:t>
                            </w:r>
                          </w:p>
                          <w:p w14:paraId="68773CA9"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 xml:space="preserve">***Sample may be sent to [insert laboratory] for troubleshooting or specialized testing. </w:t>
                            </w:r>
                          </w:p>
                        </w:txbxContent>
                      </wps:txbx>
                      <wps:bodyPr rot="0" spcFirstLastPara="0" vertOverflow="overflow" horzOverflow="overflow" vert="horz" wrap="square" lIns="182880" tIns="9144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A6DAA" id="_x0000_s1034" type="#_x0000_t202" style="position:absolute;margin-left:.05pt;margin-top:378.95pt;width:434.1pt;height:78.25pt;z-index:251669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" filled="f" strokecolor="#060f0f [484]" strokeweight=".5pt">
                <v:textbox inset="14.4pt,7.2pt,,7.2pt">
                  <w:txbxContent>
                    <w:p w14:paraId="555A679A"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*Skip step for DBS samples, if RNA PCR assay using DBS is not available or if there is limited sample volume (&lt;2 ml plasma or &lt;5 DBS spots).</w:t>
                      </w:r>
                    </w:p>
                    <w:p w14:paraId="08455FC2"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 xml:space="preserve">**Copies/mL thresholds for successfully testing HIVDR may differ at individual labs; specific testing algorithms will be described in lab-specific SOPs or other guidance documents. </w:t>
                      </w:r>
                    </w:p>
                    <w:p w14:paraId="68773CA9" w14:textId="77777777" w:rsidR="00054BBC" w:rsidRPr="00CE40AD" w:rsidRDefault="00054BBC" w:rsidP="00054BBC">
                      <w:pPr>
                        <w:rPr>
                          <w:rFonts w:ascii="Calibri" w:hAnsi="Calibri" w:cs="Calibri"/>
                          <w:color w:val="494641" w:themeColor="text2" w:themeShade="BF"/>
                          <w14:textOutline w14:w="9525" w14:cap="rnd" w14:cmpd="sng" w14:algn="ctr">
                            <w14:noFill/>
                            <w14:prstDash w14:val="solid"/>
                            <w14:bevel/>
                          </w14:textOutline>
                        </w:rPr>
                      </w:pPr>
                      <w:r w:rsidRPr="00CE40AD">
                        <w:rPr>
                          <w:rFonts w:ascii="Calibri" w:hAnsi="Calibri" w:cs="Calibri"/>
                          <w:color w:val="494641" w:themeColor="text2" w:themeShade="BF"/>
                          <w14:textOutline w14:w="9525" w14:cap="rnd" w14:cmpd="sng" w14:algn="ctr">
                            <w14:noFill/>
                            <w14:prstDash w14:val="solid"/>
                            <w14:bevel/>
                          </w14:textOutline>
                        </w:rPr>
                        <w:t xml:space="preserve">***Sample may be sent to [insert laboratory] for troubleshooting or specialized testing. </w:t>
                      </w:r>
                    </w:p>
                  </w:txbxContent>
                </v:textbox>
              </v:shape>
            </w:pict>
          </mc:Fallback>
        </mc:AlternateContent>
      </w:r>
      <w:r w:rsidRPr="00AB7CF3">
        <w:rPr>
          <w:rFonts w:ascii="Arial" w:hAnsi="Arial" w:cs="Arial"/>
          <w:b/>
          <w:noProof/>
          <w:sz w:val="21"/>
          <w:szCs w:val="21"/>
        </w:rPr>
        <mc:AlternateContent>
          <mc:Choice Requires="wpg">
            <w:drawing>
              <wp:inline distT="0" distB="0" distL="0" distR="0" wp14:anchorId="30B489ED" wp14:editId="191C281C">
                <wp:extent cx="4859666" cy="4946388"/>
                <wp:effectExtent l="0" t="0" r="4445" b="0"/>
                <wp:docPr id="45" name="Group 45"/>
                <wp:cNvGraphicFramePr/>
                <a:graphic xmlns:a="http://schemas.openxmlformats.org/drawingml/2006/main">
                  <a:graphicData uri="http://schemas.microsoft.com/office/word/2010/wordprocessingGroup">
                    <wpg:wgp>
                      <wpg:cNvGrpSpPr/>
                      <wpg:grpSpPr>
                        <a:xfrm>
                          <a:off x="0" y="0"/>
                          <a:ext cx="4859666" cy="4946388"/>
                          <a:chOff x="360354" y="0"/>
                          <a:chExt cx="3573592" cy="2899439"/>
                        </a:xfrm>
                      </wpg:grpSpPr>
                      <wps:wsp>
                        <wps:cNvPr id="46" name="Rectangle 46"/>
                        <wps:cNvSpPr/>
                        <wps:spPr>
                          <a:xfrm>
                            <a:off x="421695" y="656839"/>
                            <a:ext cx="1498601" cy="291996"/>
                          </a:xfrm>
                          <a:prstGeom prst="rect">
                            <a:avLst/>
                          </a:prstGeom>
                          <a:solidFill>
                            <a:sysClr val="window" lastClr="FFFFFF"/>
                          </a:solidFill>
                          <a:ln w="6350" cap="flat" cmpd="sng" algn="ctr">
                            <a:solidFill>
                              <a:sysClr val="windowText" lastClr="000000"/>
                            </a:solidFill>
                            <a:prstDash val="solid"/>
                          </a:ln>
                          <a:effectLst/>
                        </wps:spPr>
                        <wps:txbx>
                          <w:txbxContent>
                            <w:p w14:paraId="415F1F86"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HIV RNA PCR*</w:t>
                              </w:r>
                            </w:p>
                          </w:txbxContent>
                        </wps:txbx>
                        <wps:bodyPr rtlCol="0" anchor="ctr"/>
                      </wps:wsp>
                      <wps:wsp>
                        <wps:cNvPr id="47" name="Rectangle 47"/>
                        <wps:cNvSpPr/>
                        <wps:spPr>
                          <a:xfrm>
                            <a:off x="421695" y="2313117"/>
                            <a:ext cx="1498601" cy="586322"/>
                          </a:xfrm>
                          <a:prstGeom prst="rect">
                            <a:avLst/>
                          </a:prstGeom>
                          <a:solidFill>
                            <a:sysClr val="window" lastClr="FFFFFF"/>
                          </a:solidFill>
                          <a:ln w="6350" cap="flat" cmpd="sng" algn="ctr">
                            <a:noFill/>
                            <a:prstDash val="solid"/>
                          </a:ln>
                          <a:effectLst/>
                        </wps:spPr>
                        <wps:txbx>
                          <w:txbxContent>
                            <w:p w14:paraId="79492261"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Report Results to MOSAIC and National Program</w:t>
                              </w:r>
                            </w:p>
                          </w:txbxContent>
                        </wps:txbx>
                        <wps:bodyPr rtlCol="0" anchor="ctr"/>
                      </wps:wsp>
                      <wps:wsp>
                        <wps:cNvPr id="48" name="Rectangle 48"/>
                        <wps:cNvSpPr/>
                        <wps:spPr>
                          <a:xfrm>
                            <a:off x="421696" y="1597453"/>
                            <a:ext cx="1498601" cy="383436"/>
                          </a:xfrm>
                          <a:prstGeom prst="rect">
                            <a:avLst/>
                          </a:prstGeom>
                          <a:solidFill>
                            <a:sysClr val="window" lastClr="FFFFFF"/>
                          </a:solidFill>
                          <a:ln w="6350" cap="flat" cmpd="sng" algn="ctr">
                            <a:solidFill>
                              <a:sysClr val="windowText" lastClr="000000"/>
                            </a:solidFill>
                            <a:prstDash val="solid"/>
                          </a:ln>
                          <a:effectLst/>
                        </wps:spPr>
                        <wps:txbx>
                          <w:txbxContent>
                            <w:p w14:paraId="05B8E71E"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Sanger Sequencing</w:t>
                              </w:r>
                            </w:p>
                            <w:p w14:paraId="21871163"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w:t>
                              </w:r>
                              <w:r w:rsidRPr="004F3036">
                                <w:rPr>
                                  <w:rFonts w:ascii="Poppins" w:hAnsi="Poppins" w:cs="Poppins"/>
                                  <w:i/>
                                  <w:iCs/>
                                  <w:color w:val="494641" w:themeColor="text2" w:themeShade="BF"/>
                                  <w:kern w:val="24"/>
                                  <w:sz w:val="20"/>
                                  <w:szCs w:val="20"/>
                                </w:rPr>
                                <w:t>pro-RT-int)</w:t>
                              </w:r>
                            </w:p>
                          </w:txbxContent>
                        </wps:txbx>
                        <wps:bodyPr rtlCol="0" anchor="ctr"/>
                      </wps:wsp>
                      <wps:wsp>
                        <wps:cNvPr id="49" name="TextBox 19"/>
                        <wps:cNvSpPr txBox="1"/>
                        <wps:spPr>
                          <a:xfrm>
                            <a:off x="360354" y="1101761"/>
                            <a:ext cx="1025525" cy="208280"/>
                          </a:xfrm>
                          <a:prstGeom prst="rect">
                            <a:avLst/>
                          </a:prstGeom>
                          <a:noFill/>
                        </wps:spPr>
                        <wps:txbx>
                          <w:txbxContent>
                            <w:p w14:paraId="55B2D23D"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 1000 copies/mL**</w:t>
                              </w:r>
                            </w:p>
                          </w:txbxContent>
                        </wps:txbx>
                        <wps:bodyPr wrap="square" rtlCol="0">
                          <a:noAutofit/>
                        </wps:bodyPr>
                      </wps:wsp>
                      <wps:wsp>
                        <wps:cNvPr id="50" name="TextBox 25"/>
                        <wps:cNvSpPr txBox="1"/>
                        <wps:spPr>
                          <a:xfrm>
                            <a:off x="2435345" y="1101762"/>
                            <a:ext cx="1024890" cy="208280"/>
                          </a:xfrm>
                          <a:prstGeom prst="rect">
                            <a:avLst/>
                          </a:prstGeom>
                          <a:noFill/>
                        </wps:spPr>
                        <wps:txbx>
                          <w:txbxContent>
                            <w:p w14:paraId="48384EBE"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&lt; 1000 copies/mL**</w:t>
                              </w:r>
                            </w:p>
                          </w:txbxContent>
                        </wps:txbx>
                        <wps:bodyPr wrap="square" rtlCol="0">
                          <a:noAutofit/>
                        </wps:bodyPr>
                      </wps:wsp>
                      <wps:wsp>
                        <wps:cNvPr id="51" name="Straight Arrow Connector 51"/>
                        <wps:cNvCnPr/>
                        <wps:spPr>
                          <a:xfrm flipH="1">
                            <a:off x="1170996" y="1889952"/>
                            <a:ext cx="1" cy="547087"/>
                          </a:xfrm>
                          <a:prstGeom prst="straightConnector1">
                            <a:avLst/>
                          </a:prstGeom>
                          <a:noFill/>
                          <a:ln w="9525" cap="flat" cmpd="sng" algn="ctr">
                            <a:solidFill>
                              <a:sysClr val="windowText" lastClr="000000"/>
                            </a:solidFill>
                            <a:prstDash val="solid"/>
                            <a:tailEnd type="triangle"/>
                          </a:ln>
                          <a:effectLst/>
                        </wps:spPr>
                        <wps:bodyPr/>
                      </wps:wsp>
                      <wps:wsp>
                        <wps:cNvPr id="52" name="TextBox 38"/>
                        <wps:cNvSpPr txBox="1"/>
                        <wps:spPr>
                          <a:xfrm>
                            <a:off x="360354" y="2014283"/>
                            <a:ext cx="715793" cy="317500"/>
                          </a:xfrm>
                          <a:prstGeom prst="rect">
                            <a:avLst/>
                          </a:prstGeom>
                          <a:noFill/>
                        </wps:spPr>
                        <wps:txbx>
                          <w:txbxContent>
                            <w:p w14:paraId="3331AE09"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Successful sequence</w:t>
                              </w:r>
                            </w:p>
                          </w:txbxContent>
                        </wps:txbx>
                        <wps:bodyPr wrap="square" rtlCol="0">
                          <a:noAutofit/>
                        </wps:bodyPr>
                      </wps:wsp>
                      <wps:wsp>
                        <wps:cNvPr id="53" name="Rectangle 53"/>
                        <wps:cNvSpPr/>
                        <wps:spPr>
                          <a:xfrm>
                            <a:off x="2435345" y="1593206"/>
                            <a:ext cx="1498601" cy="387994"/>
                          </a:xfrm>
                          <a:prstGeom prst="rect">
                            <a:avLst/>
                          </a:prstGeom>
                          <a:solidFill>
                            <a:sysClr val="window" lastClr="FFFFFF"/>
                          </a:solidFill>
                          <a:ln w="6350" cap="flat" cmpd="sng" algn="ctr">
                            <a:noFill/>
                            <a:prstDash val="solid"/>
                          </a:ln>
                          <a:effectLst/>
                        </wps:spPr>
                        <wps:txbx>
                          <w:txbxContent>
                            <w:p w14:paraId="13EE4F09"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Report RNA Results to MOSAIC***</w:t>
                              </w:r>
                            </w:p>
                          </w:txbxContent>
                        </wps:txbx>
                        <wps:bodyPr rtlCol="0" anchor="ctr"/>
                      </wps:wsp>
                      <wps:wsp>
                        <wps:cNvPr id="54" name="Rectangle 54"/>
                        <wps:cNvSpPr/>
                        <wps:spPr>
                          <a:xfrm>
                            <a:off x="2435345" y="2365309"/>
                            <a:ext cx="1498601" cy="458137"/>
                          </a:xfrm>
                          <a:prstGeom prst="rect">
                            <a:avLst/>
                          </a:prstGeom>
                          <a:solidFill>
                            <a:sysClr val="window" lastClr="FFFFFF"/>
                          </a:solidFill>
                          <a:ln w="6350" cap="flat" cmpd="sng" algn="ctr">
                            <a:noFill/>
                            <a:prstDash val="solid"/>
                          </a:ln>
                          <a:effectLst/>
                        </wps:spPr>
                        <wps:txbx>
                          <w:txbxContent>
                            <w:p w14:paraId="385AD5DA"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Inform country project manager**</w:t>
                              </w:r>
                            </w:p>
                          </w:txbxContent>
                        </wps:txbx>
                        <wps:bodyPr rtlCol="0" anchor="ctr"/>
                      </wps:wsp>
                      <wps:wsp>
                        <wps:cNvPr id="55" name="Elbow Connector 197"/>
                        <wps:cNvCnPr/>
                        <wps:spPr>
                          <a:xfrm rot="16200000" flipH="1">
                            <a:off x="1903874" y="1157074"/>
                            <a:ext cx="547894" cy="2013649"/>
                          </a:xfrm>
                          <a:prstGeom prst="bentConnector3">
                            <a:avLst/>
                          </a:prstGeom>
                          <a:noFill/>
                          <a:ln w="9525" cap="flat" cmpd="sng" algn="ctr">
                            <a:solidFill>
                              <a:sysClr val="windowText" lastClr="000000"/>
                            </a:solidFill>
                            <a:prstDash val="solid"/>
                            <a:tailEnd type="triangle"/>
                          </a:ln>
                          <a:effectLst/>
                        </wps:spPr>
                        <wps:bodyPr/>
                      </wps:wsp>
                      <wps:wsp>
                        <wps:cNvPr id="56" name="TextBox 51"/>
                        <wps:cNvSpPr txBox="1"/>
                        <wps:spPr>
                          <a:xfrm>
                            <a:off x="2578784" y="2014280"/>
                            <a:ext cx="875030" cy="208280"/>
                          </a:xfrm>
                          <a:prstGeom prst="rect">
                            <a:avLst/>
                          </a:prstGeom>
                          <a:noFill/>
                        </wps:spPr>
                        <wps:txbx>
                          <w:txbxContent>
                            <w:p w14:paraId="0FCACDE9"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Failed testing</w:t>
                              </w:r>
                            </w:p>
                          </w:txbxContent>
                        </wps:txbx>
                        <wps:bodyPr wrap="square" rtlCol="0">
                          <a:noAutofit/>
                        </wps:bodyPr>
                      </wps:wsp>
                      <wps:wsp>
                        <wps:cNvPr id="58" name="Rectangle 58"/>
                        <wps:cNvSpPr/>
                        <wps:spPr>
                          <a:xfrm>
                            <a:off x="421694" y="0"/>
                            <a:ext cx="1498601" cy="291996"/>
                          </a:xfrm>
                          <a:prstGeom prst="rect">
                            <a:avLst/>
                          </a:prstGeom>
                          <a:solidFill>
                            <a:sysClr val="window" lastClr="FFFFFF"/>
                          </a:solidFill>
                          <a:ln w="6350" cap="flat" cmpd="sng" algn="ctr">
                            <a:solidFill>
                              <a:sysClr val="windowText" lastClr="000000"/>
                            </a:solidFill>
                            <a:prstDash val="solid"/>
                          </a:ln>
                          <a:effectLst/>
                        </wps:spPr>
                        <wps:txbx>
                          <w:txbxContent>
                            <w:p w14:paraId="724A2295" w14:textId="77777777" w:rsidR="00054BBC" w:rsidRPr="004F3036" w:rsidRDefault="00054BBC" w:rsidP="00054BBC">
                              <w:pPr>
                                <w:pStyle w:val="NormalWeb"/>
                                <w:spacing w:before="0" w:beforeAutospacing="0" w:after="0" w:afterAutospacing="0"/>
                                <w:jc w:val="center"/>
                                <w:rPr>
                                  <w:rFonts w:ascii="Poppins SemiBold" w:hAnsi="Poppins SemiBold" w:cs="Poppins SemiBold"/>
                                  <w:b/>
                                  <w:bCs/>
                                  <w:color w:val="494641" w:themeColor="text2" w:themeShade="BF"/>
                                </w:rPr>
                              </w:pPr>
                              <w:r w:rsidRPr="004F3036">
                                <w:rPr>
                                  <w:rFonts w:ascii="Poppins SemiBold" w:hAnsi="Poppins SemiBold" w:cs="Poppins SemiBold"/>
                                  <w:b/>
                                  <w:bCs/>
                                  <w:color w:val="494641" w:themeColor="text2" w:themeShade="BF"/>
                                  <w:kern w:val="24"/>
                                  <w:sz w:val="20"/>
                                  <w:szCs w:val="20"/>
                                </w:rPr>
                                <w:t>Plasma or DBS</w:t>
                              </w:r>
                            </w:p>
                          </w:txbxContent>
                        </wps:txbx>
                        <wps:bodyPr rtlCol="0" anchor="ctr"/>
                      </wps:wsp>
                      <wps:wsp>
                        <wps:cNvPr id="59" name="Straight Arrow Connector 59"/>
                        <wps:cNvCnPr/>
                        <wps:spPr>
                          <a:xfrm>
                            <a:off x="1170995" y="291996"/>
                            <a:ext cx="1" cy="364843"/>
                          </a:xfrm>
                          <a:prstGeom prst="straightConnector1">
                            <a:avLst/>
                          </a:prstGeom>
                          <a:noFill/>
                          <a:ln w="9525" cap="flat" cmpd="sng" algn="ctr">
                            <a:solidFill>
                              <a:sysClr val="windowText" lastClr="000000"/>
                            </a:solidFill>
                            <a:prstDash val="solid"/>
                            <a:tailEnd type="triangle"/>
                          </a:ln>
                          <a:effectLst/>
                        </wps:spPr>
                        <wps:bodyPr/>
                      </wps:wsp>
                      <wps:wsp>
                        <wps:cNvPr id="60" name="Straight Arrow Connector 60"/>
                        <wps:cNvCnPr/>
                        <wps:spPr>
                          <a:xfrm>
                            <a:off x="1170996" y="948835"/>
                            <a:ext cx="1" cy="649121"/>
                          </a:xfrm>
                          <a:prstGeom prst="straightConnector1">
                            <a:avLst/>
                          </a:prstGeom>
                          <a:noFill/>
                          <a:ln w="9525" cap="flat" cmpd="sng" algn="ctr">
                            <a:solidFill>
                              <a:sysClr val="windowText" lastClr="000000"/>
                            </a:solidFill>
                            <a:prstDash val="solid"/>
                            <a:tailEnd type="triangle"/>
                          </a:ln>
                          <a:effectLst/>
                        </wps:spPr>
                        <wps:bodyPr/>
                      </wps:wsp>
                      <wps:wsp>
                        <wps:cNvPr id="61" name="Elbow Connector 205"/>
                        <wps:cNvCnPr/>
                        <wps:spPr>
                          <a:xfrm rot="16200000" flipH="1">
                            <a:off x="1855511" y="264320"/>
                            <a:ext cx="644621" cy="2013650"/>
                          </a:xfrm>
                          <a:prstGeom prst="bentConnector3">
                            <a:avLst/>
                          </a:prstGeom>
                          <a:noFill/>
                          <a:ln w="9525" cap="flat" cmpd="sng" algn="ctr">
                            <a:solidFill>
                              <a:sysClr val="windowText" lastClr="000000"/>
                            </a:solidFill>
                            <a:prstDash val="solid"/>
                            <a:tailEnd type="triangle"/>
                          </a:ln>
                          <a:effectLst/>
                        </wps:spPr>
                        <wps:bodyPr/>
                      </wps:wsp>
                    </wpg:wgp>
                  </a:graphicData>
                </a:graphic>
              </wp:inline>
            </w:drawing>
          </mc:Choice>
          <mc:Fallback>
            <w:pict>
              <v:group w14:anchorId="30B489ED" id="Group 45" o:spid="_x0000_s1035" style="width:382.65pt;height:389.5pt;mso-position-horizontal-relative:char;mso-position-vertical-relative:line" coordorigin="3603" coordsize="35735,2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">
                <v:rect id="Rectangle 46" o:spid="_x0000_s1036" style="position:absolute;left:4216;top:6568;width:14986;height: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" fillcolor="window" strokecolor="windowText" strokeweight=".5pt">
                  <v:textbox>
                    <w:txbxContent>
                      <w:p w14:paraId="415F1F86"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HIV RNA PCR*</w:t>
                        </w:r>
                      </w:p>
                    </w:txbxContent>
                  </v:textbox>
                </v:rect>
                <v:rect id="Rectangle 47" o:spid="_x0000_s1037" style="position:absolute;left:4216;top:23131;width:14986;height:5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" fillcolor="window" stroked="f" strokeweight=".5pt">
                  <v:textbox>
                    <w:txbxContent>
                      <w:p w14:paraId="79492261"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Report Results to MOSAIC and National Program</w:t>
                        </w:r>
                      </w:p>
                    </w:txbxContent>
                  </v:textbox>
                </v:rect>
                <v:rect id="Rectangle 48" o:spid="_x0000_s1038" style="position:absolute;left:4216;top:15974;width:14986;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lfvwAAANsAAAAPAAAAZHJzL2Rvd25yZXYueG1sRE9Ni8Iw&#10;EL0v+B/CCHtZNHVZRK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A5XclfvwAAANsAAAAPAAAAAAAA&#10;AAAAAAAAAAcCAABkcnMvZG93bnJldi54bWxQSwUGAAAAAAMAAwC3AAAA8wIAAAAA&#10;" fillcolor="window" strokecolor="windowText" strokeweight=".5pt">
                  <v:textbox>
                    <w:txbxContent>
                      <w:p w14:paraId="05B8E71E"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Sanger Sequencing</w:t>
                        </w:r>
                      </w:p>
                      <w:p w14:paraId="21871163"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w:t>
                        </w:r>
                        <w:r w:rsidRPr="004F3036">
                          <w:rPr>
                            <w:rFonts w:ascii="Poppins" w:hAnsi="Poppins" w:cs="Poppins"/>
                            <w:i/>
                            <w:iCs/>
                            <w:color w:val="494641" w:themeColor="text2" w:themeShade="BF"/>
                            <w:kern w:val="24"/>
                            <w:sz w:val="20"/>
                            <w:szCs w:val="20"/>
                          </w:rPr>
                          <w:t>pro-RT-int)</w:t>
                        </w:r>
                      </w:p>
                    </w:txbxContent>
                  </v:textbox>
                </v:rect>
                <v:shape id="TextBox 19" o:spid="_x0000_s1039" type="#_x0000_t202" style="position:absolute;left:3603;top:11017;width:1025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5B2D23D"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 1000 copies/mL**</w:t>
                        </w:r>
                      </w:p>
                    </w:txbxContent>
                  </v:textbox>
                </v:shape>
                <v:shape id="TextBox 25" o:spid="_x0000_s1040" type="#_x0000_t202" style="position:absolute;left:24353;top:11017;width:1024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8384EBE"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&lt; 1000 copies/mL**</w:t>
                        </w:r>
                      </w:p>
                    </w:txbxContent>
                  </v:textbox>
                </v:shape>
                <v:shapetype id="_x0000_t32" coordsize="21600,21600" o:spt="32" o:oned="t" path="m,l21600,21600e" filled="f">
                  <v:path arrowok="t" fillok="f" o:connecttype="none"/>
                  <o:lock v:ext="edit" shapetype="t"/>
                </v:shapetype>
                <v:shape id="Straight Arrow Connector 51" o:spid="_x0000_s1041" type="#_x0000_t32" style="position:absolute;left:11709;top:18899;width:0;height:5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" strokecolor="windowText">
                  <v:stroke endarrow="block"/>
                </v:shape>
                <v:shape id="TextBox 38" o:spid="_x0000_s1042" type="#_x0000_t202" style="position:absolute;left:3603;top:20142;width:71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331AE09"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Successful sequence</w:t>
                        </w:r>
                      </w:p>
                    </w:txbxContent>
                  </v:textbox>
                </v:shape>
                <v:rect id="Rectangle 53" o:spid="_x0000_s1043" style="position:absolute;left:24353;top:15932;width:14986;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" fillcolor="window" stroked="f" strokeweight=".5pt">
                  <v:textbox>
                    <w:txbxContent>
                      <w:p w14:paraId="13EE4F09"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Report RNA Results to MOSAIC***</w:t>
                        </w:r>
                      </w:p>
                    </w:txbxContent>
                  </v:textbox>
                </v:rect>
                <v:rect id="Rectangle 54" o:spid="_x0000_s1044" style="position:absolute;left:24353;top:23653;width:14986;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" fillcolor="window" stroked="f" strokeweight=".5pt">
                  <v:textbox>
                    <w:txbxContent>
                      <w:p w14:paraId="385AD5DA" w14:textId="77777777" w:rsidR="00054BBC" w:rsidRPr="004F3036" w:rsidRDefault="00054BBC" w:rsidP="00054BBC">
                        <w:pPr>
                          <w:pStyle w:val="NormalWeb"/>
                          <w:spacing w:before="0" w:beforeAutospacing="0" w:after="0" w:afterAutospacing="0"/>
                          <w:jc w:val="center"/>
                          <w:rPr>
                            <w:rFonts w:ascii="Poppins" w:hAnsi="Poppins" w:cs="Poppins"/>
                            <w:color w:val="494641" w:themeColor="text2" w:themeShade="BF"/>
                          </w:rPr>
                        </w:pPr>
                        <w:r w:rsidRPr="004F3036">
                          <w:rPr>
                            <w:rFonts w:ascii="Poppins" w:hAnsi="Poppins" w:cs="Poppins"/>
                            <w:color w:val="494641" w:themeColor="text2" w:themeShade="BF"/>
                            <w:kern w:val="24"/>
                            <w:sz w:val="20"/>
                            <w:szCs w:val="20"/>
                          </w:rPr>
                          <w:t>Inform country project 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7" o:spid="_x0000_s1045" type="#_x0000_t34" style="position:absolute;left:19038;top:11570;width:5479;height:201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" strokecolor="windowText">
                  <v:stroke endarrow="block"/>
                </v:shape>
                <v:shape id="TextBox 51" o:spid="_x0000_s1046" type="#_x0000_t202" style="position:absolute;left:25787;top:20142;width:875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FCACDE9" w14:textId="77777777" w:rsidR="00054BBC" w:rsidRPr="004F3036" w:rsidRDefault="00054BBC" w:rsidP="00054BBC">
                        <w:pPr>
                          <w:pStyle w:val="NormalWeb"/>
                          <w:spacing w:before="0" w:beforeAutospacing="0" w:after="0" w:afterAutospacing="0"/>
                          <w:rPr>
                            <w:rFonts w:ascii="Poppins" w:hAnsi="Poppins" w:cs="Poppins"/>
                            <w:color w:val="494641" w:themeColor="text2" w:themeShade="BF"/>
                          </w:rPr>
                        </w:pPr>
                        <w:r w:rsidRPr="004F3036">
                          <w:rPr>
                            <w:rFonts w:ascii="Poppins" w:hAnsi="Poppins" w:cs="Poppins"/>
                            <w:color w:val="494641" w:themeColor="text2" w:themeShade="BF"/>
                            <w:kern w:val="24"/>
                            <w:sz w:val="16"/>
                            <w:szCs w:val="16"/>
                          </w:rPr>
                          <w:t>Failed testing</w:t>
                        </w:r>
                      </w:p>
                    </w:txbxContent>
                  </v:textbox>
                </v:shape>
                <v:rect id="Rectangle 58" o:spid="_x0000_s1047" style="position:absolute;left:4216;width:14986;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CvwAAANsAAAAPAAAAZHJzL2Rvd25yZXYueG1sRE9Ni8Iw&#10;EL0v+B/CCHtZNHVhRa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C8hF+CvwAAANsAAAAPAAAAAAAA&#10;AAAAAAAAAAcCAABkcnMvZG93bnJldi54bWxQSwUGAAAAAAMAAwC3AAAA8wIAAAAA&#10;" fillcolor="window" strokecolor="windowText" strokeweight=".5pt">
                  <v:textbox>
                    <w:txbxContent>
                      <w:p w14:paraId="724A2295" w14:textId="77777777" w:rsidR="00054BBC" w:rsidRPr="004F3036" w:rsidRDefault="00054BBC" w:rsidP="00054BBC">
                        <w:pPr>
                          <w:pStyle w:val="NormalWeb"/>
                          <w:spacing w:before="0" w:beforeAutospacing="0" w:after="0" w:afterAutospacing="0"/>
                          <w:jc w:val="center"/>
                          <w:rPr>
                            <w:rFonts w:ascii="Poppins SemiBold" w:hAnsi="Poppins SemiBold" w:cs="Poppins SemiBold"/>
                            <w:b/>
                            <w:bCs/>
                            <w:color w:val="494641" w:themeColor="text2" w:themeShade="BF"/>
                          </w:rPr>
                        </w:pPr>
                        <w:r w:rsidRPr="004F3036">
                          <w:rPr>
                            <w:rFonts w:ascii="Poppins SemiBold" w:hAnsi="Poppins SemiBold" w:cs="Poppins SemiBold"/>
                            <w:b/>
                            <w:bCs/>
                            <w:color w:val="494641" w:themeColor="text2" w:themeShade="BF"/>
                            <w:kern w:val="24"/>
                            <w:sz w:val="20"/>
                            <w:szCs w:val="20"/>
                          </w:rPr>
                          <w:t>Plasma or DBS</w:t>
                        </w:r>
                      </w:p>
                    </w:txbxContent>
                  </v:textbox>
                </v:rect>
                <v:shape id="Straight Arrow Connector 59" o:spid="_x0000_s1048" type="#_x0000_t32" style="position:absolute;left:11709;top:2919;width:0;height:36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" strokecolor="windowText">
                  <v:stroke endarrow="block"/>
                </v:shape>
                <v:shape id="Straight Arrow Connector 60" o:spid="_x0000_s1049" type="#_x0000_t32" style="position:absolute;left:11709;top:9488;width:0;height:6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" strokecolor="windowText">
                  <v:stroke endarrow="block"/>
                </v:shape>
                <v:shape id="Elbow Connector 205" o:spid="_x0000_s1050" type="#_x0000_t34" style="position:absolute;left:18555;top:2642;width:6446;height:201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" strokecolor="windowText">
                  <v:stroke endarrow="block"/>
                </v:shape>
                <w10:anchorlock/>
              </v:group>
            </w:pict>
          </mc:Fallback>
        </mc:AlternateContent>
      </w:r>
    </w:p>
    <w:p w14:paraId="3954AE2F" w14:textId="1BF17B7E" w:rsidR="009729BF" w:rsidRPr="00054BBC" w:rsidRDefault="009D521D" w:rsidP="00D76C78">
      <w:pPr>
        <w:pStyle w:val="ListParagraph"/>
        <w:numPr>
          <w:ilvl w:val="0"/>
          <w:numId w:val="9"/>
        </w:numPr>
        <w:spacing w:line="276" w:lineRule="auto"/>
        <w:ind w:right="116"/>
        <w:rPr>
          <w:rFonts w:ascii="Arial" w:hAnsi="Arial" w:cs="Arial"/>
          <w:b/>
          <w:sz w:val="21"/>
          <w:szCs w:val="21"/>
        </w:rPr>
      </w:pPr>
      <w:r w:rsidRPr="00C75046">
        <w:rPr>
          <w:rFonts w:ascii="Arial" w:hAnsi="Arial" w:cs="Arial"/>
          <w:b/>
          <w:sz w:val="21"/>
          <w:szCs w:val="21"/>
        </w:rPr>
        <w:br w:type="page"/>
      </w:r>
    </w:p>
    <w:p w14:paraId="21AD1778" w14:textId="5A34437D" w:rsidR="009D521D" w:rsidRPr="00C90C35" w:rsidRDefault="009D521D" w:rsidP="00D76C78">
      <w:pPr>
        <w:pStyle w:val="ListParagraph"/>
        <w:keepNext/>
        <w:keepLines/>
        <w:numPr>
          <w:ilvl w:val="2"/>
          <w:numId w:val="18"/>
        </w:numPr>
        <w:spacing w:after="60" w:line="276" w:lineRule="auto"/>
        <w:ind w:right="116" w:hanging="720"/>
        <w:rPr>
          <w:rFonts w:ascii="Poppins" w:hAnsi="Poppins" w:cs="Poppins"/>
          <w:bCs/>
          <w:color w:val="29676B" w:themeColor="accent1"/>
          <w:sz w:val="21"/>
          <w:szCs w:val="21"/>
        </w:rPr>
      </w:pPr>
      <w:r w:rsidRPr="00C90C35">
        <w:rPr>
          <w:rFonts w:ascii="Poppins" w:hAnsi="Poppins" w:cs="Poppins"/>
          <w:bCs/>
          <w:color w:val="29676B" w:themeColor="accent1"/>
          <w:sz w:val="21"/>
          <w:szCs w:val="21"/>
        </w:rPr>
        <w:lastRenderedPageBreak/>
        <w:t xml:space="preserve">Returned Vaginal Rings for </w:t>
      </w:r>
      <w:r w:rsidR="00230824" w:rsidRPr="00C90C35">
        <w:rPr>
          <w:rFonts w:ascii="Poppins" w:hAnsi="Poppins" w:cs="Poppins"/>
          <w:bCs/>
          <w:color w:val="29676B" w:themeColor="accent1"/>
          <w:sz w:val="21"/>
          <w:szCs w:val="21"/>
        </w:rPr>
        <w:t>R</w:t>
      </w:r>
      <w:r w:rsidRPr="00C90C35">
        <w:rPr>
          <w:rFonts w:ascii="Poppins" w:hAnsi="Poppins" w:cs="Poppins"/>
          <w:bCs/>
          <w:color w:val="29676B" w:themeColor="accent1"/>
          <w:sz w:val="21"/>
          <w:szCs w:val="21"/>
        </w:rPr>
        <w:t xml:space="preserve">esidual </w:t>
      </w:r>
      <w:r w:rsidR="00230824" w:rsidRPr="00C90C35">
        <w:rPr>
          <w:rFonts w:ascii="Poppins" w:hAnsi="Poppins" w:cs="Poppins"/>
          <w:bCs/>
          <w:color w:val="29676B" w:themeColor="accent1"/>
          <w:sz w:val="21"/>
          <w:szCs w:val="21"/>
        </w:rPr>
        <w:t>D</w:t>
      </w:r>
      <w:r w:rsidRPr="00C90C35">
        <w:rPr>
          <w:rFonts w:ascii="Poppins" w:hAnsi="Poppins" w:cs="Poppins"/>
          <w:bCs/>
          <w:color w:val="29676B" w:themeColor="accent1"/>
          <w:sz w:val="21"/>
          <w:szCs w:val="21"/>
        </w:rPr>
        <w:t xml:space="preserve">rug </w:t>
      </w:r>
      <w:r w:rsidR="00230824" w:rsidRPr="00C90C35">
        <w:rPr>
          <w:rFonts w:ascii="Poppins" w:hAnsi="Poppins" w:cs="Poppins"/>
          <w:bCs/>
          <w:color w:val="29676B" w:themeColor="accent1"/>
          <w:sz w:val="21"/>
          <w:szCs w:val="21"/>
        </w:rPr>
        <w:t>A</w:t>
      </w:r>
      <w:r w:rsidRPr="00C90C35">
        <w:rPr>
          <w:rFonts w:ascii="Poppins" w:hAnsi="Poppins" w:cs="Poppins"/>
          <w:bCs/>
          <w:color w:val="29676B" w:themeColor="accent1"/>
          <w:sz w:val="21"/>
          <w:szCs w:val="21"/>
        </w:rPr>
        <w:t>nalysis</w:t>
      </w:r>
    </w:p>
    <w:p w14:paraId="086A22F3" w14:textId="7698AA87" w:rsidR="009D521D" w:rsidRPr="00C90C35" w:rsidRDefault="009D521D" w:rsidP="00D76C78">
      <w:pPr>
        <w:keepNext/>
        <w:keepLines/>
        <w:spacing w:line="276" w:lineRule="auto"/>
        <w:ind w:right="116"/>
        <w:rPr>
          <w:rFonts w:ascii="Calibri" w:hAnsi="Calibri" w:cs="Calibri"/>
          <w:bCs/>
          <w:color w:val="494641" w:themeColor="text2" w:themeShade="BF"/>
          <w:sz w:val="21"/>
          <w:szCs w:val="21"/>
        </w:rPr>
      </w:pPr>
      <w:r w:rsidRPr="00C90C35">
        <w:rPr>
          <w:rFonts w:ascii="Calibri" w:hAnsi="Calibri" w:cs="Calibri"/>
          <w:bCs/>
          <w:color w:val="494641" w:themeColor="text2" w:themeShade="BF"/>
          <w:sz w:val="21"/>
          <w:szCs w:val="21"/>
        </w:rPr>
        <w:t xml:space="preserve">Vaginal Rings should arrive at the laboratory rinsed and ready for storage. If a ring arrives un-rinsed, refer to section 3 of this manual for guidance on rinsing the ring. </w:t>
      </w:r>
    </w:p>
    <w:p w14:paraId="6ACB7B46" w14:textId="77777777" w:rsidR="009D521D" w:rsidRPr="00C90C35" w:rsidRDefault="009D521D" w:rsidP="00D76C78">
      <w:pPr>
        <w:keepNext/>
        <w:keepLines/>
        <w:spacing w:line="276" w:lineRule="auto"/>
        <w:ind w:right="116"/>
        <w:rPr>
          <w:rFonts w:ascii="Calibri" w:hAnsi="Calibri" w:cs="Calibri"/>
          <w:bCs/>
          <w:color w:val="494641" w:themeColor="text2" w:themeShade="BF"/>
          <w:sz w:val="21"/>
          <w:szCs w:val="21"/>
        </w:rPr>
      </w:pPr>
    </w:p>
    <w:p w14:paraId="3CCDF3C5" w14:textId="60E93E0C" w:rsidR="009D521D" w:rsidRDefault="009D521D" w:rsidP="00D76C78">
      <w:pPr>
        <w:keepNext/>
        <w:keepLines/>
        <w:spacing w:line="276" w:lineRule="auto"/>
        <w:ind w:right="116"/>
        <w:rPr>
          <w:rFonts w:ascii="Calibri" w:hAnsi="Calibri" w:cs="Calibri"/>
          <w:bCs/>
          <w:color w:val="494641" w:themeColor="text2" w:themeShade="BF"/>
          <w:sz w:val="21"/>
          <w:szCs w:val="21"/>
        </w:rPr>
      </w:pPr>
      <w:r w:rsidRPr="00C90C35">
        <w:rPr>
          <w:rFonts w:ascii="Calibri" w:hAnsi="Calibri" w:cs="Calibri"/>
          <w:bCs/>
          <w:color w:val="494641" w:themeColor="text2" w:themeShade="BF"/>
          <w:sz w:val="21"/>
          <w:szCs w:val="21"/>
        </w:rPr>
        <w:t xml:space="preserve">Vaginal rings will be stored at room temperature in the laboratory until the MOSAIC team requests shipment. </w:t>
      </w:r>
    </w:p>
    <w:p w14:paraId="2BD7FC54" w14:textId="77777777" w:rsidR="009729BF" w:rsidRPr="009729BF" w:rsidRDefault="009729BF" w:rsidP="00D76C78">
      <w:pPr>
        <w:keepNext/>
        <w:keepLines/>
        <w:spacing w:line="276" w:lineRule="auto"/>
        <w:ind w:right="116"/>
        <w:rPr>
          <w:rFonts w:ascii="Calibri" w:hAnsi="Calibri" w:cs="Calibri"/>
          <w:bCs/>
          <w:color w:val="494641" w:themeColor="text2" w:themeShade="BF"/>
          <w:sz w:val="21"/>
          <w:szCs w:val="21"/>
        </w:rPr>
      </w:pPr>
    </w:p>
    <w:p w14:paraId="5BEC277C" w14:textId="0A4702C2" w:rsidR="009D521D" w:rsidRPr="00B2413A" w:rsidRDefault="009D521D" w:rsidP="00D76C78">
      <w:pPr>
        <w:pStyle w:val="Heading2"/>
        <w:numPr>
          <w:ilvl w:val="1"/>
          <w:numId w:val="18"/>
        </w:numPr>
        <w:spacing w:after="60" w:line="276" w:lineRule="auto"/>
        <w:ind w:right="116"/>
        <w:rPr>
          <w:rFonts w:ascii="Poppins SemiBold" w:hAnsi="Poppins SemiBold" w:cs="Poppins SemiBold"/>
          <w:bCs/>
          <w:color w:val="29676B" w:themeColor="accent1"/>
          <w:sz w:val="21"/>
          <w:szCs w:val="21"/>
        </w:rPr>
      </w:pPr>
      <w:bookmarkStart w:id="85" w:name="_Toc126249025"/>
      <w:bookmarkStart w:id="86" w:name="_Toc142048273"/>
      <w:r w:rsidRPr="00B2413A">
        <w:rPr>
          <w:rFonts w:ascii="Poppins SemiBold" w:hAnsi="Poppins SemiBold" w:cs="Poppins SemiBold"/>
          <w:bCs/>
          <w:color w:val="29676B" w:themeColor="accent1"/>
          <w:sz w:val="21"/>
          <w:szCs w:val="21"/>
        </w:rPr>
        <w:t>Procedures for Shipment of Samples to Back-up Laboratory</w:t>
      </w:r>
      <w:bookmarkEnd w:id="85"/>
      <w:bookmarkEnd w:id="86"/>
    </w:p>
    <w:p w14:paraId="405C9188" w14:textId="7AA33B8A" w:rsidR="009D521D" w:rsidRDefault="009D521D" w:rsidP="00D76C78">
      <w:pPr>
        <w:spacing w:line="276" w:lineRule="auto"/>
        <w:ind w:right="116"/>
        <w:rPr>
          <w:rFonts w:ascii="Calibri" w:hAnsi="Calibri" w:cs="Calibri"/>
          <w:color w:val="494641" w:themeColor="text2" w:themeShade="BF"/>
          <w:sz w:val="21"/>
          <w:szCs w:val="21"/>
        </w:rPr>
      </w:pPr>
      <w:r w:rsidRPr="00B2413A">
        <w:rPr>
          <w:rFonts w:ascii="Calibri" w:hAnsi="Calibri" w:cs="Calibri"/>
          <w:color w:val="494641" w:themeColor="text2" w:themeShade="BF"/>
          <w:sz w:val="21"/>
          <w:szCs w:val="21"/>
        </w:rPr>
        <w:t xml:space="preserve">The following procedures will be followed once the laboratory is notified to prepare a shipment of MOSAIC samples to a back-up laboratory or laboratory outside the country per study requirements:  </w:t>
      </w:r>
    </w:p>
    <w:p w14:paraId="18DADA53" w14:textId="77777777" w:rsidR="006808B9" w:rsidRPr="006808B9" w:rsidRDefault="006808B9" w:rsidP="00D76C78">
      <w:pPr>
        <w:spacing w:line="276" w:lineRule="auto"/>
        <w:ind w:right="116"/>
        <w:rPr>
          <w:rFonts w:ascii="Calibri" w:hAnsi="Calibri" w:cs="Calibri"/>
          <w:color w:val="494641" w:themeColor="text2" w:themeShade="BF"/>
          <w:sz w:val="12"/>
          <w:szCs w:val="12"/>
        </w:rPr>
      </w:pPr>
    </w:p>
    <w:p w14:paraId="3A47DD75" w14:textId="77777777" w:rsidR="009D521D" w:rsidRPr="006808B9" w:rsidRDefault="009D521D" w:rsidP="00D76C78">
      <w:pPr>
        <w:numPr>
          <w:ilvl w:val="0"/>
          <w:numId w:val="7"/>
        </w:numPr>
        <w:spacing w:line="276" w:lineRule="auto"/>
        <w:ind w:right="116"/>
        <w:rPr>
          <w:rFonts w:ascii="Calibri" w:hAnsi="Calibri" w:cs="Calibri"/>
          <w:color w:val="494641" w:themeColor="text2" w:themeShade="BF"/>
          <w:sz w:val="21"/>
          <w:szCs w:val="21"/>
        </w:rPr>
      </w:pPr>
      <w:r w:rsidRPr="006808B9">
        <w:rPr>
          <w:rFonts w:ascii="Calibri" w:hAnsi="Calibri" w:cs="Calibri"/>
          <w:color w:val="494641" w:themeColor="text2" w:themeShade="BF"/>
          <w:sz w:val="21"/>
          <w:szCs w:val="21"/>
        </w:rPr>
        <w:t>The study PI will seek permission from local IRB as needed prior to sample shipment.</w:t>
      </w:r>
    </w:p>
    <w:p w14:paraId="7A457ECF" w14:textId="77777777" w:rsidR="006808B9" w:rsidRPr="006808B9" w:rsidRDefault="006808B9" w:rsidP="00D76C78">
      <w:pPr>
        <w:spacing w:line="276" w:lineRule="auto"/>
        <w:ind w:left="717" w:right="116"/>
        <w:rPr>
          <w:rFonts w:ascii="Calibri" w:hAnsi="Calibri" w:cs="Calibri"/>
          <w:color w:val="494641" w:themeColor="text2" w:themeShade="BF"/>
          <w:sz w:val="12"/>
          <w:szCs w:val="12"/>
        </w:rPr>
      </w:pPr>
    </w:p>
    <w:p w14:paraId="72079D2E" w14:textId="4D649DA9" w:rsidR="009D521D" w:rsidRPr="006808B9" w:rsidRDefault="009D521D" w:rsidP="00D76C78">
      <w:pPr>
        <w:numPr>
          <w:ilvl w:val="0"/>
          <w:numId w:val="7"/>
        </w:numPr>
        <w:spacing w:line="276" w:lineRule="auto"/>
        <w:ind w:right="116"/>
        <w:rPr>
          <w:rFonts w:ascii="Calibri" w:hAnsi="Calibri" w:cs="Calibri"/>
          <w:color w:val="494641" w:themeColor="text2" w:themeShade="BF"/>
          <w:sz w:val="21"/>
          <w:szCs w:val="21"/>
        </w:rPr>
      </w:pPr>
      <w:r w:rsidRPr="006808B9">
        <w:rPr>
          <w:rFonts w:ascii="Calibri" w:hAnsi="Calibri" w:cs="Calibri"/>
          <w:color w:val="494641" w:themeColor="text2" w:themeShade="BF"/>
          <w:sz w:val="21"/>
          <w:szCs w:val="21"/>
        </w:rPr>
        <w:t xml:space="preserve">Once IRB approved, the </w:t>
      </w:r>
      <w:r w:rsidR="004A1914" w:rsidRPr="006808B9">
        <w:rPr>
          <w:rFonts w:ascii="Calibri" w:hAnsi="Calibri" w:cs="Calibri"/>
          <w:color w:val="494641" w:themeColor="text2" w:themeShade="BF"/>
          <w:sz w:val="21"/>
          <w:szCs w:val="21"/>
        </w:rPr>
        <w:t>[</w:t>
      </w:r>
      <w:r w:rsidRPr="006808B9">
        <w:rPr>
          <w:rFonts w:ascii="Calibri" w:hAnsi="Calibri" w:cs="Calibri"/>
          <w:i/>
          <w:iCs/>
          <w:color w:val="494641" w:themeColor="text2" w:themeShade="BF"/>
          <w:sz w:val="21"/>
          <w:szCs w:val="21"/>
        </w:rPr>
        <w:t>country project manager</w:t>
      </w:r>
      <w:r w:rsidR="004A1914" w:rsidRPr="006808B9">
        <w:rPr>
          <w:rFonts w:ascii="Calibri" w:hAnsi="Calibri" w:cs="Calibri"/>
          <w:color w:val="494641" w:themeColor="text2" w:themeShade="BF"/>
          <w:sz w:val="21"/>
          <w:szCs w:val="21"/>
        </w:rPr>
        <w:t>]</w:t>
      </w:r>
      <w:r w:rsidRPr="006808B9">
        <w:rPr>
          <w:rFonts w:ascii="Calibri" w:hAnsi="Calibri" w:cs="Calibri"/>
          <w:color w:val="494641" w:themeColor="text2" w:themeShade="BF"/>
          <w:sz w:val="21"/>
          <w:szCs w:val="21"/>
        </w:rPr>
        <w:t xml:space="preserve"> will notify the laboratory to initiate shipment.</w:t>
      </w:r>
    </w:p>
    <w:p w14:paraId="012D584B" w14:textId="77777777" w:rsidR="006808B9" w:rsidRPr="006808B9" w:rsidRDefault="006808B9" w:rsidP="00D76C78">
      <w:pPr>
        <w:spacing w:line="276" w:lineRule="auto"/>
        <w:ind w:right="116"/>
        <w:rPr>
          <w:rFonts w:ascii="Calibri" w:hAnsi="Calibri" w:cs="Calibri"/>
          <w:color w:val="494641" w:themeColor="text2" w:themeShade="BF"/>
          <w:sz w:val="12"/>
          <w:szCs w:val="12"/>
        </w:rPr>
      </w:pPr>
    </w:p>
    <w:p w14:paraId="2925D916" w14:textId="77975B5B" w:rsidR="009D521D" w:rsidRPr="006808B9" w:rsidRDefault="009D521D" w:rsidP="00D76C78">
      <w:pPr>
        <w:numPr>
          <w:ilvl w:val="0"/>
          <w:numId w:val="7"/>
        </w:numPr>
        <w:spacing w:line="276" w:lineRule="auto"/>
        <w:ind w:right="116"/>
        <w:rPr>
          <w:rFonts w:ascii="Calibri" w:hAnsi="Calibri" w:cs="Calibri"/>
          <w:color w:val="494641" w:themeColor="text2" w:themeShade="BF"/>
          <w:sz w:val="21"/>
          <w:szCs w:val="21"/>
        </w:rPr>
      </w:pPr>
      <w:proofErr w:type="gramStart"/>
      <w:r w:rsidRPr="006808B9">
        <w:rPr>
          <w:rFonts w:ascii="Calibri" w:hAnsi="Calibri" w:cs="Calibri"/>
          <w:color w:val="494641" w:themeColor="text2" w:themeShade="BF"/>
          <w:sz w:val="21"/>
          <w:szCs w:val="21"/>
        </w:rPr>
        <w:t>The stored DBS (at ≤-70</w:t>
      </w:r>
      <w:r w:rsidRPr="006808B9">
        <w:rPr>
          <w:rFonts w:ascii="Calibri" w:hAnsi="Calibri" w:cs="Calibri"/>
          <w:b/>
          <w:color w:val="494641" w:themeColor="text2" w:themeShade="BF"/>
          <w:sz w:val="21"/>
          <w:szCs w:val="21"/>
        </w:rPr>
        <w:t>°</w:t>
      </w:r>
      <w:r w:rsidRPr="006808B9">
        <w:rPr>
          <w:rFonts w:ascii="Calibri" w:hAnsi="Calibri" w:cs="Calibri"/>
          <w:color w:val="494641" w:themeColor="text2" w:themeShade="BF"/>
          <w:sz w:val="21"/>
          <w:szCs w:val="21"/>
        </w:rPr>
        <w:t>C),</w:t>
      </w:r>
      <w:proofErr w:type="gramEnd"/>
      <w:r w:rsidRPr="006808B9">
        <w:rPr>
          <w:rFonts w:ascii="Calibri" w:hAnsi="Calibri" w:cs="Calibri"/>
          <w:color w:val="494641" w:themeColor="text2" w:themeShade="BF"/>
          <w:sz w:val="21"/>
          <w:szCs w:val="21"/>
        </w:rPr>
        <w:t xml:space="preserve"> will be batched and shipped to </w:t>
      </w:r>
      <w:r w:rsidR="00AB5A58" w:rsidRPr="006808B9">
        <w:rPr>
          <w:rFonts w:ascii="Calibri" w:hAnsi="Calibri" w:cs="Calibri"/>
          <w:color w:val="494641" w:themeColor="text2" w:themeShade="BF"/>
          <w:sz w:val="21"/>
          <w:szCs w:val="21"/>
        </w:rPr>
        <w:t>[</w:t>
      </w:r>
      <w:r w:rsidR="00AB5A58" w:rsidRPr="006808B9">
        <w:rPr>
          <w:rFonts w:ascii="Calibri" w:hAnsi="Calibri" w:cs="Calibri"/>
          <w:i/>
          <w:iCs/>
          <w:color w:val="494641" w:themeColor="text2" w:themeShade="BF"/>
          <w:sz w:val="21"/>
          <w:szCs w:val="21"/>
        </w:rPr>
        <w:t xml:space="preserve">insert country </w:t>
      </w:r>
      <w:r w:rsidRPr="006808B9">
        <w:rPr>
          <w:rFonts w:ascii="Calibri" w:hAnsi="Calibri" w:cs="Calibri"/>
          <w:i/>
          <w:iCs/>
          <w:color w:val="494641" w:themeColor="text2" w:themeShade="BF"/>
          <w:sz w:val="21"/>
          <w:szCs w:val="21"/>
        </w:rPr>
        <w:t>PK laboratory</w:t>
      </w:r>
      <w:r w:rsidR="00AB5A58" w:rsidRPr="006808B9">
        <w:rPr>
          <w:rFonts w:ascii="Calibri" w:hAnsi="Calibri" w:cs="Calibri"/>
          <w:color w:val="494641" w:themeColor="text2" w:themeShade="BF"/>
          <w:sz w:val="21"/>
          <w:szCs w:val="21"/>
        </w:rPr>
        <w:t>]</w:t>
      </w:r>
      <w:r w:rsidR="00490CDE" w:rsidRPr="006808B9">
        <w:rPr>
          <w:rFonts w:ascii="Calibri" w:hAnsi="Calibri" w:cs="Calibri"/>
          <w:color w:val="494641" w:themeColor="text2" w:themeShade="BF"/>
          <w:sz w:val="21"/>
          <w:szCs w:val="21"/>
        </w:rPr>
        <w:t xml:space="preserve"> on </w:t>
      </w:r>
      <w:r w:rsidR="00894E8F" w:rsidRPr="006808B9">
        <w:rPr>
          <w:rFonts w:ascii="Calibri" w:hAnsi="Calibri" w:cs="Calibri"/>
          <w:color w:val="494641" w:themeColor="text2" w:themeShade="BF"/>
          <w:sz w:val="21"/>
          <w:szCs w:val="21"/>
        </w:rPr>
        <w:t>dry ice</w:t>
      </w:r>
      <w:r w:rsidRPr="006808B9">
        <w:rPr>
          <w:rFonts w:ascii="Calibri" w:hAnsi="Calibri" w:cs="Calibri"/>
          <w:color w:val="494641" w:themeColor="text2" w:themeShade="BF"/>
          <w:sz w:val="21"/>
          <w:szCs w:val="21"/>
        </w:rPr>
        <w:t xml:space="preserve">. The used PrEP rings should be batched and shipped to </w:t>
      </w:r>
      <w:r w:rsidR="00AB5A58" w:rsidRPr="006808B9">
        <w:rPr>
          <w:rFonts w:ascii="Calibri" w:hAnsi="Calibri" w:cs="Calibri"/>
          <w:color w:val="494641" w:themeColor="text2" w:themeShade="BF"/>
          <w:sz w:val="21"/>
          <w:szCs w:val="21"/>
        </w:rPr>
        <w:t>[</w:t>
      </w:r>
      <w:r w:rsidR="00AB5A58" w:rsidRPr="006808B9">
        <w:rPr>
          <w:rFonts w:ascii="Calibri" w:hAnsi="Calibri" w:cs="Calibri"/>
          <w:i/>
          <w:iCs/>
          <w:color w:val="494641" w:themeColor="text2" w:themeShade="BF"/>
          <w:sz w:val="21"/>
          <w:szCs w:val="21"/>
        </w:rPr>
        <w:t>insert country laboratory</w:t>
      </w:r>
      <w:r w:rsidR="00AB5A58" w:rsidRPr="006808B9">
        <w:rPr>
          <w:rFonts w:ascii="Calibri" w:hAnsi="Calibri" w:cs="Calibri"/>
          <w:color w:val="494641" w:themeColor="text2" w:themeShade="BF"/>
          <w:sz w:val="21"/>
          <w:szCs w:val="21"/>
        </w:rPr>
        <w:t xml:space="preserve">] </w:t>
      </w:r>
      <w:r w:rsidRPr="006808B9">
        <w:rPr>
          <w:rFonts w:ascii="Calibri" w:hAnsi="Calibri" w:cs="Calibri"/>
          <w:color w:val="494641" w:themeColor="text2" w:themeShade="BF"/>
          <w:sz w:val="21"/>
          <w:szCs w:val="21"/>
        </w:rPr>
        <w:t>in ambient room temperature.</w:t>
      </w:r>
    </w:p>
    <w:p w14:paraId="6E3585F4" w14:textId="77777777" w:rsidR="006808B9" w:rsidRPr="006808B9" w:rsidRDefault="006808B9" w:rsidP="00D76C78">
      <w:pPr>
        <w:spacing w:line="276" w:lineRule="auto"/>
        <w:ind w:right="116"/>
        <w:rPr>
          <w:rFonts w:ascii="Calibri" w:hAnsi="Calibri" w:cs="Calibri"/>
          <w:color w:val="494641" w:themeColor="text2" w:themeShade="BF"/>
          <w:sz w:val="12"/>
          <w:szCs w:val="12"/>
        </w:rPr>
      </w:pPr>
    </w:p>
    <w:p w14:paraId="2C05DFB5" w14:textId="77777777" w:rsidR="009D521D" w:rsidRPr="006808B9" w:rsidRDefault="009D521D" w:rsidP="00D76C78">
      <w:pPr>
        <w:numPr>
          <w:ilvl w:val="0"/>
          <w:numId w:val="7"/>
        </w:numPr>
        <w:spacing w:line="276" w:lineRule="auto"/>
        <w:ind w:left="720" w:right="116"/>
        <w:rPr>
          <w:rFonts w:ascii="Calibri" w:hAnsi="Calibri" w:cs="Calibri"/>
          <w:color w:val="494641" w:themeColor="text2" w:themeShade="BF"/>
          <w:sz w:val="21"/>
          <w:szCs w:val="21"/>
        </w:rPr>
      </w:pPr>
      <w:r w:rsidRPr="006808B9">
        <w:rPr>
          <w:rFonts w:ascii="Calibri" w:hAnsi="Calibri" w:cs="Calibri"/>
          <w:color w:val="494641" w:themeColor="text2" w:themeShade="BF"/>
          <w:sz w:val="21"/>
          <w:szCs w:val="21"/>
        </w:rPr>
        <w:t xml:space="preserve">Once the permission is granted for shipment, the laboratory will ensure that all the correct documents (including the import/export permits for the samples) for the shipment are available and the shipping manifest prepared by the laboratory. </w:t>
      </w:r>
    </w:p>
    <w:p w14:paraId="274FB303" w14:textId="77777777" w:rsidR="006808B9" w:rsidRPr="006808B9" w:rsidRDefault="006808B9" w:rsidP="00D76C78">
      <w:pPr>
        <w:spacing w:line="276" w:lineRule="auto"/>
        <w:ind w:right="116"/>
        <w:rPr>
          <w:rFonts w:ascii="Calibri" w:hAnsi="Calibri" w:cs="Calibri"/>
          <w:color w:val="494641" w:themeColor="text2" w:themeShade="BF"/>
          <w:sz w:val="12"/>
          <w:szCs w:val="12"/>
        </w:rPr>
      </w:pPr>
    </w:p>
    <w:p w14:paraId="7DDCAA02" w14:textId="0B50D4C0" w:rsidR="004A61B1" w:rsidRPr="006808B9" w:rsidRDefault="009D521D" w:rsidP="00D76C78">
      <w:pPr>
        <w:numPr>
          <w:ilvl w:val="0"/>
          <w:numId w:val="7"/>
        </w:numPr>
        <w:spacing w:line="276" w:lineRule="auto"/>
        <w:ind w:left="720" w:right="116"/>
        <w:rPr>
          <w:rFonts w:ascii="Calibri" w:hAnsi="Calibri" w:cs="Calibri"/>
          <w:color w:val="494641" w:themeColor="text2" w:themeShade="BF"/>
          <w:sz w:val="21"/>
          <w:szCs w:val="21"/>
        </w:rPr>
      </w:pPr>
      <w:r w:rsidRPr="006808B9">
        <w:rPr>
          <w:rFonts w:ascii="Calibri" w:hAnsi="Calibri" w:cs="Calibri"/>
          <w:color w:val="494641" w:themeColor="text2" w:themeShade="BF"/>
          <w:sz w:val="21"/>
          <w:szCs w:val="21"/>
        </w:rPr>
        <w:t>The international shipping courier will provide the dry ice and boxes for shipment and the IATA certified Lab Tech will pack the DBS (and/or plasma) samples for shipment.</w:t>
      </w:r>
    </w:p>
    <w:sectPr w:rsidR="004A61B1" w:rsidRPr="006808B9" w:rsidSect="00B44A14">
      <w:headerReference w:type="default" r:id="rId23"/>
      <w:footerReference w:type="default" r:id="rId2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09FC8" w14:textId="77777777" w:rsidR="00621BC3" w:rsidRDefault="00621BC3">
      <w:r>
        <w:separator/>
      </w:r>
    </w:p>
  </w:endnote>
  <w:endnote w:type="continuationSeparator" w:id="0">
    <w:p w14:paraId="26233C29" w14:textId="77777777" w:rsidR="00621BC3" w:rsidRDefault="00621BC3">
      <w:r>
        <w:continuationSeparator/>
      </w:r>
    </w:p>
  </w:endnote>
  <w:endnote w:type="continuationNotice" w:id="1">
    <w:p w14:paraId="79049F22" w14:textId="77777777" w:rsidR="00621BC3" w:rsidRDefault="00621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8655797"/>
      <w:docPartObj>
        <w:docPartGallery w:val="Page Numbers (Bottom of Page)"/>
        <w:docPartUnique/>
      </w:docPartObj>
    </w:sdtPr>
    <w:sdtEndPr>
      <w:rPr>
        <w:rStyle w:val="PageNumber"/>
      </w:rPr>
    </w:sdtEndPr>
    <w:sdtContent>
      <w:p w14:paraId="37772313" w14:textId="5F8593E8" w:rsidR="00EC4D1C" w:rsidRDefault="00EC4D1C" w:rsidP="00E56E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77170664"/>
      <w:docPartObj>
        <w:docPartGallery w:val="Page Numbers (Bottom of Page)"/>
        <w:docPartUnique/>
      </w:docPartObj>
    </w:sdtPr>
    <w:sdtEndPr>
      <w:rPr>
        <w:rStyle w:val="PageNumber"/>
      </w:rPr>
    </w:sdtEndPr>
    <w:sdtContent>
      <w:p w14:paraId="54DF5085" w14:textId="0813A58C" w:rsidR="000B7D21" w:rsidRDefault="000B7D21" w:rsidP="00EC4D1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07AEC" w14:textId="77777777" w:rsidR="00C3635E" w:rsidRDefault="00C3635E" w:rsidP="000B7D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9428615"/>
      <w:docPartObj>
        <w:docPartGallery w:val="Page Numbers (Bottom of Page)"/>
        <w:docPartUnique/>
      </w:docPartObj>
    </w:sdtPr>
    <w:sdtEndPr>
      <w:rPr>
        <w:rStyle w:val="PageNumber"/>
        <w:rFonts w:ascii="Poppins SemiBold" w:hAnsi="Poppins SemiBold" w:cs="Poppins SemiBold"/>
        <w:b/>
        <w:bCs/>
        <w:sz w:val="16"/>
        <w:szCs w:val="16"/>
      </w:rPr>
    </w:sdtEndPr>
    <w:sdtContent>
      <w:p w14:paraId="317E563F" w14:textId="16CB18E4" w:rsidR="000B7D21" w:rsidRDefault="000B7D21" w:rsidP="00063FC9">
        <w:pPr>
          <w:pStyle w:val="Footer"/>
          <w:framePr w:wrap="none" w:vAnchor="text" w:hAnchor="page" w:x="10295" w:y="196"/>
          <w:rPr>
            <w:rStyle w:val="PageNumber"/>
          </w:rPr>
        </w:pPr>
        <w:r w:rsidRPr="000B7D21">
          <w:rPr>
            <w:rStyle w:val="PageNumber"/>
            <w:rFonts w:ascii="Poppins" w:hAnsi="Poppins" w:cs="Poppins"/>
            <w:b/>
            <w:bCs/>
            <w:color w:val="29676B" w:themeColor="accent1"/>
            <w:sz w:val="18"/>
            <w:szCs w:val="18"/>
          </w:rPr>
          <w:fldChar w:fldCharType="begin"/>
        </w:r>
        <w:r w:rsidRPr="000B7D21">
          <w:rPr>
            <w:rStyle w:val="PageNumber"/>
            <w:rFonts w:ascii="Poppins" w:hAnsi="Poppins" w:cs="Poppins"/>
            <w:b/>
            <w:bCs/>
            <w:color w:val="29676B" w:themeColor="accent1"/>
            <w:sz w:val="18"/>
            <w:szCs w:val="18"/>
          </w:rPr>
          <w:instrText xml:space="preserve"> PAGE </w:instrText>
        </w:r>
        <w:r w:rsidRPr="000B7D21">
          <w:rPr>
            <w:rStyle w:val="PageNumber"/>
            <w:rFonts w:ascii="Poppins" w:hAnsi="Poppins" w:cs="Poppins"/>
            <w:b/>
            <w:bCs/>
            <w:color w:val="29676B" w:themeColor="accent1"/>
            <w:sz w:val="18"/>
            <w:szCs w:val="18"/>
          </w:rPr>
          <w:fldChar w:fldCharType="separate"/>
        </w:r>
        <w:r w:rsidRPr="000B7D21">
          <w:rPr>
            <w:rStyle w:val="PageNumber"/>
            <w:rFonts w:ascii="Poppins" w:hAnsi="Poppins" w:cs="Poppins"/>
            <w:b/>
            <w:bCs/>
            <w:noProof/>
            <w:color w:val="29676B" w:themeColor="accent1"/>
            <w:sz w:val="18"/>
            <w:szCs w:val="18"/>
          </w:rPr>
          <w:t>2</w:t>
        </w:r>
        <w:r w:rsidRPr="000B7D21">
          <w:rPr>
            <w:rStyle w:val="PageNumber"/>
            <w:rFonts w:ascii="Poppins" w:hAnsi="Poppins" w:cs="Poppins"/>
            <w:b/>
            <w:bCs/>
            <w:color w:val="29676B" w:themeColor="accent1"/>
            <w:sz w:val="18"/>
            <w:szCs w:val="18"/>
          </w:rPr>
          <w:fldChar w:fldCharType="end"/>
        </w:r>
      </w:p>
    </w:sdtContent>
  </w:sdt>
  <w:p w14:paraId="7DDCAA6F" w14:textId="249C40C6" w:rsidR="009F437D" w:rsidRPr="00D713DF" w:rsidRDefault="00063FC9" w:rsidP="000B7D21">
    <w:pPr>
      <w:pStyle w:val="Footer"/>
      <w:pBdr>
        <w:top w:val="single" w:sz="4" w:space="0" w:color="auto"/>
      </w:pBdr>
      <w:tabs>
        <w:tab w:val="clear" w:pos="4320"/>
        <w:tab w:val="clear" w:pos="8640"/>
        <w:tab w:val="center" w:pos="5040"/>
        <w:tab w:val="right" w:pos="9000"/>
      </w:tabs>
      <w:ind w:right="360"/>
      <w:rPr>
        <w:rFonts w:ascii="Arial Narrow" w:hAnsi="Arial Narrow"/>
        <w:b/>
        <w:sz w:val="20"/>
      </w:rPr>
    </w:pPr>
    <w:r w:rsidRPr="001F5003">
      <w:rPr>
        <w:noProof/>
      </w:rPr>
      <mc:AlternateContent>
        <mc:Choice Requires="wps">
          <w:drawing>
            <wp:anchor distT="0" distB="0" distL="114300" distR="114300" simplePos="0" relativeHeight="251674625" behindDoc="0" locked="0" layoutInCell="1" allowOverlap="1" wp14:anchorId="7A5978D0" wp14:editId="3D869A12">
              <wp:simplePos x="0" y="0"/>
              <wp:positionH relativeFrom="column">
                <wp:posOffset>-91920</wp:posOffset>
              </wp:positionH>
              <wp:positionV relativeFrom="paragraph">
                <wp:posOffset>82224</wp:posOffset>
              </wp:positionV>
              <wp:extent cx="4966447" cy="320040"/>
              <wp:effectExtent l="0" t="0" r="0" b="0"/>
              <wp:wrapNone/>
              <wp:docPr id="846759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6447" cy="320040"/>
                      </a:xfrm>
                      <a:prstGeom prst="rect">
                        <a:avLst/>
                      </a:prstGeom>
                      <a:noFill/>
                      <a:ln w="6350">
                        <a:noFill/>
                      </a:ln>
                    </wps:spPr>
                    <wps:txbx>
                      <w:txbxContent>
                        <w:p w14:paraId="62B2342C" w14:textId="268E871C" w:rsidR="00063FC9" w:rsidRPr="00F377FA" w:rsidRDefault="00063FC9" w:rsidP="00063FC9">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HIVDR Monitoring Studies | Template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A5978D0" id="_x0000_t202" coordsize="21600,21600" o:spt="202" path="m,l,21600r21600,l21600,xe">
              <v:stroke joinstyle="miter"/>
              <v:path gradientshapeok="t" o:connecttype="rect"/>
            </v:shapetype>
            <v:shape id="_x0000_s1052" type="#_x0000_t202" style="position:absolute;margin-left:-7.25pt;margin-top:6.45pt;width:391.05pt;height:25.2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" filled="f" stroked="f" strokeweight=".5pt">
              <v:textbox>
                <w:txbxContent>
                  <w:p w14:paraId="62B2342C" w14:textId="268E871C" w:rsidR="00063FC9" w:rsidRPr="00F377FA" w:rsidRDefault="00063FC9" w:rsidP="00063FC9">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HIVDR Monitoring Studies | Template 1.0</w:t>
                    </w:r>
                  </w:p>
                </w:txbxContent>
              </v:textbox>
            </v:shape>
          </w:pict>
        </mc:Fallback>
      </mc:AlternateContent>
    </w:r>
    <w:r>
      <w:rPr>
        <w:rFonts w:ascii="Arial Narrow" w:hAnsi="Arial Narrow"/>
        <w:b/>
        <w:noProof/>
        <w:sz w:val="20"/>
      </w:rPr>
      <mc:AlternateContent>
        <mc:Choice Requires="wps">
          <w:drawing>
            <wp:anchor distT="0" distB="0" distL="114300" distR="114300" simplePos="0" relativeHeight="251663361" behindDoc="0" locked="0" layoutInCell="1" allowOverlap="1" wp14:anchorId="51F0DE33" wp14:editId="42BF14AC">
              <wp:simplePos x="0" y="0"/>
              <wp:positionH relativeFrom="column">
                <wp:posOffset>-17145</wp:posOffset>
              </wp:positionH>
              <wp:positionV relativeFrom="paragraph">
                <wp:posOffset>-4617</wp:posOffset>
              </wp:positionV>
              <wp:extent cx="5761990" cy="45085"/>
              <wp:effectExtent l="0" t="25400" r="29210" b="0"/>
              <wp:wrapNone/>
              <wp:docPr id="8050429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4508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44258" id="Freeform 7" o:spid="_x0000_s1026" style="position:absolute;margin-left:-1.35pt;margin-top:-.35pt;width:453.7pt;height:3.5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" path="m,l10080,e" filled="f" strokecolor="#29676b [3204]" strokeweight="3.5pt">
              <v:path arrowok="t" o:connecttype="custom" o:connectlocs="0,0;5761990,0" o:connectangles="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B453" w14:textId="64D64487" w:rsidR="00166B5D" w:rsidRDefault="000D58D1">
    <w:pPr>
      <w:pStyle w:val="Footer"/>
    </w:pPr>
    <w:r>
      <w:rPr>
        <w:noProof/>
      </w:rPr>
      <w:drawing>
        <wp:anchor distT="0" distB="0" distL="114300" distR="114300" simplePos="0" relativeHeight="251680769" behindDoc="0" locked="0" layoutInCell="1" allowOverlap="1" wp14:anchorId="14108F69" wp14:editId="4CB04916">
          <wp:simplePos x="0" y="0"/>
          <wp:positionH relativeFrom="column">
            <wp:posOffset>4613685</wp:posOffset>
          </wp:positionH>
          <wp:positionV relativeFrom="paragraph">
            <wp:posOffset>-791845</wp:posOffset>
          </wp:positionV>
          <wp:extent cx="1597025" cy="365125"/>
          <wp:effectExtent l="0" t="0" r="3175" b="3175"/>
          <wp:wrapNone/>
          <wp:docPr id="18" name="Picture 18" descr="A blue and pink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6" descr="A blue and pink 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702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5" behindDoc="0" locked="0" layoutInCell="1" allowOverlap="1" wp14:anchorId="55C961ED" wp14:editId="6586195A">
          <wp:simplePos x="0" y="0"/>
          <wp:positionH relativeFrom="column">
            <wp:posOffset>-360680</wp:posOffset>
          </wp:positionH>
          <wp:positionV relativeFrom="paragraph">
            <wp:posOffset>-971550</wp:posOffset>
          </wp:positionV>
          <wp:extent cx="1122045" cy="661670"/>
          <wp:effectExtent l="0" t="0" r="0" b="0"/>
          <wp:wrapNone/>
          <wp:docPr id="19" name="Picture 19" descr="A logo of the united states department of emergency servic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3" descr="A logo of the united states department of emergency services&#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12204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1" behindDoc="0" locked="0" layoutInCell="1" allowOverlap="1" wp14:anchorId="346300EB" wp14:editId="1EF52465">
          <wp:simplePos x="0" y="0"/>
          <wp:positionH relativeFrom="column">
            <wp:posOffset>1863676</wp:posOffset>
          </wp:positionH>
          <wp:positionV relativeFrom="paragraph">
            <wp:posOffset>-875665</wp:posOffset>
          </wp:positionV>
          <wp:extent cx="1600200" cy="501650"/>
          <wp:effectExtent l="0" t="0" r="0" b="635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80">
      <w:rPr>
        <w:noProof/>
      </w:rPr>
      <mc:AlternateContent>
        <mc:Choice Requires="wps">
          <w:drawing>
            <wp:anchor distT="0" distB="0" distL="114300" distR="114300" simplePos="0" relativeHeight="251682817" behindDoc="0" locked="0" layoutInCell="1" allowOverlap="1" wp14:anchorId="226AA8E9" wp14:editId="0489820D">
              <wp:simplePos x="0" y="0"/>
              <wp:positionH relativeFrom="column">
                <wp:posOffset>-914400</wp:posOffset>
              </wp:positionH>
              <wp:positionV relativeFrom="paragraph">
                <wp:posOffset>-177010</wp:posOffset>
              </wp:positionV>
              <wp:extent cx="7770495" cy="803619"/>
              <wp:effectExtent l="0" t="0" r="1905" b="0"/>
              <wp:wrapNone/>
              <wp:docPr id="71" name="Text Box 71"/>
              <wp:cNvGraphicFramePr/>
              <a:graphic xmlns:a="http://schemas.openxmlformats.org/drawingml/2006/main">
                <a:graphicData uri="http://schemas.microsoft.com/office/word/2010/wordprocessingShape">
                  <wps:wsp>
                    <wps:cNvSpPr txBox="1"/>
                    <wps:spPr>
                      <a:xfrm>
                        <a:off x="0" y="0"/>
                        <a:ext cx="7770495" cy="803619"/>
                      </a:xfrm>
                      <a:prstGeom prst="rect">
                        <a:avLst/>
                      </a:prstGeom>
                      <a:solidFill>
                        <a:schemeClr val="accent6">
                          <a:alpha val="14691"/>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8D2126A" w14:textId="2B57A4AD" w:rsidR="00A14E5E" w:rsidRPr="00E70CA0" w:rsidRDefault="00F53B16" w:rsidP="000D58D1">
                          <w:pPr>
                            <w:pStyle w:val="Disclaimer"/>
                            <w:spacing w:before="60"/>
                            <w:ind w:left="446" w:right="537"/>
                            <w:rPr>
                              <w:rFonts w:ascii="Calibri" w:hAnsi="Calibri" w:cs="Calibri"/>
                              <w:color w:val="29676B" w:themeColor="accent1"/>
                              <w:sz w:val="16"/>
                              <w:szCs w:val="16"/>
                            </w:rPr>
                          </w:pPr>
                          <w:r w:rsidRPr="00E70CA0">
                            <w:rPr>
                              <w:rFonts w:ascii="Calibri" w:hAnsi="Calibri" w:cs="Calibri"/>
                              <w:color w:val="29676B" w:themeColor="accent1"/>
                              <w:sz w:val="16"/>
                              <w:szCs w:val="16"/>
                            </w:rPr>
                            <w:t>MOSAIC</w:t>
                          </w:r>
                          <w:r w:rsidRPr="00E70CA0">
                            <w:rPr>
                              <w:rFonts w:ascii="Calibri" w:hAnsi="Calibri" w:cs="Calibri"/>
                              <w:color w:val="29676B" w:themeColor="accent1"/>
                              <w:kern w:val="24"/>
                              <w:sz w:val="16"/>
                              <w:szCs w:val="16"/>
                            </w:rPr>
                            <w:t xml:space="preserve"> i</w:t>
                          </w:r>
                          <w:r w:rsidRPr="00E70CA0">
                            <w:rPr>
                              <w:rFonts w:ascii="Calibri" w:hAnsi="Calibri" w:cs="Calibri"/>
                              <w:color w:val="29676B" w:themeColor="accent1"/>
                              <w:sz w:val="16"/>
                              <w:szCs w:val="16"/>
                            </w:rPr>
                            <w:t>s made possible by the generous support of the American people through the U.S. President’s Emergency Plan for AIDS Relief (PEPFAR) and the U.S. Agency for International Development (USAID). The contents of this resource are the responsibility of MOSAIC and do not necessarily reflect the views of PEPFAR, USAID, or the U.S. Government. MOSAIC is a global cooperative agreement (Cooperative Agreement 7200AA21CA00011) led by FHI 360 with core partners Wits Reproductive Health and HIV Institute, Pangaea Zimbabwe AIDS Trust, LVCT Health, Jhpiego, and AVAC.</w:t>
                          </w:r>
                        </w:p>
                        <w:p w14:paraId="4E192767" w14:textId="77777777" w:rsidR="00A14E5E" w:rsidRPr="00F53B16" w:rsidRDefault="00A14E5E" w:rsidP="00A14E5E">
                          <w:pPr>
                            <w:spacing w:line="240" w:lineRule="exact"/>
                            <w:rPr>
                              <w:rFonts w:ascii="Calibri" w:hAnsi="Calibri" w:cs="Calibri"/>
                              <w:color w:val="4A2256"/>
                              <w:sz w:val="24"/>
                              <w:szCs w:val="24"/>
                            </w:rPr>
                          </w:pPr>
                        </w:p>
                      </w:txbxContent>
                    </wps:txbx>
                    <wps:bodyPr rot="0" spcFirstLastPara="0" vertOverflow="overflow" horzOverflow="overflow" vert="horz" wrap="square" lIns="228600" tIns="91440" rIns="2743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AA8E9" id="_x0000_t202" coordsize="21600,21600" o:spt="202" path="m,l,21600r21600,l21600,xe">
              <v:stroke joinstyle="miter"/>
              <v:path gradientshapeok="t" o:connecttype="rect"/>
            </v:shapetype>
            <v:shape id="Text Box 71" o:spid="_x0000_s1053" type="#_x0000_t202" style="position:absolute;margin-left:-1in;margin-top:-13.95pt;width:611.85pt;height:63.3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" fillcolor="#16b0b6 [3209]" stroked="f">
              <v:fill opacity="9509f"/>
              <v:textbox inset="18pt,7.2pt,21.6pt,0">
                <w:txbxContent>
                  <w:p w14:paraId="18D2126A" w14:textId="2B57A4AD" w:rsidR="00A14E5E" w:rsidRPr="00E70CA0" w:rsidRDefault="00F53B16" w:rsidP="000D58D1">
                    <w:pPr>
                      <w:pStyle w:val="Disclaimer"/>
                      <w:spacing w:before="60"/>
                      <w:ind w:left="446" w:right="537"/>
                      <w:rPr>
                        <w:rFonts w:ascii="Calibri" w:hAnsi="Calibri" w:cs="Calibri"/>
                        <w:color w:val="29676B" w:themeColor="accent1"/>
                        <w:sz w:val="16"/>
                        <w:szCs w:val="16"/>
                      </w:rPr>
                    </w:pPr>
                    <w:r w:rsidRPr="00E70CA0">
                      <w:rPr>
                        <w:rFonts w:ascii="Calibri" w:hAnsi="Calibri" w:cs="Calibri"/>
                        <w:color w:val="29676B" w:themeColor="accent1"/>
                        <w:sz w:val="16"/>
                        <w:szCs w:val="16"/>
                      </w:rPr>
                      <w:t>MOSAIC</w:t>
                    </w:r>
                    <w:r w:rsidRPr="00E70CA0">
                      <w:rPr>
                        <w:rFonts w:ascii="Calibri" w:hAnsi="Calibri" w:cs="Calibri"/>
                        <w:color w:val="29676B" w:themeColor="accent1"/>
                        <w:kern w:val="24"/>
                        <w:sz w:val="16"/>
                        <w:szCs w:val="16"/>
                      </w:rPr>
                      <w:t xml:space="preserve"> i</w:t>
                    </w:r>
                    <w:r w:rsidRPr="00E70CA0">
                      <w:rPr>
                        <w:rFonts w:ascii="Calibri" w:hAnsi="Calibri" w:cs="Calibri"/>
                        <w:color w:val="29676B" w:themeColor="accent1"/>
                        <w:sz w:val="16"/>
                        <w:szCs w:val="16"/>
                      </w:rPr>
                      <w:t>s made possible by the generous support of the American people through the U.S. President’s Emergency Plan for AIDS Relief (PEPFAR) and the U.S. Agency for International Development (USAID). The contents of this resource are the responsibility of MOSAIC and do not necessarily reflect the views of PEPFAR, USAID, or the U.S. Government. MOSAIC is a global cooperative agreement (Cooperative Agreement 7200AA21CA00011) led by FHI 360 with core partners Wits Reproductive Health and HIV Institute, Pangaea Zimbabwe AIDS Trust, LVCT Health, Jhpiego, and AVAC.</w:t>
                    </w:r>
                  </w:p>
                  <w:p w14:paraId="4E192767" w14:textId="77777777" w:rsidR="00A14E5E" w:rsidRPr="00F53B16" w:rsidRDefault="00A14E5E" w:rsidP="00A14E5E">
                    <w:pPr>
                      <w:spacing w:line="240" w:lineRule="exact"/>
                      <w:rPr>
                        <w:rFonts w:ascii="Calibri" w:hAnsi="Calibri" w:cs="Calibri"/>
                        <w:color w:val="4A2256"/>
                        <w:sz w:val="24"/>
                        <w:szCs w:val="24"/>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oppins SemiBold" w:hAnsi="Poppins SemiBold" w:cs="Poppins SemiBold"/>
        <w:b/>
        <w:bCs/>
        <w:color w:val="29676B" w:themeColor="accent1"/>
        <w:sz w:val="18"/>
        <w:szCs w:val="18"/>
      </w:rPr>
      <w:id w:val="1317232138"/>
      <w:docPartObj>
        <w:docPartGallery w:val="Page Numbers (Bottom of Page)"/>
        <w:docPartUnique/>
      </w:docPartObj>
    </w:sdtPr>
    <w:sdtEndPr>
      <w:rPr>
        <w:rStyle w:val="PageNumber"/>
      </w:rPr>
    </w:sdtEndPr>
    <w:sdtContent>
      <w:p w14:paraId="082C908E" w14:textId="0B83A3C4" w:rsidR="00EC4D1C" w:rsidRPr="00EC4D1C" w:rsidRDefault="00EC4D1C" w:rsidP="00EC4D1C">
        <w:pPr>
          <w:pStyle w:val="Footer"/>
          <w:framePr w:wrap="none" w:vAnchor="text" w:hAnchor="page" w:x="10317" w:y="162"/>
          <w:rPr>
            <w:rStyle w:val="PageNumber"/>
            <w:rFonts w:ascii="Poppins SemiBold" w:hAnsi="Poppins SemiBold" w:cs="Poppins SemiBold"/>
            <w:b/>
            <w:bCs/>
            <w:color w:val="29676B" w:themeColor="accent1"/>
            <w:sz w:val="18"/>
            <w:szCs w:val="18"/>
          </w:rPr>
        </w:pPr>
        <w:r w:rsidRPr="00EC4D1C">
          <w:rPr>
            <w:rStyle w:val="PageNumber"/>
            <w:rFonts w:ascii="Poppins SemiBold" w:hAnsi="Poppins SemiBold" w:cs="Poppins SemiBold"/>
            <w:b/>
            <w:bCs/>
            <w:color w:val="29676B" w:themeColor="accent1"/>
            <w:sz w:val="18"/>
            <w:szCs w:val="18"/>
          </w:rPr>
          <w:fldChar w:fldCharType="begin"/>
        </w:r>
        <w:r w:rsidRPr="00EC4D1C">
          <w:rPr>
            <w:rStyle w:val="PageNumber"/>
            <w:rFonts w:ascii="Poppins SemiBold" w:hAnsi="Poppins SemiBold" w:cs="Poppins SemiBold"/>
            <w:b/>
            <w:bCs/>
            <w:color w:val="29676B" w:themeColor="accent1"/>
            <w:sz w:val="18"/>
            <w:szCs w:val="18"/>
          </w:rPr>
          <w:instrText xml:space="preserve"> PAGE </w:instrText>
        </w:r>
        <w:r w:rsidRPr="00EC4D1C">
          <w:rPr>
            <w:rStyle w:val="PageNumber"/>
            <w:rFonts w:ascii="Poppins SemiBold" w:hAnsi="Poppins SemiBold" w:cs="Poppins SemiBold"/>
            <w:b/>
            <w:bCs/>
            <w:color w:val="29676B" w:themeColor="accent1"/>
            <w:sz w:val="18"/>
            <w:szCs w:val="18"/>
          </w:rPr>
          <w:fldChar w:fldCharType="separate"/>
        </w:r>
        <w:r w:rsidRPr="00EC4D1C">
          <w:rPr>
            <w:rStyle w:val="PageNumber"/>
            <w:rFonts w:ascii="Poppins SemiBold" w:hAnsi="Poppins SemiBold" w:cs="Poppins SemiBold"/>
            <w:b/>
            <w:bCs/>
            <w:noProof/>
            <w:color w:val="29676B" w:themeColor="accent1"/>
            <w:sz w:val="18"/>
            <w:szCs w:val="18"/>
          </w:rPr>
          <w:t>16</w:t>
        </w:r>
        <w:r w:rsidRPr="00EC4D1C">
          <w:rPr>
            <w:rStyle w:val="PageNumber"/>
            <w:rFonts w:ascii="Poppins SemiBold" w:hAnsi="Poppins SemiBold" w:cs="Poppins SemiBold"/>
            <w:b/>
            <w:bCs/>
            <w:color w:val="29676B" w:themeColor="accent1"/>
            <w:sz w:val="18"/>
            <w:szCs w:val="18"/>
          </w:rPr>
          <w:fldChar w:fldCharType="end"/>
        </w:r>
      </w:p>
    </w:sdtContent>
  </w:sdt>
  <w:p w14:paraId="3A66F950" w14:textId="0DCCB1CE" w:rsidR="00D44992" w:rsidRPr="00D713DF" w:rsidRDefault="00EC4D1C" w:rsidP="00EC4D1C">
    <w:pPr>
      <w:pStyle w:val="Footer"/>
      <w:pBdr>
        <w:top w:val="single" w:sz="4" w:space="1" w:color="auto"/>
      </w:pBdr>
      <w:tabs>
        <w:tab w:val="clear" w:pos="4320"/>
        <w:tab w:val="clear" w:pos="8640"/>
        <w:tab w:val="center" w:pos="4500"/>
        <w:tab w:val="right" w:pos="9000"/>
      </w:tabs>
      <w:ind w:right="360"/>
      <w:rPr>
        <w:rFonts w:ascii="Arial Narrow" w:hAnsi="Arial Narrow"/>
        <w:b/>
        <w:sz w:val="20"/>
      </w:rPr>
    </w:pPr>
    <w:r w:rsidRPr="001F5003">
      <w:rPr>
        <w:noProof/>
      </w:rPr>
      <mc:AlternateContent>
        <mc:Choice Requires="wps">
          <w:drawing>
            <wp:anchor distT="0" distB="0" distL="114300" distR="114300" simplePos="0" relativeHeight="251687937" behindDoc="0" locked="0" layoutInCell="1" allowOverlap="1" wp14:anchorId="5C9D7E0B" wp14:editId="08BCB40F">
              <wp:simplePos x="0" y="0"/>
              <wp:positionH relativeFrom="column">
                <wp:posOffset>-77470</wp:posOffset>
              </wp:positionH>
              <wp:positionV relativeFrom="paragraph">
                <wp:posOffset>67945</wp:posOffset>
              </wp:positionV>
              <wp:extent cx="4966335" cy="320040"/>
              <wp:effectExtent l="0" t="0" r="0" b="0"/>
              <wp:wrapNone/>
              <wp:docPr id="11409806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6335" cy="320040"/>
                      </a:xfrm>
                      <a:prstGeom prst="rect">
                        <a:avLst/>
                      </a:prstGeom>
                      <a:noFill/>
                      <a:ln w="6350">
                        <a:noFill/>
                      </a:ln>
                    </wps:spPr>
                    <wps:txbx>
                      <w:txbxContent>
                        <w:p w14:paraId="76145AE4" w14:textId="77777777" w:rsidR="00EC4D1C" w:rsidRPr="00F377FA" w:rsidRDefault="00EC4D1C" w:rsidP="00EC4D1C">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HIVDR Monitoring Studies | Template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C9D7E0B" id="_x0000_t202" coordsize="21600,21600" o:spt="202" path="m,l,21600r21600,l21600,xe">
              <v:stroke joinstyle="miter"/>
              <v:path gradientshapeok="t" o:connecttype="rect"/>
            </v:shapetype>
            <v:shape id="_x0000_s1054" type="#_x0000_t202" style="position:absolute;margin-left:-6.1pt;margin-top:5.35pt;width:391.05pt;height:25.2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" filled="f" stroked="f" strokeweight=".5pt">
              <v:textbox>
                <w:txbxContent>
                  <w:p w14:paraId="76145AE4" w14:textId="77777777" w:rsidR="00EC4D1C" w:rsidRPr="00F377FA" w:rsidRDefault="00EC4D1C" w:rsidP="00EC4D1C">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HIVDR Monitoring Studies | Template 1.0</w:t>
                    </w:r>
                  </w:p>
                </w:txbxContent>
              </v:textbox>
            </v:shape>
          </w:pict>
        </mc:Fallback>
      </mc:AlternateContent>
    </w:r>
    <w:r>
      <w:rPr>
        <w:rFonts w:ascii="Arial Narrow" w:hAnsi="Arial Narrow"/>
        <w:b/>
        <w:noProof/>
        <w:sz w:val="20"/>
      </w:rPr>
      <mc:AlternateContent>
        <mc:Choice Requires="wps">
          <w:drawing>
            <wp:anchor distT="0" distB="0" distL="114300" distR="114300" simplePos="0" relativeHeight="251686913" behindDoc="0" locked="0" layoutInCell="1" allowOverlap="1" wp14:anchorId="1D0EA5EC" wp14:editId="254C3E6A">
              <wp:simplePos x="0" y="0"/>
              <wp:positionH relativeFrom="column">
                <wp:posOffset>-5080</wp:posOffset>
              </wp:positionH>
              <wp:positionV relativeFrom="paragraph">
                <wp:posOffset>7083</wp:posOffset>
              </wp:positionV>
              <wp:extent cx="5761990" cy="45085"/>
              <wp:effectExtent l="0" t="25400" r="29210" b="0"/>
              <wp:wrapNone/>
              <wp:docPr id="10657580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4508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76BF1" id="Freeform 7" o:spid="_x0000_s1026" style="position:absolute;margin-left:-.4pt;margin-top:.55pt;width:453.7pt;height:3.55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" path="m,l10080,e" filled="f" strokecolor="#29676b [3204]" strokeweight="3.5pt">
              <v:path arrowok="t" o:connecttype="custom" o:connectlocs="0,0;5761990,0" o:connectangles="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882C1" w14:textId="77777777" w:rsidR="00621BC3" w:rsidRDefault="00621BC3">
      <w:r>
        <w:separator/>
      </w:r>
    </w:p>
  </w:footnote>
  <w:footnote w:type="continuationSeparator" w:id="0">
    <w:p w14:paraId="2989C50E" w14:textId="77777777" w:rsidR="00621BC3" w:rsidRDefault="00621BC3">
      <w:r>
        <w:continuationSeparator/>
      </w:r>
    </w:p>
  </w:footnote>
  <w:footnote w:type="continuationNotice" w:id="1">
    <w:p w14:paraId="74D97BC5" w14:textId="77777777" w:rsidR="00621BC3" w:rsidRDefault="00621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61E5" w14:textId="085E4C62" w:rsidR="00E9169D" w:rsidRDefault="00FE2741" w:rsidP="00BA7E51">
    <w:pPr>
      <w:pStyle w:val="Header"/>
      <w:jc w:val="center"/>
      <w:rPr>
        <w:rFonts w:ascii="Arial" w:hAnsi="Arial" w:cs="Arial"/>
        <w:sz w:val="24"/>
        <w:szCs w:val="24"/>
      </w:rPr>
    </w:pPr>
    <w:r>
      <w:rPr>
        <w:rFonts w:ascii="Arial" w:hAnsi="Arial" w:cs="Arial"/>
        <w:noProof/>
        <w:sz w:val="24"/>
        <w:szCs w:val="24"/>
      </w:rPr>
      <w:drawing>
        <wp:anchor distT="0" distB="0" distL="114300" distR="114300" simplePos="0" relativeHeight="251658241" behindDoc="0" locked="0" layoutInCell="1" allowOverlap="1" wp14:anchorId="65B291C5" wp14:editId="604BDA10">
          <wp:simplePos x="0" y="0"/>
          <wp:positionH relativeFrom="column">
            <wp:posOffset>-914400</wp:posOffset>
          </wp:positionH>
          <wp:positionV relativeFrom="paragraph">
            <wp:posOffset>-457200</wp:posOffset>
          </wp:positionV>
          <wp:extent cx="7779895" cy="404289"/>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806" name="Picture 51229806"/>
                  <pic:cNvPicPr/>
                </pic:nvPicPr>
                <pic:blipFill>
                  <a:blip r:embed="rId1"/>
                  <a:stretch>
                    <a:fillRect/>
                  </a:stretch>
                </pic:blipFill>
                <pic:spPr>
                  <a:xfrm>
                    <a:off x="0" y="0"/>
                    <a:ext cx="7849457" cy="407904"/>
                  </a:xfrm>
                  <a:prstGeom prst="rect">
                    <a:avLst/>
                  </a:prstGeom>
                </pic:spPr>
              </pic:pic>
            </a:graphicData>
          </a:graphic>
          <wp14:sizeRelH relativeFrom="page">
            <wp14:pctWidth>0</wp14:pctWidth>
          </wp14:sizeRelH>
          <wp14:sizeRelV relativeFrom="page">
            <wp14:pctHeight>0</wp14:pctHeight>
          </wp14:sizeRelV>
        </wp:anchor>
      </w:drawing>
    </w:r>
    <w:r w:rsidR="000B7D21" w:rsidRPr="001F5003">
      <w:rPr>
        <w:noProof/>
      </w:rPr>
      <mc:AlternateContent>
        <mc:Choice Requires="wps">
          <w:drawing>
            <wp:anchor distT="0" distB="0" distL="114300" distR="114300" simplePos="0" relativeHeight="251672577" behindDoc="0" locked="0" layoutInCell="1" allowOverlap="1" wp14:anchorId="6E743D68" wp14:editId="2F8C1AC0">
              <wp:simplePos x="0" y="0"/>
              <wp:positionH relativeFrom="column">
                <wp:posOffset>-1905635</wp:posOffset>
              </wp:positionH>
              <wp:positionV relativeFrom="paragraph">
                <wp:posOffset>-941286</wp:posOffset>
              </wp:positionV>
              <wp:extent cx="3810635" cy="320040"/>
              <wp:effectExtent l="0" t="0" r="0" b="0"/>
              <wp:wrapNone/>
              <wp:docPr id="5804714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635" cy="320040"/>
                      </a:xfrm>
                      <a:prstGeom prst="rect">
                        <a:avLst/>
                      </a:prstGeom>
                      <a:noFill/>
                      <a:ln w="6350">
                        <a:noFill/>
                      </a:ln>
                    </wps:spPr>
                    <wps:txbx>
                      <w:txbxContent>
                        <w:p w14:paraId="5A646D76" w14:textId="7475CE29" w:rsidR="00496ADE" w:rsidRPr="00F377FA" w:rsidRDefault="00496ADE" w:rsidP="00496ADE">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 xml:space="preserve">HIVDR Manual of Procedures </w:t>
                          </w:r>
                          <w:r w:rsidR="002925A8">
                            <w:rPr>
                              <w:rFonts w:ascii="Poppins SemiBold" w:hAnsi="Poppins SemiBold" w:cs="Poppins SemiBold"/>
                              <w:b/>
                              <w:bCs/>
                              <w:caps/>
                              <w:color w:val="05676D"/>
                              <w:spacing w:val="20"/>
                              <w:sz w:val="14"/>
                              <w:szCs w:val="14"/>
                            </w:rPr>
                            <w:t>| Template 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743D68" id="_x0000_t202" coordsize="21600,21600" o:spt="202" path="m,l,21600r21600,l21600,xe">
              <v:stroke joinstyle="miter"/>
              <v:path gradientshapeok="t" o:connecttype="rect"/>
            </v:shapetype>
            <v:shape id="_x0000_s1051" type="#_x0000_t202" style="position:absolute;left:0;text-align:left;margin-left:-150.05pt;margin-top:-74.1pt;width:300.05pt;height:25.2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" filled="f" stroked="f" strokeweight=".5pt">
              <v:textbox>
                <w:txbxContent>
                  <w:p w14:paraId="5A646D76" w14:textId="7475CE29" w:rsidR="00496ADE" w:rsidRPr="00F377FA" w:rsidRDefault="00496ADE" w:rsidP="00496ADE">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Pr>
                        <w:rFonts w:ascii="Poppins SemiBold" w:hAnsi="Poppins SemiBold" w:cs="Poppins SemiBold"/>
                        <w:b/>
                        <w:bCs/>
                        <w:caps/>
                        <w:color w:val="05676D"/>
                        <w:spacing w:val="20"/>
                        <w:sz w:val="14"/>
                        <w:szCs w:val="14"/>
                      </w:rPr>
                      <w:t xml:space="preserve">HIVDR Manual of Procedures </w:t>
                    </w:r>
                    <w:r w:rsidR="002925A8">
                      <w:rPr>
                        <w:rFonts w:ascii="Poppins SemiBold" w:hAnsi="Poppins SemiBold" w:cs="Poppins SemiBold"/>
                        <w:b/>
                        <w:bCs/>
                        <w:caps/>
                        <w:color w:val="05676D"/>
                        <w:spacing w:val="20"/>
                        <w:sz w:val="14"/>
                        <w:szCs w:val="14"/>
                      </w:rPr>
                      <w:t>| Template version 1.0</w:t>
                    </w:r>
                  </w:p>
                </w:txbxContent>
              </v:textbox>
            </v:shape>
          </w:pict>
        </mc:Fallback>
      </mc:AlternateContent>
    </w:r>
    <w:r w:rsidR="00E9169D">
      <w:rPr>
        <w:rFonts w:ascii="Arial" w:hAnsi="Arial" w:cs="Arial"/>
        <w:sz w:val="24"/>
        <w:szCs w:val="24"/>
      </w:rPr>
      <w:t xml:space="preserve"> </w:t>
    </w:r>
  </w:p>
  <w:p w14:paraId="2F2CA7C2" w14:textId="19372568" w:rsidR="006A1A40" w:rsidRPr="00E9169D" w:rsidRDefault="006A1A40" w:rsidP="00FE2741">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2198" w14:textId="2D2E82B7" w:rsidR="00166B5D" w:rsidRDefault="00AE734A">
    <w:pPr>
      <w:pStyle w:val="Header"/>
    </w:pPr>
    <w:r>
      <w:rPr>
        <w:noProof/>
      </w:rPr>
      <w:drawing>
        <wp:anchor distT="0" distB="0" distL="114300" distR="114300" simplePos="0" relativeHeight="251656192" behindDoc="1" locked="0" layoutInCell="1" allowOverlap="1" wp14:anchorId="68D94DE6" wp14:editId="6C0CF6E7">
          <wp:simplePos x="0" y="0"/>
          <wp:positionH relativeFrom="margin">
            <wp:posOffset>-901700</wp:posOffset>
          </wp:positionH>
          <wp:positionV relativeFrom="paragraph">
            <wp:posOffset>-508000</wp:posOffset>
          </wp:positionV>
          <wp:extent cx="7754620" cy="8318500"/>
          <wp:effectExtent l="0" t="0" r="5080" b="0"/>
          <wp:wrapNone/>
          <wp:docPr id="15" name="Picture 15" descr="A screen 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screen shot of a phone&#10;&#10;Description automatically generated"/>
                  <pic:cNvPicPr/>
                </pic:nvPicPr>
                <pic:blipFill rotWithShape="1">
                  <a:blip r:embed="rId1">
                    <a:extLst>
                      <a:ext uri="{28A0092B-C50C-407E-A947-70E740481C1C}">
                        <a14:useLocalDpi xmlns:a14="http://schemas.microsoft.com/office/drawing/2010/main" val="0"/>
                      </a:ext>
                    </a:extLst>
                  </a:blip>
                  <a:srcRect t="26" b="16758"/>
                  <a:stretch/>
                </pic:blipFill>
                <pic:spPr bwMode="auto">
                  <a:xfrm>
                    <a:off x="0" y="0"/>
                    <a:ext cx="7764259" cy="832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B1B7" w14:textId="115A1B9B" w:rsidR="00EF588C" w:rsidRPr="00E9169D" w:rsidRDefault="00EC4D1C">
    <w:pPr>
      <w:pStyle w:val="Header"/>
      <w:rPr>
        <w:rFonts w:ascii="Arial" w:hAnsi="Arial" w:cs="Arial"/>
      </w:rPr>
    </w:pPr>
    <w:r>
      <w:rPr>
        <w:rFonts w:ascii="Arial" w:hAnsi="Arial" w:cs="Arial"/>
        <w:noProof/>
        <w:sz w:val="24"/>
        <w:szCs w:val="24"/>
      </w:rPr>
      <w:drawing>
        <wp:anchor distT="0" distB="0" distL="114300" distR="114300" simplePos="0" relativeHeight="251684865" behindDoc="0" locked="0" layoutInCell="1" allowOverlap="1" wp14:anchorId="48E1B7B0" wp14:editId="29E4370D">
          <wp:simplePos x="0" y="0"/>
          <wp:positionH relativeFrom="column">
            <wp:posOffset>-975946</wp:posOffset>
          </wp:positionH>
          <wp:positionV relativeFrom="paragraph">
            <wp:posOffset>-492369</wp:posOffset>
          </wp:positionV>
          <wp:extent cx="7779895" cy="404289"/>
          <wp:effectExtent l="0" t="0" r="0" b="2540"/>
          <wp:wrapNone/>
          <wp:docPr id="1712990231" name="Picture 171299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9806" name="Picture 51229806"/>
                  <pic:cNvPicPr/>
                </pic:nvPicPr>
                <pic:blipFill>
                  <a:blip r:embed="rId1"/>
                  <a:stretch>
                    <a:fillRect/>
                  </a:stretch>
                </pic:blipFill>
                <pic:spPr>
                  <a:xfrm>
                    <a:off x="0" y="0"/>
                    <a:ext cx="7779895" cy="404289"/>
                  </a:xfrm>
                  <a:prstGeom prst="rect">
                    <a:avLst/>
                  </a:prstGeom>
                </pic:spPr>
              </pic:pic>
            </a:graphicData>
          </a:graphic>
          <wp14:sizeRelH relativeFrom="page">
            <wp14:pctWidth>0</wp14:pctWidth>
          </wp14:sizeRelH>
          <wp14:sizeRelV relativeFrom="page">
            <wp14:pctHeight>0</wp14:pctHeight>
          </wp14:sizeRelV>
        </wp:anchor>
      </w:drawing>
    </w:r>
  </w:p>
  <w:p w14:paraId="71997C64" w14:textId="77777777" w:rsidR="00EF588C" w:rsidRPr="00E9169D" w:rsidRDefault="00EF588C" w:rsidP="00E9169D">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A9C"/>
    <w:multiLevelType w:val="multilevel"/>
    <w:tmpl w:val="510C96DC"/>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ascii="Arial Narrow" w:hAnsi="Arial Narrow" w:hint="default"/>
      </w:rPr>
    </w:lvl>
    <w:lvl w:ilvl="2">
      <w:start w:val="1"/>
      <w:numFmt w:val="decimal"/>
      <w:lvlText w:val="%1.%2.%3"/>
      <w:lvlJc w:val="left"/>
      <w:pPr>
        <w:ind w:left="720" w:hanging="720"/>
      </w:pPr>
      <w:rPr>
        <w:rFonts w:ascii="Arial Narrow" w:hAnsi="Arial Narrow" w:hint="default"/>
      </w:rPr>
    </w:lvl>
    <w:lvl w:ilvl="3">
      <w:start w:val="1"/>
      <w:numFmt w:val="decimal"/>
      <w:lvlText w:val="%1.%2.%3.%4"/>
      <w:lvlJc w:val="left"/>
      <w:pPr>
        <w:ind w:left="720" w:hanging="720"/>
      </w:pPr>
      <w:rPr>
        <w:rFonts w:ascii="Arial Narrow" w:hAnsi="Arial Narrow" w:hint="default"/>
      </w:rPr>
    </w:lvl>
    <w:lvl w:ilvl="4">
      <w:start w:val="1"/>
      <w:numFmt w:val="decimal"/>
      <w:lvlText w:val="%1.%2.%3.%4.%5"/>
      <w:lvlJc w:val="left"/>
      <w:pPr>
        <w:ind w:left="1080" w:hanging="1080"/>
      </w:pPr>
      <w:rPr>
        <w:rFonts w:ascii="Arial Narrow" w:hAnsi="Arial Narrow" w:hint="default"/>
      </w:rPr>
    </w:lvl>
    <w:lvl w:ilvl="5">
      <w:start w:val="1"/>
      <w:numFmt w:val="decimal"/>
      <w:lvlText w:val="%1.%2.%3.%4.%5.%6"/>
      <w:lvlJc w:val="left"/>
      <w:pPr>
        <w:ind w:left="1080" w:hanging="1080"/>
      </w:pPr>
      <w:rPr>
        <w:rFonts w:ascii="Arial Narrow" w:hAnsi="Arial Narrow" w:hint="default"/>
      </w:rPr>
    </w:lvl>
    <w:lvl w:ilvl="6">
      <w:start w:val="1"/>
      <w:numFmt w:val="decimal"/>
      <w:lvlText w:val="%1.%2.%3.%4.%5.%6.%7"/>
      <w:lvlJc w:val="left"/>
      <w:pPr>
        <w:ind w:left="1440" w:hanging="1440"/>
      </w:pPr>
      <w:rPr>
        <w:rFonts w:ascii="Arial Narrow" w:hAnsi="Arial Narrow" w:hint="default"/>
      </w:rPr>
    </w:lvl>
    <w:lvl w:ilvl="7">
      <w:start w:val="1"/>
      <w:numFmt w:val="decimal"/>
      <w:lvlText w:val="%1.%2.%3.%4.%5.%6.%7.%8"/>
      <w:lvlJc w:val="left"/>
      <w:pPr>
        <w:ind w:left="1440" w:hanging="1440"/>
      </w:pPr>
      <w:rPr>
        <w:rFonts w:ascii="Arial Narrow" w:hAnsi="Arial Narrow" w:hint="default"/>
      </w:rPr>
    </w:lvl>
    <w:lvl w:ilvl="8">
      <w:start w:val="1"/>
      <w:numFmt w:val="decimal"/>
      <w:lvlText w:val="%1.%2.%3.%4.%5.%6.%7.%8.%9"/>
      <w:lvlJc w:val="left"/>
      <w:pPr>
        <w:ind w:left="1800" w:hanging="1800"/>
      </w:pPr>
      <w:rPr>
        <w:rFonts w:ascii="Arial Narrow" w:hAnsi="Arial Narrow" w:hint="default"/>
      </w:rPr>
    </w:lvl>
  </w:abstractNum>
  <w:abstractNum w:abstractNumId="1" w15:restartNumberingAfterBreak="0">
    <w:nsid w:val="01A0739B"/>
    <w:multiLevelType w:val="hybridMultilevel"/>
    <w:tmpl w:val="064002F6"/>
    <w:lvl w:ilvl="0" w:tplc="07C8F7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44DA9"/>
    <w:multiLevelType w:val="multilevel"/>
    <w:tmpl w:val="E0ACCBCA"/>
    <w:lvl w:ilvl="0">
      <w:start w:val="4"/>
      <w:numFmt w:val="decimal"/>
      <w:lvlText w:val="%1"/>
      <w:lvlJc w:val="left"/>
      <w:pPr>
        <w:tabs>
          <w:tab w:val="num" w:pos="720"/>
        </w:tabs>
        <w:ind w:left="720" w:hanging="720"/>
      </w:pPr>
      <w:rPr>
        <w:rFonts w:cs="Times New Roman" w:hint="default"/>
      </w:rPr>
    </w:lvl>
    <w:lvl w:ilvl="1">
      <w:start w:val="1"/>
      <w:numFmt w:val="decimal"/>
      <w:pStyle w:val="Heading2"/>
      <w:lvlText w:val="%1.%2"/>
      <w:lvlJc w:val="left"/>
      <w:pPr>
        <w:tabs>
          <w:tab w:val="num" w:pos="720"/>
        </w:tabs>
        <w:ind w:left="720" w:hanging="720"/>
      </w:pPr>
      <w:rPr>
        <w:rFonts w:ascii="Poppins SemiBold" w:hAnsi="Poppins SemiBold" w:cs="Poppins SemiBold" w:hint="default"/>
        <w:b/>
        <w:bCs/>
        <w:i w:val="0"/>
        <w:iCs w:val="0"/>
      </w:rPr>
    </w:lvl>
    <w:lvl w:ilvl="2">
      <w:start w:val="1"/>
      <w:numFmt w:val="decimal"/>
      <w:lvlText w:val="%1.%2.%3"/>
      <w:lvlJc w:val="left"/>
      <w:pPr>
        <w:tabs>
          <w:tab w:val="num" w:pos="1440"/>
        </w:tabs>
        <w:ind w:left="720" w:firstLine="0"/>
      </w:pPr>
      <w:rPr>
        <w:rFonts w:ascii="Poppins" w:hAnsi="Poppins" w:cs="Poppins" w:hint="default"/>
        <w:b w:val="0"/>
        <w:bCs w:val="0"/>
        <w:i w:val="0"/>
        <w:iCs w:val="0"/>
        <w:color w:val="29676B" w:themeColor="accen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15:restartNumberingAfterBreak="0">
    <w:nsid w:val="04FB3DB0"/>
    <w:multiLevelType w:val="hybridMultilevel"/>
    <w:tmpl w:val="1BFE67AE"/>
    <w:lvl w:ilvl="0" w:tplc="E5BCE420">
      <w:start w:val="1"/>
      <w:numFmt w:val="decimal"/>
      <w:lvlText w:val="%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15:restartNumberingAfterBreak="0">
    <w:nsid w:val="08957C61"/>
    <w:multiLevelType w:val="hybridMultilevel"/>
    <w:tmpl w:val="FEC8EEA0"/>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2E4E37"/>
    <w:multiLevelType w:val="hybridMultilevel"/>
    <w:tmpl w:val="0FEAFCD0"/>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DE0F6E"/>
    <w:multiLevelType w:val="hybridMultilevel"/>
    <w:tmpl w:val="9CF4B2C8"/>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C71F04"/>
    <w:multiLevelType w:val="hybridMultilevel"/>
    <w:tmpl w:val="CA1AC95E"/>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0E35B8"/>
    <w:multiLevelType w:val="hybridMultilevel"/>
    <w:tmpl w:val="EF820CEE"/>
    <w:lvl w:ilvl="0" w:tplc="FFFFFFFF">
      <w:start w:val="1"/>
      <w:numFmt w:val="bullet"/>
      <w:pStyle w:val="Bullet3"/>
      <w:lvlText w:val=""/>
      <w:lvlJc w:val="left"/>
      <w:pPr>
        <w:tabs>
          <w:tab w:val="num" w:pos="1800"/>
        </w:tabs>
        <w:ind w:left="1800" w:hanging="360"/>
      </w:pPr>
      <w:rPr>
        <w:rFonts w:ascii="Symbol" w:hAnsi="Symbol" w:hint="default"/>
      </w:rPr>
    </w:lvl>
    <w:lvl w:ilvl="1" w:tplc="FFFFFFFF">
      <w:start w:val="1"/>
      <w:numFmt w:val="bullet"/>
      <w:lvlText w:val=""/>
      <w:lvlJc w:val="left"/>
      <w:pPr>
        <w:tabs>
          <w:tab w:val="num" w:pos="2520"/>
        </w:tabs>
        <w:ind w:left="2520" w:hanging="360"/>
      </w:pPr>
      <w:rPr>
        <w:rFonts w:ascii="Symbol" w:hAnsi="Symbo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9504957"/>
    <w:multiLevelType w:val="hybridMultilevel"/>
    <w:tmpl w:val="50B0DD16"/>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DC6DB1"/>
    <w:multiLevelType w:val="hybridMultilevel"/>
    <w:tmpl w:val="D18208EE"/>
    <w:lvl w:ilvl="0" w:tplc="FF4CC6D4">
      <w:start w:val="1"/>
      <w:numFmt w:val="decimal"/>
      <w:lvlText w:val="%1."/>
      <w:lvlJc w:val="left"/>
      <w:pPr>
        <w:ind w:left="720" w:hanging="360"/>
      </w:pPr>
      <w:rPr>
        <w:color w:val="494641" w:themeColor="text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917C6"/>
    <w:multiLevelType w:val="hybridMultilevel"/>
    <w:tmpl w:val="FAB6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F4F8A"/>
    <w:multiLevelType w:val="multilevel"/>
    <w:tmpl w:val="3C20089C"/>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ascii="Poppins SemiBold" w:hAnsi="Poppins SemiBold" w:cs="Poppins SemiBold" w:hint="default"/>
        <w:b/>
        <w:bCs/>
        <w:i w:val="0"/>
        <w:iCs w:val="0"/>
        <w:color w:val="29676B" w:themeColor="accent1"/>
        <w:sz w:val="21"/>
        <w:szCs w:val="21"/>
      </w:rPr>
    </w:lvl>
    <w:lvl w:ilvl="2">
      <w:start w:val="1"/>
      <w:numFmt w:val="decimal"/>
      <w:lvlText w:val="%1.%2.%3"/>
      <w:lvlJc w:val="left"/>
      <w:pPr>
        <w:ind w:left="720" w:hanging="720"/>
      </w:pPr>
      <w:rPr>
        <w:rFonts w:ascii="Arial Narrow" w:hAnsi="Arial Narrow" w:hint="default"/>
      </w:rPr>
    </w:lvl>
    <w:lvl w:ilvl="3">
      <w:start w:val="1"/>
      <w:numFmt w:val="decimal"/>
      <w:lvlText w:val="%1.%2.%3.%4"/>
      <w:lvlJc w:val="left"/>
      <w:pPr>
        <w:ind w:left="720" w:hanging="720"/>
      </w:pPr>
      <w:rPr>
        <w:rFonts w:ascii="Arial Narrow" w:hAnsi="Arial Narrow" w:hint="default"/>
      </w:rPr>
    </w:lvl>
    <w:lvl w:ilvl="4">
      <w:start w:val="1"/>
      <w:numFmt w:val="decimal"/>
      <w:lvlText w:val="%1.%2.%3.%4.%5"/>
      <w:lvlJc w:val="left"/>
      <w:pPr>
        <w:ind w:left="1080" w:hanging="1080"/>
      </w:pPr>
      <w:rPr>
        <w:rFonts w:ascii="Arial Narrow" w:hAnsi="Arial Narrow" w:hint="default"/>
      </w:rPr>
    </w:lvl>
    <w:lvl w:ilvl="5">
      <w:start w:val="1"/>
      <w:numFmt w:val="decimal"/>
      <w:lvlText w:val="%1.%2.%3.%4.%5.%6"/>
      <w:lvlJc w:val="left"/>
      <w:pPr>
        <w:ind w:left="1080" w:hanging="1080"/>
      </w:pPr>
      <w:rPr>
        <w:rFonts w:ascii="Arial Narrow" w:hAnsi="Arial Narrow" w:hint="default"/>
      </w:rPr>
    </w:lvl>
    <w:lvl w:ilvl="6">
      <w:start w:val="1"/>
      <w:numFmt w:val="decimal"/>
      <w:lvlText w:val="%1.%2.%3.%4.%5.%6.%7"/>
      <w:lvlJc w:val="left"/>
      <w:pPr>
        <w:ind w:left="1440" w:hanging="1440"/>
      </w:pPr>
      <w:rPr>
        <w:rFonts w:ascii="Arial Narrow" w:hAnsi="Arial Narrow" w:hint="default"/>
      </w:rPr>
    </w:lvl>
    <w:lvl w:ilvl="7">
      <w:start w:val="1"/>
      <w:numFmt w:val="decimal"/>
      <w:lvlText w:val="%1.%2.%3.%4.%5.%6.%7.%8"/>
      <w:lvlJc w:val="left"/>
      <w:pPr>
        <w:ind w:left="1440" w:hanging="1440"/>
      </w:pPr>
      <w:rPr>
        <w:rFonts w:ascii="Arial Narrow" w:hAnsi="Arial Narrow" w:hint="default"/>
      </w:rPr>
    </w:lvl>
    <w:lvl w:ilvl="8">
      <w:start w:val="1"/>
      <w:numFmt w:val="decimal"/>
      <w:lvlText w:val="%1.%2.%3.%4.%5.%6.%7.%8.%9"/>
      <w:lvlJc w:val="left"/>
      <w:pPr>
        <w:ind w:left="1800" w:hanging="1800"/>
      </w:pPr>
      <w:rPr>
        <w:rFonts w:ascii="Arial Narrow" w:hAnsi="Arial Narrow" w:hint="default"/>
      </w:rPr>
    </w:lvl>
  </w:abstractNum>
  <w:abstractNum w:abstractNumId="13" w15:restartNumberingAfterBreak="0">
    <w:nsid w:val="289F20F8"/>
    <w:multiLevelType w:val="hybridMultilevel"/>
    <w:tmpl w:val="E0825806"/>
    <w:lvl w:ilvl="0" w:tplc="68A4C862">
      <w:start w:val="1"/>
      <w:numFmt w:val="bullet"/>
      <w:lvlText w:val=""/>
      <w:lvlJc w:val="left"/>
      <w:pPr>
        <w:ind w:left="720" w:hanging="360"/>
      </w:pPr>
      <w:rPr>
        <w:rFonts w:ascii="Symbol" w:hAnsi="Symbol" w:cs="Symbol" w:hint="default"/>
        <w:color w:val="05676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85CEA"/>
    <w:multiLevelType w:val="hybridMultilevel"/>
    <w:tmpl w:val="538CB776"/>
    <w:lvl w:ilvl="0" w:tplc="E14EF7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75483"/>
    <w:multiLevelType w:val="hybridMultilevel"/>
    <w:tmpl w:val="7FBCE942"/>
    <w:lvl w:ilvl="0" w:tplc="BA1E9C94">
      <w:start w:val="1"/>
      <w:numFmt w:val="decimal"/>
      <w:lvlText w:val="%1."/>
      <w:lvlJc w:val="left"/>
      <w:pPr>
        <w:ind w:left="720" w:hanging="360"/>
      </w:pPr>
      <w:rPr>
        <w:rFonts w:hint="default"/>
        <w:color w:val="494641" w:themeColor="text2" w:themeShade="BF"/>
      </w:rPr>
    </w:lvl>
    <w:lvl w:ilvl="1" w:tplc="27069BD8">
      <w:start w:val="1"/>
      <w:numFmt w:val="lowerLetter"/>
      <w:lvlText w:val="%2."/>
      <w:lvlJc w:val="left"/>
      <w:pPr>
        <w:ind w:left="1440" w:hanging="360"/>
      </w:pPr>
      <w:rPr>
        <w:sz w:val="21"/>
        <w:szCs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D5C85"/>
    <w:multiLevelType w:val="hybridMultilevel"/>
    <w:tmpl w:val="F80C7F4E"/>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32E38CD"/>
    <w:multiLevelType w:val="hybridMultilevel"/>
    <w:tmpl w:val="0B46BE34"/>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FC7ABB"/>
    <w:multiLevelType w:val="hybridMultilevel"/>
    <w:tmpl w:val="2BDABD62"/>
    <w:lvl w:ilvl="0" w:tplc="4972FAA0">
      <w:start w:val="1"/>
      <w:numFmt w:val="decimal"/>
      <w:pStyle w:val="Heading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EF368C"/>
    <w:multiLevelType w:val="hybridMultilevel"/>
    <w:tmpl w:val="8C48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6599D"/>
    <w:multiLevelType w:val="hybridMultilevel"/>
    <w:tmpl w:val="59188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14681E"/>
    <w:multiLevelType w:val="hybridMultilevel"/>
    <w:tmpl w:val="33E8B1FE"/>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2834CF3"/>
    <w:multiLevelType w:val="hybridMultilevel"/>
    <w:tmpl w:val="06EE4DA4"/>
    <w:lvl w:ilvl="0" w:tplc="68A4C862">
      <w:start w:val="1"/>
      <w:numFmt w:val="bullet"/>
      <w:lvlText w:val=""/>
      <w:lvlJc w:val="left"/>
      <w:pPr>
        <w:ind w:left="648" w:hanging="360"/>
      </w:pPr>
      <w:rPr>
        <w:rFonts w:ascii="Symbol" w:hAnsi="Symbol" w:cs="Symbol" w:hint="default"/>
        <w:color w:val="05676D"/>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3" w15:restartNumberingAfterBreak="0">
    <w:nsid w:val="45936AD9"/>
    <w:multiLevelType w:val="hybridMultilevel"/>
    <w:tmpl w:val="CA36FC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A153EAB"/>
    <w:multiLevelType w:val="hybridMultilevel"/>
    <w:tmpl w:val="CC8251E0"/>
    <w:lvl w:ilvl="0" w:tplc="68A4C862">
      <w:start w:val="1"/>
      <w:numFmt w:val="bullet"/>
      <w:lvlText w:val=""/>
      <w:lvlJc w:val="left"/>
      <w:pPr>
        <w:ind w:left="648" w:hanging="360"/>
      </w:pPr>
      <w:rPr>
        <w:rFonts w:ascii="Symbol" w:hAnsi="Symbol" w:cs="Symbol" w:hint="default"/>
        <w:color w:val="05676D"/>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5" w15:restartNumberingAfterBreak="0">
    <w:nsid w:val="4AB40EEE"/>
    <w:multiLevelType w:val="hybridMultilevel"/>
    <w:tmpl w:val="C200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47DED"/>
    <w:multiLevelType w:val="hybridMultilevel"/>
    <w:tmpl w:val="8A68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83AD2"/>
    <w:multiLevelType w:val="hybridMultilevel"/>
    <w:tmpl w:val="0916FDBC"/>
    <w:lvl w:ilvl="0" w:tplc="66508E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4649B"/>
    <w:multiLevelType w:val="hybridMultilevel"/>
    <w:tmpl w:val="8BF83354"/>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F141C2"/>
    <w:multiLevelType w:val="hybridMultilevel"/>
    <w:tmpl w:val="CEAA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302B62"/>
    <w:multiLevelType w:val="hybridMultilevel"/>
    <w:tmpl w:val="D5D87F68"/>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0F678A6"/>
    <w:multiLevelType w:val="hybridMultilevel"/>
    <w:tmpl w:val="0CA8E692"/>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2" w15:restartNumberingAfterBreak="0">
    <w:nsid w:val="6463047C"/>
    <w:multiLevelType w:val="hybridMultilevel"/>
    <w:tmpl w:val="563A5BE6"/>
    <w:lvl w:ilvl="0" w:tplc="68A4C862">
      <w:start w:val="1"/>
      <w:numFmt w:val="bullet"/>
      <w:lvlText w:val=""/>
      <w:lvlJc w:val="left"/>
      <w:pPr>
        <w:ind w:left="834" w:hanging="360"/>
      </w:pPr>
      <w:rPr>
        <w:rFonts w:ascii="Symbol" w:hAnsi="Symbol" w:cs="Symbol" w:hint="default"/>
        <w:color w:val="05676D"/>
      </w:rPr>
    </w:lvl>
    <w:lvl w:ilvl="1" w:tplc="FFFFFFFF" w:tentative="1">
      <w:start w:val="1"/>
      <w:numFmt w:val="bullet"/>
      <w:lvlText w:val="o"/>
      <w:lvlJc w:val="left"/>
      <w:pPr>
        <w:ind w:left="1554" w:hanging="360"/>
      </w:pPr>
      <w:rPr>
        <w:rFonts w:ascii="Courier New" w:hAnsi="Courier New" w:cs="Courier New" w:hint="default"/>
      </w:rPr>
    </w:lvl>
    <w:lvl w:ilvl="2" w:tplc="FFFFFFFF" w:tentative="1">
      <w:start w:val="1"/>
      <w:numFmt w:val="bullet"/>
      <w:lvlText w:val=""/>
      <w:lvlJc w:val="left"/>
      <w:pPr>
        <w:ind w:left="2274" w:hanging="360"/>
      </w:pPr>
      <w:rPr>
        <w:rFonts w:ascii="Wingdings" w:hAnsi="Wingdings" w:hint="default"/>
      </w:rPr>
    </w:lvl>
    <w:lvl w:ilvl="3" w:tplc="FFFFFFFF" w:tentative="1">
      <w:start w:val="1"/>
      <w:numFmt w:val="bullet"/>
      <w:lvlText w:val=""/>
      <w:lvlJc w:val="left"/>
      <w:pPr>
        <w:ind w:left="2994" w:hanging="360"/>
      </w:pPr>
      <w:rPr>
        <w:rFonts w:ascii="Symbol" w:hAnsi="Symbol" w:hint="default"/>
      </w:rPr>
    </w:lvl>
    <w:lvl w:ilvl="4" w:tplc="FFFFFFFF" w:tentative="1">
      <w:start w:val="1"/>
      <w:numFmt w:val="bullet"/>
      <w:lvlText w:val="o"/>
      <w:lvlJc w:val="left"/>
      <w:pPr>
        <w:ind w:left="3714" w:hanging="360"/>
      </w:pPr>
      <w:rPr>
        <w:rFonts w:ascii="Courier New" w:hAnsi="Courier New" w:cs="Courier New" w:hint="default"/>
      </w:rPr>
    </w:lvl>
    <w:lvl w:ilvl="5" w:tplc="FFFFFFFF" w:tentative="1">
      <w:start w:val="1"/>
      <w:numFmt w:val="bullet"/>
      <w:lvlText w:val=""/>
      <w:lvlJc w:val="left"/>
      <w:pPr>
        <w:ind w:left="4434" w:hanging="360"/>
      </w:pPr>
      <w:rPr>
        <w:rFonts w:ascii="Wingdings" w:hAnsi="Wingdings" w:hint="default"/>
      </w:rPr>
    </w:lvl>
    <w:lvl w:ilvl="6" w:tplc="FFFFFFFF" w:tentative="1">
      <w:start w:val="1"/>
      <w:numFmt w:val="bullet"/>
      <w:lvlText w:val=""/>
      <w:lvlJc w:val="left"/>
      <w:pPr>
        <w:ind w:left="5154" w:hanging="360"/>
      </w:pPr>
      <w:rPr>
        <w:rFonts w:ascii="Symbol" w:hAnsi="Symbol" w:hint="default"/>
      </w:rPr>
    </w:lvl>
    <w:lvl w:ilvl="7" w:tplc="FFFFFFFF" w:tentative="1">
      <w:start w:val="1"/>
      <w:numFmt w:val="bullet"/>
      <w:lvlText w:val="o"/>
      <w:lvlJc w:val="left"/>
      <w:pPr>
        <w:ind w:left="5874" w:hanging="360"/>
      </w:pPr>
      <w:rPr>
        <w:rFonts w:ascii="Courier New" w:hAnsi="Courier New" w:cs="Courier New" w:hint="default"/>
      </w:rPr>
    </w:lvl>
    <w:lvl w:ilvl="8" w:tplc="FFFFFFFF" w:tentative="1">
      <w:start w:val="1"/>
      <w:numFmt w:val="bullet"/>
      <w:lvlText w:val=""/>
      <w:lvlJc w:val="left"/>
      <w:pPr>
        <w:ind w:left="6594" w:hanging="360"/>
      </w:pPr>
      <w:rPr>
        <w:rFonts w:ascii="Wingdings" w:hAnsi="Wingdings" w:hint="default"/>
      </w:rPr>
    </w:lvl>
  </w:abstractNum>
  <w:abstractNum w:abstractNumId="33" w15:restartNumberingAfterBreak="0">
    <w:nsid w:val="66A62CB6"/>
    <w:multiLevelType w:val="hybridMultilevel"/>
    <w:tmpl w:val="6A1E63C4"/>
    <w:lvl w:ilvl="0" w:tplc="68A4C862">
      <w:start w:val="1"/>
      <w:numFmt w:val="bullet"/>
      <w:lvlText w:val=""/>
      <w:lvlJc w:val="left"/>
      <w:pPr>
        <w:ind w:left="720" w:hanging="360"/>
      </w:pPr>
      <w:rPr>
        <w:rFonts w:ascii="Symbol" w:hAnsi="Symbol" w:cs="Symbol"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D33721"/>
    <w:multiLevelType w:val="hybridMultilevel"/>
    <w:tmpl w:val="95B01F82"/>
    <w:lvl w:ilvl="0" w:tplc="68A4C862">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220AFF"/>
    <w:multiLevelType w:val="hybridMultilevel"/>
    <w:tmpl w:val="6610FCBC"/>
    <w:lvl w:ilvl="0" w:tplc="68A4C862">
      <w:start w:val="1"/>
      <w:numFmt w:val="bullet"/>
      <w:lvlText w:val=""/>
      <w:lvlJc w:val="left"/>
      <w:pPr>
        <w:ind w:left="720" w:hanging="360"/>
      </w:pPr>
      <w:rPr>
        <w:rFonts w:ascii="Symbol" w:hAnsi="Symbol" w:cs="Symbol"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5D1DCF"/>
    <w:multiLevelType w:val="hybridMultilevel"/>
    <w:tmpl w:val="CF663B10"/>
    <w:lvl w:ilvl="0" w:tplc="5DFACCF2">
      <w:start w:val="1"/>
      <w:numFmt w:val="bullet"/>
      <w:lvlText w:val=""/>
      <w:lvlJc w:val="left"/>
      <w:pPr>
        <w:ind w:left="720" w:hanging="360"/>
      </w:pPr>
      <w:rPr>
        <w:rFonts w:ascii="Symbol" w:hAnsi="Symbol" w:hint="default"/>
        <w:color w:val="005CB9"/>
        <w:u w:color="005C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07562"/>
    <w:multiLevelType w:val="hybridMultilevel"/>
    <w:tmpl w:val="1B80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9645F"/>
    <w:multiLevelType w:val="hybridMultilevel"/>
    <w:tmpl w:val="C33A147A"/>
    <w:lvl w:ilvl="0" w:tplc="5D76E3E8">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37DE4"/>
    <w:multiLevelType w:val="hybridMultilevel"/>
    <w:tmpl w:val="5E8219A4"/>
    <w:lvl w:ilvl="0" w:tplc="68A4C862">
      <w:start w:val="1"/>
      <w:numFmt w:val="bullet"/>
      <w:lvlText w:val=""/>
      <w:lvlJc w:val="left"/>
      <w:pPr>
        <w:ind w:left="834" w:hanging="360"/>
      </w:pPr>
      <w:rPr>
        <w:rFonts w:ascii="Symbol" w:hAnsi="Symbol" w:cs="Symbol" w:hint="default"/>
        <w:color w:val="05676D"/>
      </w:rPr>
    </w:lvl>
    <w:lvl w:ilvl="1" w:tplc="FFFFFFFF" w:tentative="1">
      <w:start w:val="1"/>
      <w:numFmt w:val="bullet"/>
      <w:lvlText w:val="o"/>
      <w:lvlJc w:val="left"/>
      <w:pPr>
        <w:ind w:left="1554" w:hanging="360"/>
      </w:pPr>
      <w:rPr>
        <w:rFonts w:ascii="Courier New" w:hAnsi="Courier New" w:cs="Courier New" w:hint="default"/>
      </w:rPr>
    </w:lvl>
    <w:lvl w:ilvl="2" w:tplc="FFFFFFFF" w:tentative="1">
      <w:start w:val="1"/>
      <w:numFmt w:val="bullet"/>
      <w:lvlText w:val=""/>
      <w:lvlJc w:val="left"/>
      <w:pPr>
        <w:ind w:left="2274" w:hanging="360"/>
      </w:pPr>
      <w:rPr>
        <w:rFonts w:ascii="Wingdings" w:hAnsi="Wingdings" w:hint="default"/>
      </w:rPr>
    </w:lvl>
    <w:lvl w:ilvl="3" w:tplc="FFFFFFFF" w:tentative="1">
      <w:start w:val="1"/>
      <w:numFmt w:val="bullet"/>
      <w:lvlText w:val=""/>
      <w:lvlJc w:val="left"/>
      <w:pPr>
        <w:ind w:left="2994" w:hanging="360"/>
      </w:pPr>
      <w:rPr>
        <w:rFonts w:ascii="Symbol" w:hAnsi="Symbol" w:hint="default"/>
      </w:rPr>
    </w:lvl>
    <w:lvl w:ilvl="4" w:tplc="FFFFFFFF" w:tentative="1">
      <w:start w:val="1"/>
      <w:numFmt w:val="bullet"/>
      <w:lvlText w:val="o"/>
      <w:lvlJc w:val="left"/>
      <w:pPr>
        <w:ind w:left="3714" w:hanging="360"/>
      </w:pPr>
      <w:rPr>
        <w:rFonts w:ascii="Courier New" w:hAnsi="Courier New" w:cs="Courier New" w:hint="default"/>
      </w:rPr>
    </w:lvl>
    <w:lvl w:ilvl="5" w:tplc="FFFFFFFF" w:tentative="1">
      <w:start w:val="1"/>
      <w:numFmt w:val="bullet"/>
      <w:lvlText w:val=""/>
      <w:lvlJc w:val="left"/>
      <w:pPr>
        <w:ind w:left="4434" w:hanging="360"/>
      </w:pPr>
      <w:rPr>
        <w:rFonts w:ascii="Wingdings" w:hAnsi="Wingdings" w:hint="default"/>
      </w:rPr>
    </w:lvl>
    <w:lvl w:ilvl="6" w:tplc="FFFFFFFF" w:tentative="1">
      <w:start w:val="1"/>
      <w:numFmt w:val="bullet"/>
      <w:lvlText w:val=""/>
      <w:lvlJc w:val="left"/>
      <w:pPr>
        <w:ind w:left="5154" w:hanging="360"/>
      </w:pPr>
      <w:rPr>
        <w:rFonts w:ascii="Symbol" w:hAnsi="Symbol" w:hint="default"/>
      </w:rPr>
    </w:lvl>
    <w:lvl w:ilvl="7" w:tplc="FFFFFFFF" w:tentative="1">
      <w:start w:val="1"/>
      <w:numFmt w:val="bullet"/>
      <w:lvlText w:val="o"/>
      <w:lvlJc w:val="left"/>
      <w:pPr>
        <w:ind w:left="5874" w:hanging="360"/>
      </w:pPr>
      <w:rPr>
        <w:rFonts w:ascii="Courier New" w:hAnsi="Courier New" w:cs="Courier New" w:hint="default"/>
      </w:rPr>
    </w:lvl>
    <w:lvl w:ilvl="8" w:tplc="FFFFFFFF" w:tentative="1">
      <w:start w:val="1"/>
      <w:numFmt w:val="bullet"/>
      <w:lvlText w:val=""/>
      <w:lvlJc w:val="left"/>
      <w:pPr>
        <w:ind w:left="6594" w:hanging="360"/>
      </w:pPr>
      <w:rPr>
        <w:rFonts w:ascii="Wingdings" w:hAnsi="Wingdings" w:hint="default"/>
      </w:rPr>
    </w:lvl>
  </w:abstractNum>
  <w:num w:numId="1" w16cid:durableId="1919436274">
    <w:abstractNumId w:val="8"/>
  </w:num>
  <w:num w:numId="2" w16cid:durableId="692146496">
    <w:abstractNumId w:val="18"/>
  </w:num>
  <w:num w:numId="3" w16cid:durableId="45227577">
    <w:abstractNumId w:val="11"/>
  </w:num>
  <w:num w:numId="4" w16cid:durableId="841164244">
    <w:abstractNumId w:val="20"/>
  </w:num>
  <w:num w:numId="5" w16cid:durableId="226843032">
    <w:abstractNumId w:val="1"/>
  </w:num>
  <w:num w:numId="6" w16cid:durableId="675377127">
    <w:abstractNumId w:val="29"/>
  </w:num>
  <w:num w:numId="7" w16cid:durableId="434639078">
    <w:abstractNumId w:val="3"/>
  </w:num>
  <w:num w:numId="8" w16cid:durableId="1738550257">
    <w:abstractNumId w:val="27"/>
  </w:num>
  <w:num w:numId="9" w16cid:durableId="1142037475">
    <w:abstractNumId w:val="15"/>
  </w:num>
  <w:num w:numId="10" w16cid:durableId="1478566436">
    <w:abstractNumId w:val="19"/>
  </w:num>
  <w:num w:numId="11" w16cid:durableId="733698617">
    <w:abstractNumId w:val="37"/>
  </w:num>
  <w:num w:numId="12" w16cid:durableId="1555310913">
    <w:abstractNumId w:val="25"/>
  </w:num>
  <w:num w:numId="13" w16cid:durableId="672495540">
    <w:abstractNumId w:val="26"/>
  </w:num>
  <w:num w:numId="14" w16cid:durableId="416710113">
    <w:abstractNumId w:val="23"/>
  </w:num>
  <w:num w:numId="15" w16cid:durableId="2134670963">
    <w:abstractNumId w:val="14"/>
  </w:num>
  <w:num w:numId="16" w16cid:durableId="2031224920">
    <w:abstractNumId w:val="18"/>
    <w:lvlOverride w:ilvl="0">
      <w:startOverride w:val="3"/>
    </w:lvlOverride>
  </w:num>
  <w:num w:numId="17" w16cid:durableId="33313403">
    <w:abstractNumId w:val="2"/>
  </w:num>
  <w:num w:numId="18" w16cid:durableId="1876388248">
    <w:abstractNumId w:val="2"/>
    <w:lvlOverride w:ilvl="0">
      <w:startOverride w:val="4"/>
    </w:lvlOverride>
    <w:lvlOverride w:ilvl="1">
      <w:startOverride w:val="1"/>
    </w:lvlOverride>
  </w:num>
  <w:num w:numId="19" w16cid:durableId="1951814736">
    <w:abstractNumId w:val="0"/>
  </w:num>
  <w:num w:numId="20" w16cid:durableId="729809692">
    <w:abstractNumId w:val="12"/>
  </w:num>
  <w:num w:numId="21" w16cid:durableId="1532957266">
    <w:abstractNumId w:val="2"/>
  </w:num>
  <w:num w:numId="22" w16cid:durableId="422149025">
    <w:abstractNumId w:val="2"/>
  </w:num>
  <w:num w:numId="23" w16cid:durableId="879590140">
    <w:abstractNumId w:val="2"/>
  </w:num>
  <w:num w:numId="24" w16cid:durableId="1983121537">
    <w:abstractNumId w:val="2"/>
  </w:num>
  <w:num w:numId="25" w16cid:durableId="84696105">
    <w:abstractNumId w:val="2"/>
  </w:num>
  <w:num w:numId="26" w16cid:durableId="1462262427">
    <w:abstractNumId w:val="2"/>
  </w:num>
  <w:num w:numId="27" w16cid:durableId="1872720114">
    <w:abstractNumId w:val="36"/>
  </w:num>
  <w:num w:numId="28" w16cid:durableId="1238399804">
    <w:abstractNumId w:val="5"/>
  </w:num>
  <w:num w:numId="29" w16cid:durableId="1695225576">
    <w:abstractNumId w:val="4"/>
  </w:num>
  <w:num w:numId="30" w16cid:durableId="804086348">
    <w:abstractNumId w:val="34"/>
  </w:num>
  <w:num w:numId="31" w16cid:durableId="1819030539">
    <w:abstractNumId w:val="33"/>
  </w:num>
  <w:num w:numId="32" w16cid:durableId="1182624464">
    <w:abstractNumId w:val="31"/>
  </w:num>
  <w:num w:numId="33" w16cid:durableId="948397316">
    <w:abstractNumId w:val="13"/>
  </w:num>
  <w:num w:numId="34" w16cid:durableId="279996026">
    <w:abstractNumId w:val="35"/>
  </w:num>
  <w:num w:numId="35" w16cid:durableId="1581065895">
    <w:abstractNumId w:val="17"/>
  </w:num>
  <w:num w:numId="36" w16cid:durableId="1203976840">
    <w:abstractNumId w:val="28"/>
  </w:num>
  <w:num w:numId="37" w16cid:durableId="1668052670">
    <w:abstractNumId w:val="39"/>
  </w:num>
  <w:num w:numId="38" w16cid:durableId="1141195850">
    <w:abstractNumId w:val="22"/>
  </w:num>
  <w:num w:numId="39" w16cid:durableId="1925802997">
    <w:abstractNumId w:val="24"/>
  </w:num>
  <w:num w:numId="40" w16cid:durableId="778646110">
    <w:abstractNumId w:val="16"/>
  </w:num>
  <w:num w:numId="41" w16cid:durableId="130251047">
    <w:abstractNumId w:val="21"/>
  </w:num>
  <w:num w:numId="42" w16cid:durableId="209735180">
    <w:abstractNumId w:val="30"/>
  </w:num>
  <w:num w:numId="43" w16cid:durableId="275526482">
    <w:abstractNumId w:val="10"/>
  </w:num>
  <w:num w:numId="44" w16cid:durableId="603272881">
    <w:abstractNumId w:val="7"/>
  </w:num>
  <w:num w:numId="45" w16cid:durableId="511379978">
    <w:abstractNumId w:val="6"/>
  </w:num>
  <w:num w:numId="46" w16cid:durableId="1228809485">
    <w:abstractNumId w:val="9"/>
  </w:num>
  <w:num w:numId="47" w16cid:durableId="1521502657">
    <w:abstractNumId w:val="38"/>
  </w:num>
  <w:num w:numId="48" w16cid:durableId="975379621">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SwMDMyMzIBInNDQyUdpeDU4uLM/DyQAsNaAJlVpnIsAAAA"/>
    <w:docVar w:name="_AMO_ReportControlsVisible" w:val="Empty"/>
    <w:docVar w:name="_AMO_UniqueIdentifier" w:val="7ddcb582-b0b8-49f1-ab88-a712400e0bc6"/>
  </w:docVars>
  <w:rsids>
    <w:rsidRoot w:val="003C480D"/>
    <w:rsid w:val="00001A0F"/>
    <w:rsid w:val="00010980"/>
    <w:rsid w:val="00011779"/>
    <w:rsid w:val="00011EA9"/>
    <w:rsid w:val="000132D4"/>
    <w:rsid w:val="0001412E"/>
    <w:rsid w:val="00026045"/>
    <w:rsid w:val="00026ECF"/>
    <w:rsid w:val="00033DAA"/>
    <w:rsid w:val="00047458"/>
    <w:rsid w:val="000508D1"/>
    <w:rsid w:val="00050A69"/>
    <w:rsid w:val="00050BC2"/>
    <w:rsid w:val="00052442"/>
    <w:rsid w:val="00054BBC"/>
    <w:rsid w:val="000551C8"/>
    <w:rsid w:val="00056658"/>
    <w:rsid w:val="00062862"/>
    <w:rsid w:val="00063FC9"/>
    <w:rsid w:val="00067C27"/>
    <w:rsid w:val="000705DA"/>
    <w:rsid w:val="00071595"/>
    <w:rsid w:val="00071690"/>
    <w:rsid w:val="000723D0"/>
    <w:rsid w:val="00073D51"/>
    <w:rsid w:val="00075917"/>
    <w:rsid w:val="0007635E"/>
    <w:rsid w:val="0007773E"/>
    <w:rsid w:val="000809BF"/>
    <w:rsid w:val="00081093"/>
    <w:rsid w:val="000820E2"/>
    <w:rsid w:val="00082157"/>
    <w:rsid w:val="000839D8"/>
    <w:rsid w:val="00083EF9"/>
    <w:rsid w:val="00090279"/>
    <w:rsid w:val="00094656"/>
    <w:rsid w:val="000951AC"/>
    <w:rsid w:val="00096034"/>
    <w:rsid w:val="000A2295"/>
    <w:rsid w:val="000A3585"/>
    <w:rsid w:val="000A5C4D"/>
    <w:rsid w:val="000A5FA3"/>
    <w:rsid w:val="000B235A"/>
    <w:rsid w:val="000B5726"/>
    <w:rsid w:val="000B7D21"/>
    <w:rsid w:val="000C0D90"/>
    <w:rsid w:val="000C5F0B"/>
    <w:rsid w:val="000C68A0"/>
    <w:rsid w:val="000C6CEE"/>
    <w:rsid w:val="000D21A6"/>
    <w:rsid w:val="000D5155"/>
    <w:rsid w:val="000D58D1"/>
    <w:rsid w:val="000D6DD4"/>
    <w:rsid w:val="000E6D33"/>
    <w:rsid w:val="000E7FA1"/>
    <w:rsid w:val="000F081C"/>
    <w:rsid w:val="000F1D9D"/>
    <w:rsid w:val="000F33D4"/>
    <w:rsid w:val="000F3436"/>
    <w:rsid w:val="000F5228"/>
    <w:rsid w:val="000F5E6E"/>
    <w:rsid w:val="000F75E3"/>
    <w:rsid w:val="000F7614"/>
    <w:rsid w:val="000F76AF"/>
    <w:rsid w:val="000F7856"/>
    <w:rsid w:val="0010721C"/>
    <w:rsid w:val="0010772E"/>
    <w:rsid w:val="0011041A"/>
    <w:rsid w:val="00111514"/>
    <w:rsid w:val="001145EA"/>
    <w:rsid w:val="00114EDB"/>
    <w:rsid w:val="0012054F"/>
    <w:rsid w:val="00122643"/>
    <w:rsid w:val="00123400"/>
    <w:rsid w:val="001268EF"/>
    <w:rsid w:val="00130C1A"/>
    <w:rsid w:val="00131E02"/>
    <w:rsid w:val="0014114F"/>
    <w:rsid w:val="00144B89"/>
    <w:rsid w:val="00147322"/>
    <w:rsid w:val="00147CFA"/>
    <w:rsid w:val="001502DE"/>
    <w:rsid w:val="0015151F"/>
    <w:rsid w:val="00151F86"/>
    <w:rsid w:val="00153BAC"/>
    <w:rsid w:val="00154EBE"/>
    <w:rsid w:val="00155949"/>
    <w:rsid w:val="00156424"/>
    <w:rsid w:val="00164602"/>
    <w:rsid w:val="00166B5D"/>
    <w:rsid w:val="00171842"/>
    <w:rsid w:val="0017295F"/>
    <w:rsid w:val="001736AD"/>
    <w:rsid w:val="00174FBB"/>
    <w:rsid w:val="0019061B"/>
    <w:rsid w:val="001A1012"/>
    <w:rsid w:val="001A176D"/>
    <w:rsid w:val="001A20AE"/>
    <w:rsid w:val="001A5BF0"/>
    <w:rsid w:val="001B004F"/>
    <w:rsid w:val="001B21D4"/>
    <w:rsid w:val="001B3D57"/>
    <w:rsid w:val="001B43D5"/>
    <w:rsid w:val="001B6828"/>
    <w:rsid w:val="001B6A5C"/>
    <w:rsid w:val="001C1A60"/>
    <w:rsid w:val="001C59F9"/>
    <w:rsid w:val="001C6683"/>
    <w:rsid w:val="001D20BD"/>
    <w:rsid w:val="001D4844"/>
    <w:rsid w:val="001D5676"/>
    <w:rsid w:val="001E2AC6"/>
    <w:rsid w:val="001E3ACF"/>
    <w:rsid w:val="001E3EA2"/>
    <w:rsid w:val="001E5B44"/>
    <w:rsid w:val="001E7275"/>
    <w:rsid w:val="001E74A1"/>
    <w:rsid w:val="001F1D0A"/>
    <w:rsid w:val="001F2FDC"/>
    <w:rsid w:val="001F4590"/>
    <w:rsid w:val="001F5720"/>
    <w:rsid w:val="001F595C"/>
    <w:rsid w:val="001F6F18"/>
    <w:rsid w:val="00200836"/>
    <w:rsid w:val="00202FF5"/>
    <w:rsid w:val="00203A05"/>
    <w:rsid w:val="002045B5"/>
    <w:rsid w:val="00206C08"/>
    <w:rsid w:val="00210270"/>
    <w:rsid w:val="00215D30"/>
    <w:rsid w:val="00216BF4"/>
    <w:rsid w:val="002172B4"/>
    <w:rsid w:val="00222807"/>
    <w:rsid w:val="00222B1C"/>
    <w:rsid w:val="00223754"/>
    <w:rsid w:val="002247BD"/>
    <w:rsid w:val="0022525D"/>
    <w:rsid w:val="00230824"/>
    <w:rsid w:val="00232ABA"/>
    <w:rsid w:val="00247D5B"/>
    <w:rsid w:val="0025684B"/>
    <w:rsid w:val="002604AC"/>
    <w:rsid w:val="002605AE"/>
    <w:rsid w:val="00260D13"/>
    <w:rsid w:val="00265D79"/>
    <w:rsid w:val="00266000"/>
    <w:rsid w:val="002702BF"/>
    <w:rsid w:val="002709FF"/>
    <w:rsid w:val="002757DA"/>
    <w:rsid w:val="00277992"/>
    <w:rsid w:val="00282410"/>
    <w:rsid w:val="002828B0"/>
    <w:rsid w:val="00282A18"/>
    <w:rsid w:val="00282C21"/>
    <w:rsid w:val="00283C28"/>
    <w:rsid w:val="002841B7"/>
    <w:rsid w:val="002863A0"/>
    <w:rsid w:val="002925A8"/>
    <w:rsid w:val="00294EFE"/>
    <w:rsid w:val="00296D3B"/>
    <w:rsid w:val="002A40A6"/>
    <w:rsid w:val="002B352E"/>
    <w:rsid w:val="002B3A52"/>
    <w:rsid w:val="002B66EB"/>
    <w:rsid w:val="002C3E5E"/>
    <w:rsid w:val="002C54CD"/>
    <w:rsid w:val="002C5560"/>
    <w:rsid w:val="002D5748"/>
    <w:rsid w:val="002D5D01"/>
    <w:rsid w:val="002D7153"/>
    <w:rsid w:val="002E1E4D"/>
    <w:rsid w:val="002E1FB6"/>
    <w:rsid w:val="002E35AE"/>
    <w:rsid w:val="002E4D2F"/>
    <w:rsid w:val="002E78E1"/>
    <w:rsid w:val="00300B3F"/>
    <w:rsid w:val="003017A8"/>
    <w:rsid w:val="00301E71"/>
    <w:rsid w:val="00303D37"/>
    <w:rsid w:val="00305112"/>
    <w:rsid w:val="00310C6D"/>
    <w:rsid w:val="0031199A"/>
    <w:rsid w:val="00313CF3"/>
    <w:rsid w:val="00314735"/>
    <w:rsid w:val="00315814"/>
    <w:rsid w:val="003175D8"/>
    <w:rsid w:val="003256C2"/>
    <w:rsid w:val="0032706A"/>
    <w:rsid w:val="00327D00"/>
    <w:rsid w:val="00335006"/>
    <w:rsid w:val="00337B7F"/>
    <w:rsid w:val="00340E6F"/>
    <w:rsid w:val="00341DC8"/>
    <w:rsid w:val="00342BEB"/>
    <w:rsid w:val="00347F65"/>
    <w:rsid w:val="0035154F"/>
    <w:rsid w:val="00356E1B"/>
    <w:rsid w:val="0036065E"/>
    <w:rsid w:val="003627C8"/>
    <w:rsid w:val="00370EEE"/>
    <w:rsid w:val="00371287"/>
    <w:rsid w:val="003728C3"/>
    <w:rsid w:val="003762BE"/>
    <w:rsid w:val="003768D8"/>
    <w:rsid w:val="00381177"/>
    <w:rsid w:val="00381A5C"/>
    <w:rsid w:val="003864DF"/>
    <w:rsid w:val="00386670"/>
    <w:rsid w:val="00386F50"/>
    <w:rsid w:val="00387CA4"/>
    <w:rsid w:val="00395435"/>
    <w:rsid w:val="00396830"/>
    <w:rsid w:val="003A0010"/>
    <w:rsid w:val="003A1E76"/>
    <w:rsid w:val="003A2EE4"/>
    <w:rsid w:val="003A719B"/>
    <w:rsid w:val="003B00FB"/>
    <w:rsid w:val="003B1AA7"/>
    <w:rsid w:val="003B5E86"/>
    <w:rsid w:val="003C054A"/>
    <w:rsid w:val="003C1FAC"/>
    <w:rsid w:val="003C2FB8"/>
    <w:rsid w:val="003C3868"/>
    <w:rsid w:val="003C480D"/>
    <w:rsid w:val="003C4C73"/>
    <w:rsid w:val="003C5130"/>
    <w:rsid w:val="003C69CE"/>
    <w:rsid w:val="003D0871"/>
    <w:rsid w:val="003D55AB"/>
    <w:rsid w:val="003D57C2"/>
    <w:rsid w:val="003E056A"/>
    <w:rsid w:val="003E571F"/>
    <w:rsid w:val="003E6732"/>
    <w:rsid w:val="003E68D8"/>
    <w:rsid w:val="003E75F4"/>
    <w:rsid w:val="003F0710"/>
    <w:rsid w:val="003F3240"/>
    <w:rsid w:val="003F560E"/>
    <w:rsid w:val="00400271"/>
    <w:rsid w:val="00401F3A"/>
    <w:rsid w:val="0040696B"/>
    <w:rsid w:val="0040779D"/>
    <w:rsid w:val="00411C0C"/>
    <w:rsid w:val="00411DCC"/>
    <w:rsid w:val="00421C19"/>
    <w:rsid w:val="00421E39"/>
    <w:rsid w:val="00424263"/>
    <w:rsid w:val="0042473A"/>
    <w:rsid w:val="004248E8"/>
    <w:rsid w:val="00424E28"/>
    <w:rsid w:val="00426EE3"/>
    <w:rsid w:val="00427DFB"/>
    <w:rsid w:val="00435D2C"/>
    <w:rsid w:val="00436861"/>
    <w:rsid w:val="00440036"/>
    <w:rsid w:val="004526D9"/>
    <w:rsid w:val="0046212F"/>
    <w:rsid w:val="004634CE"/>
    <w:rsid w:val="00463A24"/>
    <w:rsid w:val="0047232F"/>
    <w:rsid w:val="00472E0D"/>
    <w:rsid w:val="00473428"/>
    <w:rsid w:val="00473FAF"/>
    <w:rsid w:val="0047439A"/>
    <w:rsid w:val="004812F3"/>
    <w:rsid w:val="0048139C"/>
    <w:rsid w:val="00481634"/>
    <w:rsid w:val="004860C8"/>
    <w:rsid w:val="00487F34"/>
    <w:rsid w:val="00487FDB"/>
    <w:rsid w:val="00490CDE"/>
    <w:rsid w:val="00495581"/>
    <w:rsid w:val="00496ADE"/>
    <w:rsid w:val="00496E2F"/>
    <w:rsid w:val="00497957"/>
    <w:rsid w:val="004A12BD"/>
    <w:rsid w:val="004A1914"/>
    <w:rsid w:val="004A1A98"/>
    <w:rsid w:val="004A61B1"/>
    <w:rsid w:val="004B294B"/>
    <w:rsid w:val="004B44FE"/>
    <w:rsid w:val="004C392C"/>
    <w:rsid w:val="004C3E5F"/>
    <w:rsid w:val="004C711E"/>
    <w:rsid w:val="004D0507"/>
    <w:rsid w:val="004D1BBF"/>
    <w:rsid w:val="004D2539"/>
    <w:rsid w:val="004D3E7D"/>
    <w:rsid w:val="004D4528"/>
    <w:rsid w:val="004D55C4"/>
    <w:rsid w:val="004D6C64"/>
    <w:rsid w:val="004D6D10"/>
    <w:rsid w:val="004D7F33"/>
    <w:rsid w:val="004E0A85"/>
    <w:rsid w:val="004E3D6E"/>
    <w:rsid w:val="004E5637"/>
    <w:rsid w:val="004F04BC"/>
    <w:rsid w:val="004F2456"/>
    <w:rsid w:val="004F3036"/>
    <w:rsid w:val="004F68EF"/>
    <w:rsid w:val="00501E7D"/>
    <w:rsid w:val="00513C4F"/>
    <w:rsid w:val="0051484A"/>
    <w:rsid w:val="00522D43"/>
    <w:rsid w:val="00522D68"/>
    <w:rsid w:val="00522E34"/>
    <w:rsid w:val="00523860"/>
    <w:rsid w:val="00526A33"/>
    <w:rsid w:val="005329D0"/>
    <w:rsid w:val="005404C7"/>
    <w:rsid w:val="00540D7E"/>
    <w:rsid w:val="00543381"/>
    <w:rsid w:val="00544E3A"/>
    <w:rsid w:val="0054556B"/>
    <w:rsid w:val="00545EDA"/>
    <w:rsid w:val="005507E5"/>
    <w:rsid w:val="005537F1"/>
    <w:rsid w:val="0055579F"/>
    <w:rsid w:val="00556436"/>
    <w:rsid w:val="00565B95"/>
    <w:rsid w:val="0057308C"/>
    <w:rsid w:val="005730F6"/>
    <w:rsid w:val="00573B75"/>
    <w:rsid w:val="00584757"/>
    <w:rsid w:val="005854EE"/>
    <w:rsid w:val="00595867"/>
    <w:rsid w:val="00595DAD"/>
    <w:rsid w:val="0059789E"/>
    <w:rsid w:val="005A25F6"/>
    <w:rsid w:val="005A38A7"/>
    <w:rsid w:val="005A5BAC"/>
    <w:rsid w:val="005A63C8"/>
    <w:rsid w:val="005A6A04"/>
    <w:rsid w:val="005A7111"/>
    <w:rsid w:val="005A7BC4"/>
    <w:rsid w:val="005B026E"/>
    <w:rsid w:val="005C15A0"/>
    <w:rsid w:val="005C62A4"/>
    <w:rsid w:val="005C6BC2"/>
    <w:rsid w:val="005D2A30"/>
    <w:rsid w:val="005E0CDE"/>
    <w:rsid w:val="005E21B6"/>
    <w:rsid w:val="005E2BC8"/>
    <w:rsid w:val="005E32C5"/>
    <w:rsid w:val="005E4E43"/>
    <w:rsid w:val="005E530B"/>
    <w:rsid w:val="005E6C3C"/>
    <w:rsid w:val="005F4B4B"/>
    <w:rsid w:val="006026AD"/>
    <w:rsid w:val="006032AA"/>
    <w:rsid w:val="0060331F"/>
    <w:rsid w:val="00604E1B"/>
    <w:rsid w:val="00605297"/>
    <w:rsid w:val="00605491"/>
    <w:rsid w:val="00610300"/>
    <w:rsid w:val="00611433"/>
    <w:rsid w:val="006115F0"/>
    <w:rsid w:val="0061394A"/>
    <w:rsid w:val="00613FA5"/>
    <w:rsid w:val="006159D1"/>
    <w:rsid w:val="00616045"/>
    <w:rsid w:val="00616474"/>
    <w:rsid w:val="00621BC3"/>
    <w:rsid w:val="00623CCA"/>
    <w:rsid w:val="00630536"/>
    <w:rsid w:val="00630B6A"/>
    <w:rsid w:val="00631588"/>
    <w:rsid w:val="006357DA"/>
    <w:rsid w:val="0063623C"/>
    <w:rsid w:val="00636DA3"/>
    <w:rsid w:val="00642892"/>
    <w:rsid w:val="00642CDA"/>
    <w:rsid w:val="0064477B"/>
    <w:rsid w:val="00647AED"/>
    <w:rsid w:val="006503EA"/>
    <w:rsid w:val="00651CFF"/>
    <w:rsid w:val="00652921"/>
    <w:rsid w:val="0065295B"/>
    <w:rsid w:val="00653B53"/>
    <w:rsid w:val="006554B4"/>
    <w:rsid w:val="0066003B"/>
    <w:rsid w:val="006620D3"/>
    <w:rsid w:val="00664E54"/>
    <w:rsid w:val="0066533B"/>
    <w:rsid w:val="006658DD"/>
    <w:rsid w:val="00665A42"/>
    <w:rsid w:val="00665FD9"/>
    <w:rsid w:val="00674CAF"/>
    <w:rsid w:val="00676177"/>
    <w:rsid w:val="006808B9"/>
    <w:rsid w:val="006834E2"/>
    <w:rsid w:val="00685011"/>
    <w:rsid w:val="00693C5C"/>
    <w:rsid w:val="00696442"/>
    <w:rsid w:val="00697C8A"/>
    <w:rsid w:val="006A00E9"/>
    <w:rsid w:val="006A0A1D"/>
    <w:rsid w:val="006A1A40"/>
    <w:rsid w:val="006A234F"/>
    <w:rsid w:val="006A24B2"/>
    <w:rsid w:val="006B3605"/>
    <w:rsid w:val="006B6043"/>
    <w:rsid w:val="006B609F"/>
    <w:rsid w:val="006C4069"/>
    <w:rsid w:val="006D3390"/>
    <w:rsid w:val="006E4B3D"/>
    <w:rsid w:val="006E678F"/>
    <w:rsid w:val="006E6F67"/>
    <w:rsid w:val="006F1426"/>
    <w:rsid w:val="006F24DF"/>
    <w:rsid w:val="006F682B"/>
    <w:rsid w:val="00702EB2"/>
    <w:rsid w:val="00704056"/>
    <w:rsid w:val="00704207"/>
    <w:rsid w:val="007044B1"/>
    <w:rsid w:val="007046AC"/>
    <w:rsid w:val="0070637B"/>
    <w:rsid w:val="007100C4"/>
    <w:rsid w:val="00710D2E"/>
    <w:rsid w:val="00711E39"/>
    <w:rsid w:val="007136B5"/>
    <w:rsid w:val="007166B5"/>
    <w:rsid w:val="00717775"/>
    <w:rsid w:val="00723413"/>
    <w:rsid w:val="007242A2"/>
    <w:rsid w:val="00733BFF"/>
    <w:rsid w:val="00734002"/>
    <w:rsid w:val="00736794"/>
    <w:rsid w:val="007368B4"/>
    <w:rsid w:val="00746FD5"/>
    <w:rsid w:val="00747BF4"/>
    <w:rsid w:val="00752E85"/>
    <w:rsid w:val="007546F9"/>
    <w:rsid w:val="00761556"/>
    <w:rsid w:val="00762C10"/>
    <w:rsid w:val="00764929"/>
    <w:rsid w:val="00766BD5"/>
    <w:rsid w:val="0077060B"/>
    <w:rsid w:val="007729C1"/>
    <w:rsid w:val="00773E98"/>
    <w:rsid w:val="007757E1"/>
    <w:rsid w:val="00780289"/>
    <w:rsid w:val="00780743"/>
    <w:rsid w:val="00783247"/>
    <w:rsid w:val="00783364"/>
    <w:rsid w:val="0078480A"/>
    <w:rsid w:val="00785045"/>
    <w:rsid w:val="007873AA"/>
    <w:rsid w:val="00790309"/>
    <w:rsid w:val="00791B14"/>
    <w:rsid w:val="00793AE9"/>
    <w:rsid w:val="00796A1C"/>
    <w:rsid w:val="00797002"/>
    <w:rsid w:val="007A071E"/>
    <w:rsid w:val="007A134A"/>
    <w:rsid w:val="007A693E"/>
    <w:rsid w:val="007C25C9"/>
    <w:rsid w:val="007C2F16"/>
    <w:rsid w:val="007D1EC9"/>
    <w:rsid w:val="007D1F44"/>
    <w:rsid w:val="007D3093"/>
    <w:rsid w:val="007D4F3D"/>
    <w:rsid w:val="007D6538"/>
    <w:rsid w:val="007F056B"/>
    <w:rsid w:val="007F3AB1"/>
    <w:rsid w:val="007F3F6B"/>
    <w:rsid w:val="007F57DC"/>
    <w:rsid w:val="007F711C"/>
    <w:rsid w:val="00803229"/>
    <w:rsid w:val="00803EF5"/>
    <w:rsid w:val="00805822"/>
    <w:rsid w:val="0080605A"/>
    <w:rsid w:val="008152B0"/>
    <w:rsid w:val="008201E0"/>
    <w:rsid w:val="00823066"/>
    <w:rsid w:val="008240CF"/>
    <w:rsid w:val="008254A8"/>
    <w:rsid w:val="008316BA"/>
    <w:rsid w:val="0083178D"/>
    <w:rsid w:val="00831B16"/>
    <w:rsid w:val="00831C16"/>
    <w:rsid w:val="00832628"/>
    <w:rsid w:val="008354F9"/>
    <w:rsid w:val="00836CF2"/>
    <w:rsid w:val="0083741B"/>
    <w:rsid w:val="008450CE"/>
    <w:rsid w:val="00845C56"/>
    <w:rsid w:val="0084695E"/>
    <w:rsid w:val="00851161"/>
    <w:rsid w:val="008514F3"/>
    <w:rsid w:val="00854656"/>
    <w:rsid w:val="008547B0"/>
    <w:rsid w:val="0085650C"/>
    <w:rsid w:val="00861099"/>
    <w:rsid w:val="0086678D"/>
    <w:rsid w:val="00871567"/>
    <w:rsid w:val="00872BFE"/>
    <w:rsid w:val="0087677E"/>
    <w:rsid w:val="008774AA"/>
    <w:rsid w:val="0088445D"/>
    <w:rsid w:val="00894E8F"/>
    <w:rsid w:val="008A0F38"/>
    <w:rsid w:val="008A2EE0"/>
    <w:rsid w:val="008A6CBA"/>
    <w:rsid w:val="008A7B37"/>
    <w:rsid w:val="008B2D4B"/>
    <w:rsid w:val="008B68CB"/>
    <w:rsid w:val="008B782D"/>
    <w:rsid w:val="008C23C4"/>
    <w:rsid w:val="008D4018"/>
    <w:rsid w:val="008D4E5A"/>
    <w:rsid w:val="008D6460"/>
    <w:rsid w:val="008E55FB"/>
    <w:rsid w:val="008F1D5B"/>
    <w:rsid w:val="008F2350"/>
    <w:rsid w:val="008F7473"/>
    <w:rsid w:val="008F775A"/>
    <w:rsid w:val="00900170"/>
    <w:rsid w:val="00901EB8"/>
    <w:rsid w:val="009026CB"/>
    <w:rsid w:val="0090518D"/>
    <w:rsid w:val="00907DB2"/>
    <w:rsid w:val="009106C2"/>
    <w:rsid w:val="00911412"/>
    <w:rsid w:val="00915857"/>
    <w:rsid w:val="00923421"/>
    <w:rsid w:val="00927607"/>
    <w:rsid w:val="00940C05"/>
    <w:rsid w:val="00941E56"/>
    <w:rsid w:val="0094479A"/>
    <w:rsid w:val="00944B43"/>
    <w:rsid w:val="0095112B"/>
    <w:rsid w:val="009512AB"/>
    <w:rsid w:val="00955992"/>
    <w:rsid w:val="00955A5B"/>
    <w:rsid w:val="00957F90"/>
    <w:rsid w:val="00962216"/>
    <w:rsid w:val="009638E2"/>
    <w:rsid w:val="00964B8A"/>
    <w:rsid w:val="00964EE9"/>
    <w:rsid w:val="00967C5A"/>
    <w:rsid w:val="0097057F"/>
    <w:rsid w:val="009729BF"/>
    <w:rsid w:val="009736C5"/>
    <w:rsid w:val="00975AD7"/>
    <w:rsid w:val="00976C20"/>
    <w:rsid w:val="0097764E"/>
    <w:rsid w:val="0098020E"/>
    <w:rsid w:val="00983354"/>
    <w:rsid w:val="00983D7F"/>
    <w:rsid w:val="009842E2"/>
    <w:rsid w:val="009856DA"/>
    <w:rsid w:val="00986775"/>
    <w:rsid w:val="00987369"/>
    <w:rsid w:val="00991665"/>
    <w:rsid w:val="00994D7D"/>
    <w:rsid w:val="00995E27"/>
    <w:rsid w:val="00995EAF"/>
    <w:rsid w:val="009A3F2A"/>
    <w:rsid w:val="009A4A10"/>
    <w:rsid w:val="009B302F"/>
    <w:rsid w:val="009B32C7"/>
    <w:rsid w:val="009B4908"/>
    <w:rsid w:val="009B4B48"/>
    <w:rsid w:val="009B5E3F"/>
    <w:rsid w:val="009B7E6F"/>
    <w:rsid w:val="009C2D8F"/>
    <w:rsid w:val="009C526D"/>
    <w:rsid w:val="009C5F9A"/>
    <w:rsid w:val="009C7172"/>
    <w:rsid w:val="009D1DB8"/>
    <w:rsid w:val="009D2E51"/>
    <w:rsid w:val="009D4309"/>
    <w:rsid w:val="009D521D"/>
    <w:rsid w:val="009D55FE"/>
    <w:rsid w:val="009E0EDE"/>
    <w:rsid w:val="009E2C6C"/>
    <w:rsid w:val="009E46BF"/>
    <w:rsid w:val="009E4CBA"/>
    <w:rsid w:val="009F1104"/>
    <w:rsid w:val="009F437D"/>
    <w:rsid w:val="009F43EB"/>
    <w:rsid w:val="009F76AF"/>
    <w:rsid w:val="00A01D5C"/>
    <w:rsid w:val="00A034EA"/>
    <w:rsid w:val="00A041ED"/>
    <w:rsid w:val="00A0720A"/>
    <w:rsid w:val="00A10722"/>
    <w:rsid w:val="00A13FBD"/>
    <w:rsid w:val="00A14E5E"/>
    <w:rsid w:val="00A206C4"/>
    <w:rsid w:val="00A21A2D"/>
    <w:rsid w:val="00A235A7"/>
    <w:rsid w:val="00A24C03"/>
    <w:rsid w:val="00A3087F"/>
    <w:rsid w:val="00A507BF"/>
    <w:rsid w:val="00A50ED3"/>
    <w:rsid w:val="00A6660F"/>
    <w:rsid w:val="00A67376"/>
    <w:rsid w:val="00A73EC5"/>
    <w:rsid w:val="00A77E94"/>
    <w:rsid w:val="00A820D9"/>
    <w:rsid w:val="00A838CE"/>
    <w:rsid w:val="00A87D21"/>
    <w:rsid w:val="00A96278"/>
    <w:rsid w:val="00A9700E"/>
    <w:rsid w:val="00AA2C5F"/>
    <w:rsid w:val="00AA3B4E"/>
    <w:rsid w:val="00AA4B7B"/>
    <w:rsid w:val="00AB131E"/>
    <w:rsid w:val="00AB3C68"/>
    <w:rsid w:val="00AB5A58"/>
    <w:rsid w:val="00AB7CF3"/>
    <w:rsid w:val="00AC0562"/>
    <w:rsid w:val="00AC36CD"/>
    <w:rsid w:val="00AC7ED3"/>
    <w:rsid w:val="00AD233E"/>
    <w:rsid w:val="00AD2611"/>
    <w:rsid w:val="00AD2B67"/>
    <w:rsid w:val="00AD3A70"/>
    <w:rsid w:val="00AD4B36"/>
    <w:rsid w:val="00AD4B52"/>
    <w:rsid w:val="00AD701B"/>
    <w:rsid w:val="00AD726C"/>
    <w:rsid w:val="00AE0E94"/>
    <w:rsid w:val="00AE11E3"/>
    <w:rsid w:val="00AE522C"/>
    <w:rsid w:val="00AE734A"/>
    <w:rsid w:val="00AE7B69"/>
    <w:rsid w:val="00AF11A7"/>
    <w:rsid w:val="00AF154D"/>
    <w:rsid w:val="00AF1FA6"/>
    <w:rsid w:val="00AF769E"/>
    <w:rsid w:val="00AF7C3C"/>
    <w:rsid w:val="00AF7D62"/>
    <w:rsid w:val="00B00E4C"/>
    <w:rsid w:val="00B064C3"/>
    <w:rsid w:val="00B1166F"/>
    <w:rsid w:val="00B12987"/>
    <w:rsid w:val="00B13711"/>
    <w:rsid w:val="00B14826"/>
    <w:rsid w:val="00B159EB"/>
    <w:rsid w:val="00B15B88"/>
    <w:rsid w:val="00B2253E"/>
    <w:rsid w:val="00B2413A"/>
    <w:rsid w:val="00B241AC"/>
    <w:rsid w:val="00B26559"/>
    <w:rsid w:val="00B27E29"/>
    <w:rsid w:val="00B32AB7"/>
    <w:rsid w:val="00B34E53"/>
    <w:rsid w:val="00B357DE"/>
    <w:rsid w:val="00B35CC0"/>
    <w:rsid w:val="00B37417"/>
    <w:rsid w:val="00B42DFD"/>
    <w:rsid w:val="00B42ED3"/>
    <w:rsid w:val="00B44A14"/>
    <w:rsid w:val="00B45512"/>
    <w:rsid w:val="00B4761E"/>
    <w:rsid w:val="00B51540"/>
    <w:rsid w:val="00B54157"/>
    <w:rsid w:val="00B5423A"/>
    <w:rsid w:val="00B56584"/>
    <w:rsid w:val="00B60751"/>
    <w:rsid w:val="00B62B86"/>
    <w:rsid w:val="00B633FD"/>
    <w:rsid w:val="00B65A0A"/>
    <w:rsid w:val="00B72557"/>
    <w:rsid w:val="00B7462B"/>
    <w:rsid w:val="00B77358"/>
    <w:rsid w:val="00B81D55"/>
    <w:rsid w:val="00B84BB9"/>
    <w:rsid w:val="00B86BC5"/>
    <w:rsid w:val="00B9374D"/>
    <w:rsid w:val="00B95175"/>
    <w:rsid w:val="00BA07F1"/>
    <w:rsid w:val="00BA407A"/>
    <w:rsid w:val="00BA46EE"/>
    <w:rsid w:val="00BA5256"/>
    <w:rsid w:val="00BA57AB"/>
    <w:rsid w:val="00BA5E50"/>
    <w:rsid w:val="00BA66B6"/>
    <w:rsid w:val="00BA7E51"/>
    <w:rsid w:val="00BB0AC5"/>
    <w:rsid w:val="00BB1881"/>
    <w:rsid w:val="00BB5EEE"/>
    <w:rsid w:val="00BC37E7"/>
    <w:rsid w:val="00BD1C19"/>
    <w:rsid w:val="00BD1FB9"/>
    <w:rsid w:val="00BD2420"/>
    <w:rsid w:val="00BD2892"/>
    <w:rsid w:val="00BD47F0"/>
    <w:rsid w:val="00BD6352"/>
    <w:rsid w:val="00BE0EA1"/>
    <w:rsid w:val="00BE3764"/>
    <w:rsid w:val="00BF249E"/>
    <w:rsid w:val="00BF4AAD"/>
    <w:rsid w:val="00BF5652"/>
    <w:rsid w:val="00BF628E"/>
    <w:rsid w:val="00C038A2"/>
    <w:rsid w:val="00C042C9"/>
    <w:rsid w:val="00C1115A"/>
    <w:rsid w:val="00C1265A"/>
    <w:rsid w:val="00C13D6A"/>
    <w:rsid w:val="00C210A6"/>
    <w:rsid w:val="00C2183A"/>
    <w:rsid w:val="00C22858"/>
    <w:rsid w:val="00C22B54"/>
    <w:rsid w:val="00C25790"/>
    <w:rsid w:val="00C2585B"/>
    <w:rsid w:val="00C300CC"/>
    <w:rsid w:val="00C30ECD"/>
    <w:rsid w:val="00C31E62"/>
    <w:rsid w:val="00C31F10"/>
    <w:rsid w:val="00C34A6A"/>
    <w:rsid w:val="00C35426"/>
    <w:rsid w:val="00C3635E"/>
    <w:rsid w:val="00C41C86"/>
    <w:rsid w:val="00C42919"/>
    <w:rsid w:val="00C42B99"/>
    <w:rsid w:val="00C467B8"/>
    <w:rsid w:val="00C46C13"/>
    <w:rsid w:val="00C47FFA"/>
    <w:rsid w:val="00C5118D"/>
    <w:rsid w:val="00C5331D"/>
    <w:rsid w:val="00C53A2D"/>
    <w:rsid w:val="00C54223"/>
    <w:rsid w:val="00C543D5"/>
    <w:rsid w:val="00C570CD"/>
    <w:rsid w:val="00C575E1"/>
    <w:rsid w:val="00C60CDD"/>
    <w:rsid w:val="00C62A64"/>
    <w:rsid w:val="00C655DC"/>
    <w:rsid w:val="00C71BEF"/>
    <w:rsid w:val="00C73024"/>
    <w:rsid w:val="00C74655"/>
    <w:rsid w:val="00C75033"/>
    <w:rsid w:val="00C75046"/>
    <w:rsid w:val="00C75C8B"/>
    <w:rsid w:val="00C803F7"/>
    <w:rsid w:val="00C82D9F"/>
    <w:rsid w:val="00C8487A"/>
    <w:rsid w:val="00C90C35"/>
    <w:rsid w:val="00C9526C"/>
    <w:rsid w:val="00C97C62"/>
    <w:rsid w:val="00CA0E78"/>
    <w:rsid w:val="00CA133E"/>
    <w:rsid w:val="00CA1573"/>
    <w:rsid w:val="00CA307D"/>
    <w:rsid w:val="00CA63CD"/>
    <w:rsid w:val="00CB0579"/>
    <w:rsid w:val="00CB1B12"/>
    <w:rsid w:val="00CB1EE1"/>
    <w:rsid w:val="00CB2C1E"/>
    <w:rsid w:val="00CB5CEC"/>
    <w:rsid w:val="00CB5E1A"/>
    <w:rsid w:val="00CC0864"/>
    <w:rsid w:val="00CC1C03"/>
    <w:rsid w:val="00CC3E8D"/>
    <w:rsid w:val="00CC4A6B"/>
    <w:rsid w:val="00CC4D95"/>
    <w:rsid w:val="00CC4F5A"/>
    <w:rsid w:val="00CC6954"/>
    <w:rsid w:val="00CD0A85"/>
    <w:rsid w:val="00CD2C5E"/>
    <w:rsid w:val="00CD2FB6"/>
    <w:rsid w:val="00CD3571"/>
    <w:rsid w:val="00CD4C58"/>
    <w:rsid w:val="00CD6BD8"/>
    <w:rsid w:val="00CE40AD"/>
    <w:rsid w:val="00CE440D"/>
    <w:rsid w:val="00CE5313"/>
    <w:rsid w:val="00CF4011"/>
    <w:rsid w:val="00D06338"/>
    <w:rsid w:val="00D07765"/>
    <w:rsid w:val="00D1030A"/>
    <w:rsid w:val="00D126AB"/>
    <w:rsid w:val="00D12D7A"/>
    <w:rsid w:val="00D13A50"/>
    <w:rsid w:val="00D17D22"/>
    <w:rsid w:val="00D221D9"/>
    <w:rsid w:val="00D27B44"/>
    <w:rsid w:val="00D3063F"/>
    <w:rsid w:val="00D334CB"/>
    <w:rsid w:val="00D3553F"/>
    <w:rsid w:val="00D3608C"/>
    <w:rsid w:val="00D37B8E"/>
    <w:rsid w:val="00D44992"/>
    <w:rsid w:val="00D458C2"/>
    <w:rsid w:val="00D528E6"/>
    <w:rsid w:val="00D541F0"/>
    <w:rsid w:val="00D65EB7"/>
    <w:rsid w:val="00D70839"/>
    <w:rsid w:val="00D70D6F"/>
    <w:rsid w:val="00D70E63"/>
    <w:rsid w:val="00D713DF"/>
    <w:rsid w:val="00D721D4"/>
    <w:rsid w:val="00D73CBF"/>
    <w:rsid w:val="00D76C78"/>
    <w:rsid w:val="00D83915"/>
    <w:rsid w:val="00D92564"/>
    <w:rsid w:val="00D95B63"/>
    <w:rsid w:val="00DB1304"/>
    <w:rsid w:val="00DB1DA1"/>
    <w:rsid w:val="00DB1DE7"/>
    <w:rsid w:val="00DB48ED"/>
    <w:rsid w:val="00DB49ED"/>
    <w:rsid w:val="00DB7089"/>
    <w:rsid w:val="00DC1ABD"/>
    <w:rsid w:val="00DC7BFD"/>
    <w:rsid w:val="00DC7ED6"/>
    <w:rsid w:val="00DD0F41"/>
    <w:rsid w:val="00DD1832"/>
    <w:rsid w:val="00DE0F7E"/>
    <w:rsid w:val="00DE43CC"/>
    <w:rsid w:val="00DE4828"/>
    <w:rsid w:val="00DE66A9"/>
    <w:rsid w:val="00E02D9A"/>
    <w:rsid w:val="00E032DB"/>
    <w:rsid w:val="00E0390F"/>
    <w:rsid w:val="00E03E84"/>
    <w:rsid w:val="00E105E6"/>
    <w:rsid w:val="00E13C48"/>
    <w:rsid w:val="00E15C01"/>
    <w:rsid w:val="00E179E6"/>
    <w:rsid w:val="00E17B71"/>
    <w:rsid w:val="00E245E9"/>
    <w:rsid w:val="00E30627"/>
    <w:rsid w:val="00E3635A"/>
    <w:rsid w:val="00E417A0"/>
    <w:rsid w:val="00E4291F"/>
    <w:rsid w:val="00E442DA"/>
    <w:rsid w:val="00E46A5D"/>
    <w:rsid w:val="00E5221E"/>
    <w:rsid w:val="00E5245E"/>
    <w:rsid w:val="00E53B27"/>
    <w:rsid w:val="00E54A4E"/>
    <w:rsid w:val="00E57601"/>
    <w:rsid w:val="00E626E3"/>
    <w:rsid w:val="00E626E4"/>
    <w:rsid w:val="00E62F82"/>
    <w:rsid w:val="00E648B5"/>
    <w:rsid w:val="00E67EB8"/>
    <w:rsid w:val="00E703B8"/>
    <w:rsid w:val="00E70CA0"/>
    <w:rsid w:val="00E72CEE"/>
    <w:rsid w:val="00E77D8D"/>
    <w:rsid w:val="00E80716"/>
    <w:rsid w:val="00E8099A"/>
    <w:rsid w:val="00E8288E"/>
    <w:rsid w:val="00E84702"/>
    <w:rsid w:val="00E87269"/>
    <w:rsid w:val="00E9169D"/>
    <w:rsid w:val="00E91CD3"/>
    <w:rsid w:val="00E9648B"/>
    <w:rsid w:val="00E97686"/>
    <w:rsid w:val="00E978E9"/>
    <w:rsid w:val="00E979CD"/>
    <w:rsid w:val="00EA0AC0"/>
    <w:rsid w:val="00EA2C4F"/>
    <w:rsid w:val="00EA58AB"/>
    <w:rsid w:val="00EB0B96"/>
    <w:rsid w:val="00EB0C63"/>
    <w:rsid w:val="00EB1E3A"/>
    <w:rsid w:val="00EB1FFE"/>
    <w:rsid w:val="00EB28F9"/>
    <w:rsid w:val="00EB4F87"/>
    <w:rsid w:val="00EC1562"/>
    <w:rsid w:val="00EC4204"/>
    <w:rsid w:val="00EC4D1C"/>
    <w:rsid w:val="00EC7595"/>
    <w:rsid w:val="00ED0FD0"/>
    <w:rsid w:val="00ED196B"/>
    <w:rsid w:val="00ED2EB5"/>
    <w:rsid w:val="00ED7AB5"/>
    <w:rsid w:val="00EE4781"/>
    <w:rsid w:val="00EF0EA5"/>
    <w:rsid w:val="00EF0FCB"/>
    <w:rsid w:val="00EF1939"/>
    <w:rsid w:val="00EF1F46"/>
    <w:rsid w:val="00EF399A"/>
    <w:rsid w:val="00EF588C"/>
    <w:rsid w:val="00F02CDD"/>
    <w:rsid w:val="00F03729"/>
    <w:rsid w:val="00F05413"/>
    <w:rsid w:val="00F07158"/>
    <w:rsid w:val="00F10CF0"/>
    <w:rsid w:val="00F11DA8"/>
    <w:rsid w:val="00F2029B"/>
    <w:rsid w:val="00F21C82"/>
    <w:rsid w:val="00F234F7"/>
    <w:rsid w:val="00F33633"/>
    <w:rsid w:val="00F341F2"/>
    <w:rsid w:val="00F34C15"/>
    <w:rsid w:val="00F36611"/>
    <w:rsid w:val="00F371C7"/>
    <w:rsid w:val="00F37507"/>
    <w:rsid w:val="00F44B20"/>
    <w:rsid w:val="00F46BE1"/>
    <w:rsid w:val="00F46C97"/>
    <w:rsid w:val="00F47764"/>
    <w:rsid w:val="00F5312E"/>
    <w:rsid w:val="00F53B16"/>
    <w:rsid w:val="00F55DCB"/>
    <w:rsid w:val="00F60584"/>
    <w:rsid w:val="00F66CCE"/>
    <w:rsid w:val="00F70172"/>
    <w:rsid w:val="00F71285"/>
    <w:rsid w:val="00F73F91"/>
    <w:rsid w:val="00F75D2F"/>
    <w:rsid w:val="00F76476"/>
    <w:rsid w:val="00F81714"/>
    <w:rsid w:val="00F86323"/>
    <w:rsid w:val="00F9329D"/>
    <w:rsid w:val="00F9771B"/>
    <w:rsid w:val="00FA3631"/>
    <w:rsid w:val="00FA4CE9"/>
    <w:rsid w:val="00FA5C81"/>
    <w:rsid w:val="00FA692E"/>
    <w:rsid w:val="00FB04FE"/>
    <w:rsid w:val="00FB0AC5"/>
    <w:rsid w:val="00FB1E18"/>
    <w:rsid w:val="00FB2ACA"/>
    <w:rsid w:val="00FB386D"/>
    <w:rsid w:val="00FB492F"/>
    <w:rsid w:val="00FB6322"/>
    <w:rsid w:val="00FC0BE7"/>
    <w:rsid w:val="00FC226A"/>
    <w:rsid w:val="00FC717A"/>
    <w:rsid w:val="00FD0D14"/>
    <w:rsid w:val="00FD1300"/>
    <w:rsid w:val="00FD211D"/>
    <w:rsid w:val="00FD29E6"/>
    <w:rsid w:val="00FD2EEE"/>
    <w:rsid w:val="00FE2741"/>
    <w:rsid w:val="00FE2962"/>
    <w:rsid w:val="00FE4BDB"/>
    <w:rsid w:val="00FF4995"/>
    <w:rsid w:val="22B16EE9"/>
    <w:rsid w:val="3053EB93"/>
    <w:rsid w:val="334873D1"/>
    <w:rsid w:val="38B845DF"/>
    <w:rsid w:val="4E96BE4B"/>
    <w:rsid w:val="508DA490"/>
    <w:rsid w:val="774D23B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DCA9D6"/>
  <w15:docId w15:val="{C25A0194-3ED4-4942-ADBC-ACB93870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qFormat="1"/>
    <w:lsdException w:name="toc 5" w:locked="1" w:uiPriority="0" w:qFormat="1"/>
    <w:lsdException w:name="toc 6" w:locked="1" w:uiPriority="0" w:qFormat="1"/>
    <w:lsdException w:name="toc 7" w:locked="1" w:uiPriority="0" w:qFormat="1"/>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1F0"/>
    <w:rPr>
      <w:sz w:val="20"/>
      <w:szCs w:val="20"/>
    </w:rPr>
  </w:style>
  <w:style w:type="paragraph" w:styleId="Heading1">
    <w:name w:val="heading 1"/>
    <w:basedOn w:val="BodyText2"/>
    <w:next w:val="Normal"/>
    <w:link w:val="Heading1Char"/>
    <w:uiPriority w:val="99"/>
    <w:qFormat/>
    <w:rsid w:val="00986775"/>
    <w:pPr>
      <w:numPr>
        <w:numId w:val="2"/>
      </w:numPr>
      <w:spacing w:after="120"/>
      <w:jc w:val="left"/>
      <w:outlineLvl w:val="0"/>
    </w:pPr>
    <w:rPr>
      <w:rFonts w:ascii="Arial Narrow" w:hAnsi="Arial Narrow"/>
      <w:b/>
      <w:szCs w:val="22"/>
    </w:rPr>
  </w:style>
  <w:style w:type="paragraph" w:styleId="Heading2">
    <w:name w:val="heading 2"/>
    <w:basedOn w:val="Normal"/>
    <w:next w:val="Normal"/>
    <w:link w:val="Heading2Char"/>
    <w:uiPriority w:val="99"/>
    <w:qFormat/>
    <w:rsid w:val="00986775"/>
    <w:pPr>
      <w:keepNext/>
      <w:keepLines/>
      <w:numPr>
        <w:ilvl w:val="1"/>
        <w:numId w:val="17"/>
      </w:numPr>
      <w:tabs>
        <w:tab w:val="left" w:pos="-1440"/>
      </w:tabs>
      <w:spacing w:after="120"/>
      <w:outlineLvl w:val="1"/>
    </w:pPr>
    <w:rPr>
      <w:rFonts w:ascii="Arial Narrow" w:hAnsi="Arial Narrow" w:cs="Arial"/>
      <w:b/>
      <w:sz w:val="22"/>
    </w:rPr>
  </w:style>
  <w:style w:type="paragraph" w:styleId="Heading3">
    <w:name w:val="heading 3"/>
    <w:basedOn w:val="Normal"/>
    <w:next w:val="Normal"/>
    <w:link w:val="Heading3Char"/>
    <w:uiPriority w:val="99"/>
    <w:qFormat/>
    <w:rsid w:val="00440036"/>
    <w:pPr>
      <w:keepNext/>
      <w:keepLines/>
      <w:tabs>
        <w:tab w:val="left" w:pos="-1440"/>
      </w:tabs>
      <w:ind w:left="1440"/>
      <w:outlineLvl w:val="2"/>
    </w:pPr>
    <w:rPr>
      <w:rFonts w:ascii="Arial Narrow" w:hAnsi="Arial Narrow"/>
      <w:b/>
      <w:sz w:val="22"/>
    </w:rPr>
  </w:style>
  <w:style w:type="paragraph" w:styleId="Heading4">
    <w:name w:val="heading 4"/>
    <w:basedOn w:val="Normal"/>
    <w:next w:val="Normal"/>
    <w:link w:val="Heading4Char"/>
    <w:uiPriority w:val="99"/>
    <w:qFormat/>
    <w:rsid w:val="00440036"/>
    <w:pPr>
      <w:keepNext/>
      <w:outlineLvl w:val="3"/>
    </w:pPr>
    <w:rPr>
      <w:rFonts w:ascii="Arial Narrow" w:hAnsi="Arial Narrow"/>
      <w:b/>
    </w:rPr>
  </w:style>
  <w:style w:type="paragraph" w:styleId="Heading5">
    <w:name w:val="heading 5"/>
    <w:basedOn w:val="Normal"/>
    <w:next w:val="Normal"/>
    <w:link w:val="Heading5Char"/>
    <w:uiPriority w:val="99"/>
    <w:qFormat/>
    <w:rsid w:val="00440036"/>
    <w:pPr>
      <w:keepNext/>
      <w:jc w:val="center"/>
      <w:outlineLvl w:val="4"/>
    </w:pPr>
    <w:rPr>
      <w:rFonts w:ascii="Arial Narrow" w:hAnsi="Arial Narrow"/>
      <w:b/>
    </w:rPr>
  </w:style>
  <w:style w:type="paragraph" w:styleId="Heading6">
    <w:name w:val="heading 6"/>
    <w:basedOn w:val="Normal"/>
    <w:next w:val="Normal"/>
    <w:link w:val="Heading6Char"/>
    <w:uiPriority w:val="99"/>
    <w:qFormat/>
    <w:rsid w:val="00440036"/>
    <w:pPr>
      <w:keepNext/>
      <w:jc w:val="center"/>
      <w:outlineLvl w:val="5"/>
    </w:pPr>
    <w:rPr>
      <w:rFonts w:ascii="Arial Narrow" w:hAnsi="Arial Narrow"/>
      <w:b/>
      <w:sz w:val="22"/>
    </w:rPr>
  </w:style>
  <w:style w:type="paragraph" w:styleId="Heading7">
    <w:name w:val="heading 7"/>
    <w:basedOn w:val="Normal"/>
    <w:next w:val="Normal"/>
    <w:link w:val="Heading7Char"/>
    <w:uiPriority w:val="99"/>
    <w:qFormat/>
    <w:rsid w:val="00440036"/>
    <w:pPr>
      <w:keepNext/>
      <w:widowControl w:val="0"/>
      <w:jc w:val="center"/>
      <w:outlineLvl w:val="6"/>
    </w:pPr>
    <w:rPr>
      <w:rFonts w:ascii="Arial" w:hAnsi="Arial" w:cs="Arial"/>
      <w:b/>
      <w:sz w:val="36"/>
    </w:rPr>
  </w:style>
  <w:style w:type="paragraph" w:styleId="Heading9">
    <w:name w:val="heading 9"/>
    <w:basedOn w:val="Normal"/>
    <w:next w:val="Normal"/>
    <w:link w:val="Heading9Char"/>
    <w:uiPriority w:val="99"/>
    <w:qFormat/>
    <w:rsid w:val="00440036"/>
    <w:pPr>
      <w:keepNext/>
      <w:outlineLvl w:val="8"/>
    </w:pPr>
    <w:rPr>
      <w:rFonts w:eastAsia="SimSu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6775"/>
    <w:rPr>
      <w:rFonts w:ascii="Arial Narrow" w:hAnsi="Arial Narrow" w:cs="Arial"/>
      <w:b/>
    </w:rPr>
  </w:style>
  <w:style w:type="character" w:customStyle="1" w:styleId="Heading2Char">
    <w:name w:val="Heading 2 Char"/>
    <w:basedOn w:val="DefaultParagraphFont"/>
    <w:link w:val="Heading2"/>
    <w:uiPriority w:val="99"/>
    <w:locked/>
    <w:rsid w:val="00986775"/>
    <w:rPr>
      <w:rFonts w:ascii="Arial Narrow" w:hAnsi="Arial Narrow" w:cs="Arial"/>
      <w:b/>
      <w:szCs w:val="20"/>
    </w:rPr>
  </w:style>
  <w:style w:type="character" w:customStyle="1" w:styleId="Heading3Char">
    <w:name w:val="Heading 3 Char"/>
    <w:basedOn w:val="DefaultParagraphFont"/>
    <w:link w:val="Heading3"/>
    <w:uiPriority w:val="99"/>
    <w:semiHidden/>
    <w:locked/>
    <w:rsid w:val="00983D7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83D7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83D7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83D7F"/>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983D7F"/>
    <w:rPr>
      <w:rFonts w:ascii="Calibri" w:hAnsi="Calibri" w:cs="Times New Roman"/>
      <w:sz w:val="24"/>
      <w:szCs w:val="24"/>
    </w:rPr>
  </w:style>
  <w:style w:type="character" w:customStyle="1" w:styleId="Heading9Char">
    <w:name w:val="Heading 9 Char"/>
    <w:basedOn w:val="DefaultParagraphFont"/>
    <w:link w:val="Heading9"/>
    <w:uiPriority w:val="99"/>
    <w:semiHidden/>
    <w:locked/>
    <w:rsid w:val="00983D7F"/>
    <w:rPr>
      <w:rFonts w:ascii="Cambria" w:hAnsi="Cambria" w:cs="Times New Roman"/>
      <w:sz w:val="22"/>
      <w:szCs w:val="22"/>
    </w:rPr>
  </w:style>
  <w:style w:type="paragraph" w:styleId="Footer">
    <w:name w:val="footer"/>
    <w:basedOn w:val="Normal"/>
    <w:link w:val="FooterChar"/>
    <w:uiPriority w:val="99"/>
    <w:rsid w:val="00440036"/>
    <w:pPr>
      <w:widowControl w:val="0"/>
      <w:tabs>
        <w:tab w:val="center" w:pos="4320"/>
        <w:tab w:val="right" w:pos="8640"/>
      </w:tabs>
    </w:pPr>
    <w:rPr>
      <w:sz w:val="24"/>
    </w:rPr>
  </w:style>
  <w:style w:type="character" w:customStyle="1" w:styleId="FooterChar">
    <w:name w:val="Footer Char"/>
    <w:basedOn w:val="DefaultParagraphFont"/>
    <w:link w:val="Footer"/>
    <w:uiPriority w:val="99"/>
    <w:locked/>
    <w:rsid w:val="00983D7F"/>
    <w:rPr>
      <w:rFonts w:cs="Times New Roman"/>
    </w:rPr>
  </w:style>
  <w:style w:type="character" w:styleId="PageNumber">
    <w:name w:val="page number"/>
    <w:basedOn w:val="DefaultParagraphFont"/>
    <w:uiPriority w:val="99"/>
    <w:rsid w:val="00440036"/>
    <w:rPr>
      <w:rFonts w:ascii="Arial Narrow" w:hAnsi="Arial Narrow" w:cs="Times New Roman"/>
      <w:sz w:val="22"/>
    </w:rPr>
  </w:style>
  <w:style w:type="paragraph" w:styleId="BodyText">
    <w:name w:val="Body Text"/>
    <w:basedOn w:val="Normal"/>
    <w:link w:val="BodyTextChar"/>
    <w:uiPriority w:val="99"/>
    <w:rsid w:val="00440036"/>
    <w:rPr>
      <w:sz w:val="22"/>
    </w:rPr>
  </w:style>
  <w:style w:type="character" w:customStyle="1" w:styleId="BodyTextChar">
    <w:name w:val="Body Text Char"/>
    <w:basedOn w:val="DefaultParagraphFont"/>
    <w:link w:val="BodyText"/>
    <w:uiPriority w:val="99"/>
    <w:semiHidden/>
    <w:locked/>
    <w:rsid w:val="00983D7F"/>
    <w:rPr>
      <w:rFonts w:cs="Times New Roman"/>
    </w:rPr>
  </w:style>
  <w:style w:type="paragraph" w:styleId="BodyTextIndent">
    <w:name w:val="Body Text Indent"/>
    <w:basedOn w:val="Normal"/>
    <w:link w:val="BodyTextIndentChar"/>
    <w:uiPriority w:val="99"/>
    <w:rsid w:val="00440036"/>
    <w:pPr>
      <w:keepLines/>
      <w:ind w:left="1440"/>
    </w:pPr>
    <w:rPr>
      <w:sz w:val="22"/>
    </w:rPr>
  </w:style>
  <w:style w:type="character" w:customStyle="1" w:styleId="BodyTextIndentChar">
    <w:name w:val="Body Text Indent Char"/>
    <w:basedOn w:val="DefaultParagraphFont"/>
    <w:link w:val="BodyTextIndent"/>
    <w:uiPriority w:val="99"/>
    <w:semiHidden/>
    <w:locked/>
    <w:rsid w:val="00983D7F"/>
    <w:rPr>
      <w:rFonts w:cs="Times New Roman"/>
    </w:rPr>
  </w:style>
  <w:style w:type="paragraph" w:styleId="BodyTextIndent2">
    <w:name w:val="Body Text Indent 2"/>
    <w:basedOn w:val="Normal"/>
    <w:link w:val="BodyTextIndent2Char"/>
    <w:uiPriority w:val="99"/>
    <w:rsid w:val="00440036"/>
    <w:pPr>
      <w:ind w:left="720"/>
    </w:pPr>
    <w:rPr>
      <w:sz w:val="22"/>
    </w:rPr>
  </w:style>
  <w:style w:type="character" w:customStyle="1" w:styleId="BodyTextIndent2Char">
    <w:name w:val="Body Text Indent 2 Char"/>
    <w:basedOn w:val="DefaultParagraphFont"/>
    <w:link w:val="BodyTextIndent2"/>
    <w:uiPriority w:val="99"/>
    <w:semiHidden/>
    <w:locked/>
    <w:rsid w:val="00983D7F"/>
    <w:rPr>
      <w:rFonts w:cs="Times New Roman"/>
    </w:rPr>
  </w:style>
  <w:style w:type="paragraph" w:styleId="BlockText">
    <w:name w:val="Block Text"/>
    <w:basedOn w:val="Normal"/>
    <w:uiPriority w:val="99"/>
    <w:rsid w:val="00440036"/>
    <w:pPr>
      <w:ind w:left="1440" w:right="720"/>
    </w:pPr>
    <w:rPr>
      <w:sz w:val="22"/>
    </w:rPr>
  </w:style>
  <w:style w:type="paragraph" w:styleId="Header">
    <w:name w:val="header"/>
    <w:basedOn w:val="Normal"/>
    <w:link w:val="HeaderChar"/>
    <w:uiPriority w:val="99"/>
    <w:rsid w:val="00440036"/>
    <w:pPr>
      <w:tabs>
        <w:tab w:val="center" w:pos="4320"/>
        <w:tab w:val="right" w:pos="8640"/>
      </w:tabs>
    </w:pPr>
  </w:style>
  <w:style w:type="character" w:customStyle="1" w:styleId="HeaderChar">
    <w:name w:val="Header Char"/>
    <w:basedOn w:val="DefaultParagraphFont"/>
    <w:link w:val="Header"/>
    <w:uiPriority w:val="99"/>
    <w:locked/>
    <w:rsid w:val="00983D7F"/>
    <w:rPr>
      <w:rFonts w:cs="Times New Roman"/>
    </w:rPr>
  </w:style>
  <w:style w:type="paragraph" w:customStyle="1" w:styleId="Bullet3">
    <w:name w:val="Bullet 3"/>
    <w:basedOn w:val="Normal"/>
    <w:uiPriority w:val="99"/>
    <w:rsid w:val="00440036"/>
    <w:pPr>
      <w:numPr>
        <w:numId w:val="1"/>
      </w:numPr>
    </w:pPr>
    <w:rPr>
      <w:sz w:val="22"/>
    </w:rPr>
  </w:style>
  <w:style w:type="paragraph" w:customStyle="1" w:styleId="Bullet1">
    <w:name w:val="Bullet 1"/>
    <w:basedOn w:val="BodyTextIndent"/>
    <w:autoRedefine/>
    <w:uiPriority w:val="99"/>
    <w:rsid w:val="00440036"/>
    <w:pPr>
      <w:ind w:left="1800"/>
    </w:pPr>
  </w:style>
  <w:style w:type="character" w:styleId="Hyperlink">
    <w:name w:val="Hyperlink"/>
    <w:basedOn w:val="DefaultParagraphFont"/>
    <w:uiPriority w:val="99"/>
    <w:rsid w:val="00440036"/>
    <w:rPr>
      <w:rFonts w:cs="Times New Roman"/>
      <w:color w:val="0000FF"/>
      <w:u w:val="single"/>
    </w:rPr>
  </w:style>
  <w:style w:type="paragraph" w:styleId="BodyText2">
    <w:name w:val="Body Text 2"/>
    <w:basedOn w:val="Normal"/>
    <w:link w:val="BodyText2Char"/>
    <w:uiPriority w:val="99"/>
    <w:rsid w:val="00440036"/>
    <w:pPr>
      <w:jc w:val="both"/>
    </w:pPr>
    <w:rPr>
      <w:rFonts w:ascii="Arial" w:hAnsi="Arial" w:cs="Arial"/>
      <w:sz w:val="22"/>
    </w:rPr>
  </w:style>
  <w:style w:type="character" w:customStyle="1" w:styleId="BodyText2Char">
    <w:name w:val="Body Text 2 Char"/>
    <w:basedOn w:val="DefaultParagraphFont"/>
    <w:link w:val="BodyText2"/>
    <w:uiPriority w:val="99"/>
    <w:semiHidden/>
    <w:locked/>
    <w:rsid w:val="00983D7F"/>
    <w:rPr>
      <w:rFonts w:cs="Times New Roman"/>
    </w:rPr>
  </w:style>
  <w:style w:type="character" w:styleId="FollowedHyperlink">
    <w:name w:val="FollowedHyperlink"/>
    <w:basedOn w:val="DefaultParagraphFont"/>
    <w:uiPriority w:val="99"/>
    <w:rsid w:val="00440036"/>
    <w:rPr>
      <w:rFonts w:cs="Times New Roman"/>
      <w:color w:val="800080"/>
      <w:u w:val="single"/>
    </w:rPr>
  </w:style>
  <w:style w:type="paragraph" w:styleId="BodyTextIndent3">
    <w:name w:val="Body Text Indent 3"/>
    <w:basedOn w:val="Normal"/>
    <w:link w:val="BodyTextIndent3Char"/>
    <w:uiPriority w:val="99"/>
    <w:rsid w:val="00440036"/>
    <w:pPr>
      <w:ind w:left="1440"/>
    </w:pPr>
    <w:rPr>
      <w:i/>
    </w:rPr>
  </w:style>
  <w:style w:type="character" w:customStyle="1" w:styleId="BodyTextIndent3Char">
    <w:name w:val="Body Text Indent 3 Char"/>
    <w:basedOn w:val="DefaultParagraphFont"/>
    <w:link w:val="BodyTextIndent3"/>
    <w:uiPriority w:val="99"/>
    <w:semiHidden/>
    <w:locked/>
    <w:rsid w:val="00983D7F"/>
    <w:rPr>
      <w:rFonts w:cs="Times New Roman"/>
      <w:sz w:val="16"/>
      <w:szCs w:val="16"/>
    </w:rPr>
  </w:style>
  <w:style w:type="paragraph" w:customStyle="1" w:styleId="BodyTextBullet1">
    <w:name w:val="Body Text Bullet 1"/>
    <w:basedOn w:val="Normal"/>
    <w:uiPriority w:val="99"/>
    <w:rsid w:val="00440036"/>
    <w:pPr>
      <w:tabs>
        <w:tab w:val="num" w:pos="1440"/>
      </w:tabs>
      <w:spacing w:after="120"/>
      <w:ind w:left="1440" w:hanging="360"/>
    </w:pPr>
    <w:rPr>
      <w:sz w:val="22"/>
    </w:rPr>
  </w:style>
  <w:style w:type="paragraph" w:styleId="PlainText">
    <w:name w:val="Plain Text"/>
    <w:basedOn w:val="Normal"/>
    <w:link w:val="PlainTextChar"/>
    <w:uiPriority w:val="99"/>
    <w:rsid w:val="00440036"/>
    <w:rPr>
      <w:rFonts w:ascii="Courier New" w:hAnsi="Courier New"/>
      <w:szCs w:val="24"/>
      <w:lang w:eastAsia="zh-CN"/>
    </w:rPr>
  </w:style>
  <w:style w:type="character" w:customStyle="1" w:styleId="PlainTextChar">
    <w:name w:val="Plain Text Char"/>
    <w:basedOn w:val="DefaultParagraphFont"/>
    <w:link w:val="PlainText"/>
    <w:uiPriority w:val="99"/>
    <w:semiHidden/>
    <w:locked/>
    <w:rsid w:val="00983D7F"/>
    <w:rPr>
      <w:rFonts w:ascii="Courier New" w:hAnsi="Courier New" w:cs="Courier New"/>
    </w:rPr>
  </w:style>
  <w:style w:type="paragraph" w:styleId="BalloonText">
    <w:name w:val="Balloon Text"/>
    <w:basedOn w:val="Normal"/>
    <w:link w:val="BalloonTextChar"/>
    <w:uiPriority w:val="99"/>
    <w:semiHidden/>
    <w:rsid w:val="00C533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3D7F"/>
    <w:rPr>
      <w:rFonts w:cs="Times New Roman"/>
      <w:sz w:val="2"/>
    </w:rPr>
  </w:style>
  <w:style w:type="character" w:styleId="CommentReference">
    <w:name w:val="annotation reference"/>
    <w:basedOn w:val="DefaultParagraphFont"/>
    <w:uiPriority w:val="99"/>
    <w:semiHidden/>
    <w:rsid w:val="00282A18"/>
    <w:rPr>
      <w:rFonts w:cs="Times New Roman"/>
      <w:sz w:val="16"/>
      <w:szCs w:val="16"/>
    </w:rPr>
  </w:style>
  <w:style w:type="paragraph" w:styleId="CommentText">
    <w:name w:val="annotation text"/>
    <w:basedOn w:val="Normal"/>
    <w:link w:val="CommentTextChar"/>
    <w:uiPriority w:val="99"/>
    <w:rsid w:val="00282A18"/>
  </w:style>
  <w:style w:type="character" w:customStyle="1" w:styleId="CommentTextChar">
    <w:name w:val="Comment Text Char"/>
    <w:basedOn w:val="DefaultParagraphFont"/>
    <w:link w:val="CommentText"/>
    <w:uiPriority w:val="99"/>
    <w:locked/>
    <w:rsid w:val="00983D7F"/>
    <w:rPr>
      <w:rFonts w:cs="Times New Roman"/>
    </w:rPr>
  </w:style>
  <w:style w:type="paragraph" w:styleId="CommentSubject">
    <w:name w:val="annotation subject"/>
    <w:basedOn w:val="CommentText"/>
    <w:next w:val="CommentText"/>
    <w:link w:val="CommentSubjectChar"/>
    <w:uiPriority w:val="99"/>
    <w:semiHidden/>
    <w:rsid w:val="00282A18"/>
    <w:rPr>
      <w:b/>
      <w:bCs/>
    </w:rPr>
  </w:style>
  <w:style w:type="character" w:customStyle="1" w:styleId="CommentSubjectChar">
    <w:name w:val="Comment Subject Char"/>
    <w:basedOn w:val="CommentTextChar"/>
    <w:link w:val="CommentSubject"/>
    <w:uiPriority w:val="99"/>
    <w:semiHidden/>
    <w:locked/>
    <w:rsid w:val="00983D7F"/>
    <w:rPr>
      <w:rFonts w:cs="Times New Roman"/>
      <w:b/>
      <w:bCs/>
    </w:rPr>
  </w:style>
  <w:style w:type="paragraph" w:styleId="DocumentMap">
    <w:name w:val="Document Map"/>
    <w:basedOn w:val="Normal"/>
    <w:link w:val="DocumentMapChar"/>
    <w:uiPriority w:val="99"/>
    <w:semiHidden/>
    <w:rsid w:val="00340E6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83D7F"/>
    <w:rPr>
      <w:rFonts w:cs="Times New Roman"/>
      <w:sz w:val="2"/>
    </w:rPr>
  </w:style>
  <w:style w:type="table" w:styleId="TableGrid">
    <w:name w:val="Table Grid"/>
    <w:basedOn w:val="TableNormal"/>
    <w:uiPriority w:val="59"/>
    <w:locked/>
    <w:rsid w:val="00BA52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B15B88"/>
    <w:pPr>
      <w:tabs>
        <w:tab w:val="right" w:leader="dot" w:pos="8990"/>
      </w:tabs>
      <w:spacing w:after="100"/>
    </w:pPr>
    <w:rPr>
      <w:rFonts w:ascii="Arial Narrow" w:hAnsi="Arial Narrow" w:cs="Arial"/>
      <w:noProof/>
      <w:sz w:val="22"/>
      <w:szCs w:val="32"/>
    </w:rPr>
  </w:style>
  <w:style w:type="paragraph" w:styleId="TOC2">
    <w:name w:val="toc 2"/>
    <w:basedOn w:val="Normal"/>
    <w:next w:val="Normal"/>
    <w:autoRedefine/>
    <w:uiPriority w:val="39"/>
    <w:unhideWhenUsed/>
    <w:qFormat/>
    <w:locked/>
    <w:rsid w:val="00BE0EA1"/>
    <w:pPr>
      <w:tabs>
        <w:tab w:val="left" w:pos="880"/>
        <w:tab w:val="right" w:leader="dot" w:pos="9016"/>
      </w:tabs>
      <w:spacing w:after="100"/>
      <w:ind w:left="200"/>
    </w:pPr>
    <w:rPr>
      <w:rFonts w:ascii="Arial Narrow" w:hAnsi="Arial Narrow"/>
      <w:sz w:val="22"/>
    </w:rPr>
  </w:style>
  <w:style w:type="paragraph" w:styleId="TOC3">
    <w:name w:val="toc 3"/>
    <w:basedOn w:val="Normal"/>
    <w:next w:val="Normal"/>
    <w:autoRedefine/>
    <w:uiPriority w:val="39"/>
    <w:unhideWhenUsed/>
    <w:qFormat/>
    <w:locked/>
    <w:rsid w:val="00050A69"/>
    <w:pPr>
      <w:tabs>
        <w:tab w:val="left" w:pos="1100"/>
        <w:tab w:val="right" w:leader="dot" w:pos="8990"/>
      </w:tabs>
      <w:ind w:left="400"/>
    </w:pPr>
    <w:rPr>
      <w:rFonts w:ascii="Arial Narrow" w:hAnsi="Arial Narrow"/>
      <w:noProof/>
      <w:sz w:val="24"/>
    </w:rPr>
  </w:style>
  <w:style w:type="paragraph" w:styleId="TOCHeading">
    <w:name w:val="TOC Heading"/>
    <w:basedOn w:val="Heading1"/>
    <w:next w:val="Normal"/>
    <w:uiPriority w:val="39"/>
    <w:unhideWhenUsed/>
    <w:qFormat/>
    <w:rsid w:val="00995EAF"/>
    <w:pPr>
      <w:keepLines/>
      <w:spacing w:before="240" w:line="259" w:lineRule="auto"/>
      <w:outlineLvl w:val="9"/>
    </w:pPr>
    <w:rPr>
      <w:rFonts w:asciiTheme="majorHAnsi" w:eastAsiaTheme="majorEastAsia" w:hAnsiTheme="majorHAnsi" w:cstheme="majorBidi"/>
      <w:b w:val="0"/>
      <w:color w:val="1E4C4F" w:themeColor="accent1" w:themeShade="BF"/>
      <w:sz w:val="32"/>
      <w:szCs w:val="32"/>
    </w:rPr>
  </w:style>
  <w:style w:type="paragraph" w:styleId="Title">
    <w:name w:val="Title"/>
    <w:basedOn w:val="Normal"/>
    <w:next w:val="Normal"/>
    <w:link w:val="TitleChar"/>
    <w:uiPriority w:val="10"/>
    <w:qFormat/>
    <w:locked/>
    <w:rsid w:val="002D71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15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310C6D"/>
    <w:rPr>
      <w:color w:val="808080"/>
      <w:shd w:val="clear" w:color="auto" w:fill="E6E6E6"/>
    </w:rPr>
  </w:style>
  <w:style w:type="paragraph" w:styleId="ListParagraph">
    <w:name w:val="List Paragraph"/>
    <w:aliases w:val="Body text bullet 2"/>
    <w:basedOn w:val="Normal"/>
    <w:uiPriority w:val="34"/>
    <w:qFormat/>
    <w:rsid w:val="00733BFF"/>
    <w:pPr>
      <w:ind w:left="720"/>
      <w:contextualSpacing/>
    </w:pPr>
  </w:style>
  <w:style w:type="character" w:customStyle="1" w:styleId="UnresolvedMention2">
    <w:name w:val="Unresolved Mention2"/>
    <w:basedOn w:val="DefaultParagraphFont"/>
    <w:uiPriority w:val="99"/>
    <w:semiHidden/>
    <w:unhideWhenUsed/>
    <w:rsid w:val="00AD3A70"/>
    <w:rPr>
      <w:color w:val="605E5C"/>
      <w:shd w:val="clear" w:color="auto" w:fill="E1DFDD"/>
    </w:rPr>
  </w:style>
  <w:style w:type="paragraph" w:styleId="Revision">
    <w:name w:val="Revision"/>
    <w:hidden/>
    <w:uiPriority w:val="99"/>
    <w:semiHidden/>
    <w:rsid w:val="007A693E"/>
    <w:rPr>
      <w:sz w:val="20"/>
      <w:szCs w:val="20"/>
    </w:rPr>
  </w:style>
  <w:style w:type="paragraph" w:styleId="Caption">
    <w:name w:val="caption"/>
    <w:basedOn w:val="Normal"/>
    <w:next w:val="Normal"/>
    <w:qFormat/>
    <w:locked/>
    <w:rsid w:val="00ED7AB5"/>
    <w:pPr>
      <w:keepNext/>
    </w:pPr>
    <w:rPr>
      <w:rFonts w:ascii="Arial" w:hAnsi="Arial" w:cs="Arial"/>
      <w:b/>
      <w:bCs/>
    </w:rPr>
  </w:style>
  <w:style w:type="paragraph" w:customStyle="1" w:styleId="StyleBodyTextTopSinglesolidlineAuto05ptLinewidth">
    <w:name w:val="Style Body Text + Top: (Single solid line Auto  0.5 pt Line width)"/>
    <w:basedOn w:val="BodyText"/>
    <w:rsid w:val="00ED7AB5"/>
    <w:pPr>
      <w:keepLines/>
      <w:pBdr>
        <w:top w:val="single" w:sz="4" w:space="1" w:color="auto"/>
      </w:pBdr>
      <w:tabs>
        <w:tab w:val="left" w:pos="-1440"/>
      </w:tabs>
    </w:pPr>
    <w:rPr>
      <w:rFonts w:ascii="Arial" w:hAnsi="Arial"/>
      <w:snapToGrid w:val="0"/>
      <w:sz w:val="20"/>
    </w:rPr>
  </w:style>
  <w:style w:type="character" w:customStyle="1" w:styleId="Style11pt">
    <w:name w:val="Style 11 pt"/>
    <w:basedOn w:val="DefaultParagraphFont"/>
    <w:rsid w:val="00ED7AB5"/>
    <w:rPr>
      <w:rFonts w:ascii="Arial" w:hAnsi="Arial"/>
      <w:sz w:val="20"/>
    </w:rPr>
  </w:style>
  <w:style w:type="paragraph" w:styleId="ListNumber">
    <w:name w:val="List Number"/>
    <w:basedOn w:val="Normal"/>
    <w:rsid w:val="00056658"/>
    <w:pPr>
      <w:tabs>
        <w:tab w:val="num" w:pos="360"/>
      </w:tabs>
      <w:ind w:left="360" w:hanging="360"/>
      <w:contextualSpacing/>
    </w:pPr>
    <w:rPr>
      <w:sz w:val="24"/>
      <w:szCs w:val="24"/>
    </w:rPr>
  </w:style>
  <w:style w:type="paragraph" w:customStyle="1" w:styleId="paragraph">
    <w:name w:val="paragraph"/>
    <w:basedOn w:val="Normal"/>
    <w:rsid w:val="00056658"/>
    <w:pPr>
      <w:spacing w:before="100" w:beforeAutospacing="1" w:after="100" w:afterAutospacing="1"/>
    </w:pPr>
    <w:rPr>
      <w:sz w:val="24"/>
      <w:szCs w:val="24"/>
    </w:rPr>
  </w:style>
  <w:style w:type="character" w:customStyle="1" w:styleId="normaltextrun">
    <w:name w:val="normaltextrun"/>
    <w:basedOn w:val="DefaultParagraphFont"/>
    <w:rsid w:val="00056658"/>
  </w:style>
  <w:style w:type="character" w:customStyle="1" w:styleId="eop">
    <w:name w:val="eop"/>
    <w:basedOn w:val="DefaultParagraphFont"/>
    <w:rsid w:val="00056658"/>
  </w:style>
  <w:style w:type="paragraph" w:styleId="NormalWeb">
    <w:name w:val="Normal (Web)"/>
    <w:basedOn w:val="Normal"/>
    <w:uiPriority w:val="99"/>
    <w:semiHidden/>
    <w:unhideWhenUsed/>
    <w:rsid w:val="009D521D"/>
    <w:pPr>
      <w:spacing w:before="100" w:beforeAutospacing="1" w:after="100" w:afterAutospacing="1"/>
    </w:pPr>
    <w:rPr>
      <w:rFonts w:eastAsiaTheme="minorEastAsia"/>
      <w:sz w:val="24"/>
      <w:szCs w:val="24"/>
    </w:rPr>
  </w:style>
  <w:style w:type="paragraph" w:customStyle="1" w:styleId="Disclaimer">
    <w:name w:val="Disclaimer"/>
    <w:basedOn w:val="Normal"/>
    <w:qFormat/>
    <w:rsid w:val="00A14E5E"/>
    <w:rPr>
      <w:rFonts w:asciiTheme="minorHAnsi" w:eastAsia="Calibri" w:hAnsiTheme="minorHAnsi" w:cstheme="minorHAnsi"/>
      <w:i/>
      <w:iCs/>
      <w:color w:val="645F59"/>
      <w:sz w:val="14"/>
      <w:szCs w:val="14"/>
    </w:rPr>
  </w:style>
  <w:style w:type="paragraph" w:styleId="Subtitle">
    <w:name w:val="Subtitle"/>
    <w:basedOn w:val="Normal"/>
    <w:next w:val="Normal"/>
    <w:link w:val="SubtitleChar"/>
    <w:uiPriority w:val="11"/>
    <w:qFormat/>
    <w:locked/>
    <w:rsid w:val="007044B1"/>
    <w:pPr>
      <w:numPr>
        <w:ilvl w:val="1"/>
      </w:numPr>
    </w:pPr>
    <w:rPr>
      <w:rFonts w:ascii="Poppins" w:eastAsiaTheme="minorEastAsia" w:hAnsi="Poppins" w:cs="Times New Roman (Body CS)"/>
      <w:caps/>
      <w:color w:val="DE9F3B" w:themeColor="accent3"/>
      <w:spacing w:val="18"/>
      <w:sz w:val="32"/>
      <w:szCs w:val="32"/>
    </w:rPr>
  </w:style>
  <w:style w:type="character" w:customStyle="1" w:styleId="SubtitleChar">
    <w:name w:val="Subtitle Char"/>
    <w:basedOn w:val="DefaultParagraphFont"/>
    <w:link w:val="Subtitle"/>
    <w:uiPriority w:val="11"/>
    <w:rsid w:val="007044B1"/>
    <w:rPr>
      <w:rFonts w:ascii="Poppins" w:eastAsiaTheme="minorEastAsia" w:hAnsi="Poppins" w:cs="Times New Roman (Body CS)"/>
      <w:caps/>
      <w:color w:val="DE9F3B" w:themeColor="accent3"/>
      <w:spacing w:val="18"/>
      <w:sz w:val="32"/>
      <w:szCs w:val="32"/>
    </w:rPr>
  </w:style>
  <w:style w:type="table" w:styleId="GridTable4-Accent1">
    <w:name w:val="Grid Table 4 Accent 1"/>
    <w:basedOn w:val="TableNormal"/>
    <w:uiPriority w:val="49"/>
    <w:rsid w:val="00FC717A"/>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534162">
      <w:bodyDiv w:val="1"/>
      <w:marLeft w:val="0"/>
      <w:marRight w:val="0"/>
      <w:marTop w:val="0"/>
      <w:marBottom w:val="0"/>
      <w:divBdr>
        <w:top w:val="none" w:sz="0" w:space="0" w:color="auto"/>
        <w:left w:val="none" w:sz="0" w:space="0" w:color="auto"/>
        <w:bottom w:val="none" w:sz="0" w:space="0" w:color="auto"/>
        <w:right w:val="none" w:sz="0" w:space="0" w:color="auto"/>
      </w:divBdr>
    </w:div>
    <w:div w:id="1837188739">
      <w:bodyDiv w:val="1"/>
      <w:marLeft w:val="0"/>
      <w:marRight w:val="0"/>
      <w:marTop w:val="0"/>
      <w:marBottom w:val="0"/>
      <w:divBdr>
        <w:top w:val="none" w:sz="0" w:space="0" w:color="auto"/>
        <w:left w:val="none" w:sz="0" w:space="0" w:color="auto"/>
        <w:bottom w:val="none" w:sz="0" w:space="0" w:color="auto"/>
        <w:right w:val="none" w:sz="0" w:space="0" w:color="auto"/>
      </w:divBdr>
      <w:divsChild>
        <w:div w:id="305360319">
          <w:marLeft w:val="1166"/>
          <w:marRight w:val="0"/>
          <w:marTop w:val="200"/>
          <w:marBottom w:val="0"/>
          <w:divBdr>
            <w:top w:val="none" w:sz="0" w:space="0" w:color="auto"/>
            <w:left w:val="none" w:sz="0" w:space="0" w:color="auto"/>
            <w:bottom w:val="none" w:sz="0" w:space="0" w:color="auto"/>
            <w:right w:val="none" w:sz="0" w:space="0" w:color="auto"/>
          </w:divBdr>
        </w:div>
        <w:div w:id="349184580">
          <w:marLeft w:val="1166"/>
          <w:marRight w:val="0"/>
          <w:marTop w:val="200"/>
          <w:marBottom w:val="0"/>
          <w:divBdr>
            <w:top w:val="none" w:sz="0" w:space="0" w:color="auto"/>
            <w:left w:val="none" w:sz="0" w:space="0" w:color="auto"/>
            <w:bottom w:val="none" w:sz="0" w:space="0" w:color="auto"/>
            <w:right w:val="none" w:sz="0" w:space="0" w:color="auto"/>
          </w:divBdr>
        </w:div>
        <w:div w:id="357004757">
          <w:marLeft w:val="1166"/>
          <w:marRight w:val="0"/>
          <w:marTop w:val="200"/>
          <w:marBottom w:val="0"/>
          <w:divBdr>
            <w:top w:val="none" w:sz="0" w:space="0" w:color="auto"/>
            <w:left w:val="none" w:sz="0" w:space="0" w:color="auto"/>
            <w:bottom w:val="none" w:sz="0" w:space="0" w:color="auto"/>
            <w:right w:val="none" w:sz="0" w:space="0" w:color="auto"/>
          </w:divBdr>
        </w:div>
        <w:div w:id="442384459">
          <w:marLeft w:val="1166"/>
          <w:marRight w:val="0"/>
          <w:marTop w:val="200"/>
          <w:marBottom w:val="0"/>
          <w:divBdr>
            <w:top w:val="none" w:sz="0" w:space="0" w:color="auto"/>
            <w:left w:val="none" w:sz="0" w:space="0" w:color="auto"/>
            <w:bottom w:val="none" w:sz="0" w:space="0" w:color="auto"/>
            <w:right w:val="none" w:sz="0" w:space="0" w:color="auto"/>
          </w:divBdr>
        </w:div>
        <w:div w:id="767580169">
          <w:marLeft w:val="1166"/>
          <w:marRight w:val="0"/>
          <w:marTop w:val="200"/>
          <w:marBottom w:val="0"/>
          <w:divBdr>
            <w:top w:val="none" w:sz="0" w:space="0" w:color="auto"/>
            <w:left w:val="none" w:sz="0" w:space="0" w:color="auto"/>
            <w:bottom w:val="none" w:sz="0" w:space="0" w:color="auto"/>
            <w:right w:val="none" w:sz="0" w:space="0" w:color="auto"/>
          </w:divBdr>
        </w:div>
        <w:div w:id="1868516695">
          <w:marLeft w:val="1166"/>
          <w:marRight w:val="0"/>
          <w:marTop w:val="200"/>
          <w:marBottom w:val="0"/>
          <w:divBdr>
            <w:top w:val="none" w:sz="0" w:space="0" w:color="auto"/>
            <w:left w:val="none" w:sz="0" w:space="0" w:color="auto"/>
            <w:bottom w:val="none" w:sz="0" w:space="0" w:color="auto"/>
            <w:right w:val="none" w:sz="0" w:space="0" w:color="auto"/>
          </w:divBdr>
        </w:div>
      </w:divsChild>
    </w:div>
    <w:div w:id="191970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3E9415-C3F2-44C3-ADE0-0E58DD2BD6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F93BF8B5-E529-4273-851A-A87EDCB6C23D}">
      <dgm:prSet phldrT="[Text]"/>
      <dgm:spPr>
        <a:xfrm>
          <a:off x="2488768" y="835888"/>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Assess HIV status</a:t>
          </a:r>
        </a:p>
      </dgm:t>
    </dgm:pt>
    <dgm:pt modelId="{E8B0763B-F494-429B-BCFF-2CA94E0EC91B}" type="parTrans" cxnId="{02545A64-DCE2-405D-B2C1-01BD7935B07E}">
      <dgm:prSet/>
      <dgm:spPr>
        <a:xfrm>
          <a:off x="3030639" y="589100"/>
          <a:ext cx="91440" cy="246787"/>
        </a:xfrm>
        <a:custGeom>
          <a:avLst/>
          <a:gdLst/>
          <a:ahLst/>
          <a:cxnLst/>
          <a:rect l="0" t="0" r="0" b="0"/>
          <a:pathLst>
            <a:path>
              <a:moveTo>
                <a:pt x="45720" y="0"/>
              </a:moveTo>
              <a:lnTo>
                <a:pt x="45720" y="246787"/>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US">
            <a:solidFill>
              <a:schemeClr val="tx2">
                <a:lumMod val="75000"/>
              </a:schemeClr>
            </a:solidFill>
          </a:endParaRPr>
        </a:p>
      </dgm:t>
    </dgm:pt>
    <dgm:pt modelId="{EDF0C3C2-3AA5-4ABA-A2EB-B65D33BB9EF3}" type="sibTrans" cxnId="{02545A64-DCE2-405D-B2C1-01BD7935B07E}">
      <dgm:prSet/>
      <dgm:spPr/>
      <dgm:t>
        <a:bodyPr/>
        <a:lstStyle/>
        <a:p>
          <a:endParaRPr lang="en-US">
            <a:solidFill>
              <a:schemeClr val="tx2">
                <a:lumMod val="75000"/>
              </a:schemeClr>
            </a:solidFill>
          </a:endParaRPr>
        </a:p>
      </dgm:t>
    </dgm:pt>
    <dgm:pt modelId="{305F5A22-7CF1-4E23-9DA1-C85C41406FBC}" type="asst">
      <dgm:prSet/>
      <dgm:spPr>
        <a:xfrm>
          <a:off x="1066800" y="1670265"/>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Document HIV-positive status</a:t>
          </a:r>
        </a:p>
      </dgm:t>
    </dgm:pt>
    <dgm:pt modelId="{4D838336-04AA-45F2-A046-60052B7B9438}" type="parTrans" cxnId="{0B21DDA0-A16A-4ED8-9279-FCDEE37D04AC}">
      <dgm:prSet/>
      <dgm:spPr>
        <a:xfrm>
          <a:off x="2241981" y="1423478"/>
          <a:ext cx="834377" cy="540582"/>
        </a:xfrm>
        <a:custGeom>
          <a:avLst/>
          <a:gdLst/>
          <a:ahLst/>
          <a:cxnLst/>
          <a:rect l="0" t="0" r="0" b="0"/>
          <a:pathLst>
            <a:path>
              <a:moveTo>
                <a:pt x="834377" y="0"/>
              </a:moveTo>
              <a:lnTo>
                <a:pt x="834377" y="540582"/>
              </a:lnTo>
              <a:lnTo>
                <a:pt x="0" y="54058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0021D5B8-3CA9-444B-972D-A2C973C28A02}" type="sibTrans" cxnId="{0B21DDA0-A16A-4ED8-9279-FCDEE37D04AC}">
      <dgm:prSet/>
      <dgm:spPr/>
      <dgm:t>
        <a:bodyPr/>
        <a:lstStyle/>
        <a:p>
          <a:endParaRPr lang="en-US">
            <a:solidFill>
              <a:schemeClr val="tx2">
                <a:lumMod val="75000"/>
              </a:schemeClr>
            </a:solidFill>
          </a:endParaRPr>
        </a:p>
      </dgm:t>
    </dgm:pt>
    <dgm:pt modelId="{C445247A-7453-456A-AD72-BC2207A64ED4}">
      <dgm:prSet/>
      <dgm:spPr>
        <a:xfrm>
          <a:off x="1066800" y="2504643"/>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Provide routine services</a:t>
          </a:r>
        </a:p>
      </dgm:t>
    </dgm:pt>
    <dgm:pt modelId="{B6821A36-8E38-431E-AC9D-9B9EEB8AA0D9}" type="parTrans" cxnId="{69D4037D-EB22-488E-92BE-50BBA4AF3B8C}">
      <dgm:prSet/>
      <dgm:spPr>
        <a:xfrm>
          <a:off x="1608670" y="2257856"/>
          <a:ext cx="91440" cy="24678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2C20AE92-03FF-4BEB-8400-4F4DAAFB5F99}" type="sibTrans" cxnId="{69D4037D-EB22-488E-92BE-50BBA4AF3B8C}">
      <dgm:prSet/>
      <dgm:spPr/>
      <dgm:t>
        <a:bodyPr/>
        <a:lstStyle/>
        <a:p>
          <a:endParaRPr lang="en-US">
            <a:solidFill>
              <a:schemeClr val="tx2">
                <a:lumMod val="75000"/>
              </a:schemeClr>
            </a:solidFill>
          </a:endParaRPr>
        </a:p>
      </dgm:t>
    </dgm:pt>
    <dgm:pt modelId="{F84645D7-0C00-42AD-8D26-6D515B03E409}" type="asst">
      <dgm:prSet/>
      <dgm:spPr>
        <a:xfrm>
          <a:off x="355546" y="4174909"/>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rIns="91440"/>
        <a:lstStyle/>
        <a:p>
          <a:pPr>
            <a:buNone/>
          </a:pPr>
          <a:r>
            <a:rPr lang="en-US">
              <a:solidFill>
                <a:schemeClr val="tx2">
                  <a:lumMod val="75000"/>
                </a:schemeClr>
              </a:solidFill>
              <a:latin typeface="Calibri"/>
              <a:ea typeface="+mn-ea"/>
              <a:cs typeface="+mn-cs"/>
            </a:rPr>
            <a:t>Collect blood </a:t>
          </a:r>
          <a:r>
            <a:rPr lang="en-US" u="none">
              <a:solidFill>
                <a:schemeClr val="tx2">
                  <a:lumMod val="75000"/>
                </a:schemeClr>
              </a:solidFill>
              <a:latin typeface="Calibri"/>
              <a:ea typeface="+mn-ea"/>
              <a:cs typeface="+mn-cs"/>
            </a:rPr>
            <a:t>and/or ring samples </a:t>
          </a:r>
          <a:r>
            <a:rPr lang="en-US">
              <a:solidFill>
                <a:schemeClr val="tx2">
                  <a:lumMod val="75000"/>
                </a:schemeClr>
              </a:solidFill>
              <a:latin typeface="Calibri"/>
              <a:ea typeface="+mn-ea"/>
              <a:cs typeface="+mn-cs"/>
            </a:rPr>
            <a:t>and send to laboratory for testing</a:t>
          </a:r>
        </a:p>
      </dgm:t>
    </dgm:pt>
    <dgm:pt modelId="{DE794E1A-8283-464C-A962-B0B6517BE2F5}" type="parTrans" cxnId="{970A39EC-5526-4841-B048-A3BB7773AE28}">
      <dgm:prSet/>
      <dgm:spPr>
        <a:xfrm>
          <a:off x="1530726" y="3926611"/>
          <a:ext cx="123664" cy="542092"/>
        </a:xfrm>
        <a:custGeom>
          <a:avLst/>
          <a:gdLst/>
          <a:ahLst/>
          <a:cxnLst/>
          <a:rect l="0" t="0" r="0" b="0"/>
          <a:pathLst>
            <a:path>
              <a:moveTo>
                <a:pt x="123664" y="0"/>
              </a:moveTo>
              <a:lnTo>
                <a:pt x="123664" y="542092"/>
              </a:lnTo>
              <a:lnTo>
                <a:pt x="0" y="542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CF82C199-A17D-4180-A59B-4E67D8D84666}" type="sibTrans" cxnId="{970A39EC-5526-4841-B048-A3BB7773AE28}">
      <dgm:prSet/>
      <dgm:spPr/>
      <dgm:t>
        <a:bodyPr/>
        <a:lstStyle/>
        <a:p>
          <a:endParaRPr lang="en-US">
            <a:solidFill>
              <a:schemeClr val="tx2">
                <a:lumMod val="75000"/>
              </a:schemeClr>
            </a:solidFill>
          </a:endParaRPr>
        </a:p>
      </dgm:t>
    </dgm:pt>
    <dgm:pt modelId="{E9E17ABF-E538-4222-8585-21744FB57D13}" type="asst">
      <dgm:prSet/>
      <dgm:spPr>
        <a:xfrm>
          <a:off x="1777784" y="4174909"/>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rIns="91440"/>
        <a:lstStyle/>
        <a:p>
          <a:pPr>
            <a:buNone/>
          </a:pPr>
          <a:r>
            <a:rPr lang="en-US">
              <a:solidFill>
                <a:schemeClr val="tx2">
                  <a:lumMod val="75000"/>
                </a:schemeClr>
              </a:solidFill>
              <a:latin typeface="Calibri"/>
              <a:ea typeface="+mn-ea"/>
              <a:cs typeface="+mn-cs"/>
            </a:rPr>
            <a:t>Thank client; ensure linkage to care to ART provider</a:t>
          </a:r>
        </a:p>
      </dgm:t>
    </dgm:pt>
    <dgm:pt modelId="{8D3093A6-283B-4473-B09C-8B3F81118BCD}" type="parTrans" cxnId="{AB34B26E-3D1E-4CB8-8D10-70BCA19E9CA9}">
      <dgm:prSet/>
      <dgm:spPr>
        <a:xfrm>
          <a:off x="1654390" y="3926611"/>
          <a:ext cx="123393" cy="542092"/>
        </a:xfrm>
        <a:custGeom>
          <a:avLst/>
          <a:gdLst/>
          <a:ahLst/>
          <a:cxnLst/>
          <a:rect l="0" t="0" r="0" b="0"/>
          <a:pathLst>
            <a:path>
              <a:moveTo>
                <a:pt x="0" y="0"/>
              </a:moveTo>
              <a:lnTo>
                <a:pt x="0" y="542092"/>
              </a:lnTo>
              <a:lnTo>
                <a:pt x="123393" y="542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6148D299-C660-4FB8-982B-7C16FD913EE1}" type="sibTrans" cxnId="{AB34B26E-3D1E-4CB8-8D10-70BCA19E9CA9}">
      <dgm:prSet/>
      <dgm:spPr/>
      <dgm:t>
        <a:bodyPr/>
        <a:lstStyle/>
        <a:p>
          <a:endParaRPr lang="en-US">
            <a:solidFill>
              <a:schemeClr val="tx2">
                <a:lumMod val="75000"/>
              </a:schemeClr>
            </a:solidFill>
          </a:endParaRPr>
        </a:p>
      </dgm:t>
    </dgm:pt>
    <dgm:pt modelId="{238256BD-DAF4-4AE6-B9F1-8AE1278BD154}">
      <dgm:prSet/>
      <dgm:spPr>
        <a:xfrm>
          <a:off x="1066800" y="3339021"/>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Review consent for sample collection</a:t>
          </a:r>
        </a:p>
      </dgm:t>
    </dgm:pt>
    <dgm:pt modelId="{7911CF51-9165-42B3-8A53-647A0AEDC245}" type="sibTrans" cxnId="{59F42743-5A76-4704-8D13-14A2CE25FBFA}">
      <dgm:prSet/>
      <dgm:spPr/>
      <dgm:t>
        <a:bodyPr/>
        <a:lstStyle/>
        <a:p>
          <a:endParaRPr lang="en-US">
            <a:solidFill>
              <a:schemeClr val="tx2">
                <a:lumMod val="75000"/>
              </a:schemeClr>
            </a:solidFill>
          </a:endParaRPr>
        </a:p>
      </dgm:t>
    </dgm:pt>
    <dgm:pt modelId="{0FB4600B-60AC-4BA0-B8AC-5FEB2302F4F4}" type="parTrans" cxnId="{59F42743-5A76-4704-8D13-14A2CE25FBFA}">
      <dgm:prSet/>
      <dgm:spPr>
        <a:xfrm>
          <a:off x="1608670" y="3092234"/>
          <a:ext cx="91440" cy="24678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9B07A955-D2CD-402C-8557-95EAE3D07966}" type="asst">
      <dgm:prSet/>
      <dgm:spPr>
        <a:xfrm>
          <a:off x="3199752" y="1670265"/>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Document HIV-negative status</a:t>
          </a:r>
        </a:p>
      </dgm:t>
    </dgm:pt>
    <dgm:pt modelId="{4C16AFBD-ED03-4652-81B3-560F2FD5C878}" type="sibTrans" cxnId="{A9C6D42A-5F9D-437E-8D6B-EAE042A10516}">
      <dgm:prSet/>
      <dgm:spPr/>
      <dgm:t>
        <a:bodyPr/>
        <a:lstStyle/>
        <a:p>
          <a:endParaRPr lang="en-US">
            <a:solidFill>
              <a:schemeClr val="tx2">
                <a:lumMod val="75000"/>
              </a:schemeClr>
            </a:solidFill>
          </a:endParaRPr>
        </a:p>
      </dgm:t>
    </dgm:pt>
    <dgm:pt modelId="{2A60C497-3545-42D8-BF17-2DC41C519DE1}" type="parTrans" cxnId="{A9C6D42A-5F9D-437E-8D6B-EAE042A10516}">
      <dgm:prSet/>
      <dgm:spPr>
        <a:xfrm>
          <a:off x="3076359" y="1423478"/>
          <a:ext cx="123393" cy="540582"/>
        </a:xfrm>
        <a:custGeom>
          <a:avLst/>
          <a:gdLst/>
          <a:ahLst/>
          <a:cxnLst/>
          <a:rect l="0" t="0" r="0" b="0"/>
          <a:pathLst>
            <a:path>
              <a:moveTo>
                <a:pt x="0" y="0"/>
              </a:moveTo>
              <a:lnTo>
                <a:pt x="0" y="540582"/>
              </a:lnTo>
              <a:lnTo>
                <a:pt x="123393" y="54058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1FFFEFB2-8E89-4ABA-B2BB-C6DC3419DE23}">
      <dgm:prSet/>
      <dgm:spPr>
        <a:xfrm>
          <a:off x="2488768" y="1510"/>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PrEP client presents to clinic for HIV testing</a:t>
          </a:r>
        </a:p>
      </dgm:t>
    </dgm:pt>
    <dgm:pt modelId="{F41B6842-A4F6-410E-8499-8ECDE46AE69F}" type="parTrans" cxnId="{CDA1B91B-44D5-4100-A95B-699CC8E977DE}">
      <dgm:prSet/>
      <dgm:spPr/>
      <dgm:t>
        <a:bodyPr/>
        <a:lstStyle/>
        <a:p>
          <a:endParaRPr lang="en-US">
            <a:solidFill>
              <a:schemeClr val="tx2">
                <a:lumMod val="75000"/>
              </a:schemeClr>
            </a:solidFill>
          </a:endParaRPr>
        </a:p>
      </dgm:t>
    </dgm:pt>
    <dgm:pt modelId="{3E15CE44-9CA8-452E-A7B2-E3259065CD47}" type="sibTrans" cxnId="{CDA1B91B-44D5-4100-A95B-699CC8E977DE}">
      <dgm:prSet/>
      <dgm:spPr/>
      <dgm:t>
        <a:bodyPr/>
        <a:lstStyle/>
        <a:p>
          <a:endParaRPr lang="en-US">
            <a:solidFill>
              <a:schemeClr val="tx2">
                <a:lumMod val="75000"/>
              </a:schemeClr>
            </a:solidFill>
          </a:endParaRPr>
        </a:p>
      </dgm:t>
    </dgm:pt>
    <dgm:pt modelId="{955B2A55-EC7E-4A42-8E25-2C873260F5F9}">
      <dgm:prSet/>
      <dgm:spPr>
        <a:xfrm>
          <a:off x="3199752" y="2504643"/>
          <a:ext cx="1175180" cy="58759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lIns="91440" tIns="0" rIns="91440"/>
        <a:lstStyle/>
        <a:p>
          <a:pPr>
            <a:buNone/>
          </a:pPr>
          <a:r>
            <a:rPr lang="en-US">
              <a:solidFill>
                <a:schemeClr val="tx2">
                  <a:lumMod val="75000"/>
                </a:schemeClr>
              </a:solidFill>
              <a:latin typeface="Calibri"/>
              <a:ea typeface="+mn-ea"/>
              <a:cs typeface="+mn-cs"/>
            </a:rPr>
            <a:t>Continue with PrEP regimen, as needed</a:t>
          </a:r>
        </a:p>
      </dgm:t>
    </dgm:pt>
    <dgm:pt modelId="{B91FAB76-4246-460C-B7FA-B84216B3257E}" type="parTrans" cxnId="{E4D1E925-FDAE-413E-B410-25572AC9625B}">
      <dgm:prSet/>
      <dgm:spPr>
        <a:xfrm>
          <a:off x="3741623" y="2257856"/>
          <a:ext cx="91440" cy="24678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chemeClr val="tx2">
                <a:lumMod val="75000"/>
              </a:schemeClr>
            </a:solidFill>
          </a:endParaRPr>
        </a:p>
      </dgm:t>
    </dgm:pt>
    <dgm:pt modelId="{EF20B56B-417F-4FD7-9451-FFE146784747}" type="sibTrans" cxnId="{E4D1E925-FDAE-413E-B410-25572AC9625B}">
      <dgm:prSet/>
      <dgm:spPr/>
      <dgm:t>
        <a:bodyPr/>
        <a:lstStyle/>
        <a:p>
          <a:endParaRPr lang="en-US">
            <a:solidFill>
              <a:schemeClr val="tx2">
                <a:lumMod val="75000"/>
              </a:schemeClr>
            </a:solidFill>
          </a:endParaRPr>
        </a:p>
      </dgm:t>
    </dgm:pt>
    <dgm:pt modelId="{03710141-60B6-4CAB-90C3-68A3540EFBF5}" type="pres">
      <dgm:prSet presAssocID="{7D3E9415-C3F2-44C3-ADE0-0E58DD2BD611}" presName="hierChild1" presStyleCnt="0">
        <dgm:presLayoutVars>
          <dgm:orgChart val="1"/>
          <dgm:chPref val="1"/>
          <dgm:dir/>
          <dgm:animOne val="branch"/>
          <dgm:animLvl val="lvl"/>
          <dgm:resizeHandles/>
        </dgm:presLayoutVars>
      </dgm:prSet>
      <dgm:spPr/>
    </dgm:pt>
    <dgm:pt modelId="{5F124E28-FC32-47DC-99C3-765831992988}" type="pres">
      <dgm:prSet presAssocID="{1FFFEFB2-8E89-4ABA-B2BB-C6DC3419DE23}" presName="hierRoot1" presStyleCnt="0">
        <dgm:presLayoutVars>
          <dgm:hierBranch val="init"/>
        </dgm:presLayoutVars>
      </dgm:prSet>
      <dgm:spPr/>
    </dgm:pt>
    <dgm:pt modelId="{C4BCC3B3-56D8-45AF-8916-EDDEDE9A4C11}" type="pres">
      <dgm:prSet presAssocID="{1FFFEFB2-8E89-4ABA-B2BB-C6DC3419DE23}" presName="rootComposite1" presStyleCnt="0"/>
      <dgm:spPr/>
    </dgm:pt>
    <dgm:pt modelId="{0995ED72-A0CD-4AA6-AECA-F0F18CBCBA53}" type="pres">
      <dgm:prSet presAssocID="{1FFFEFB2-8E89-4ABA-B2BB-C6DC3419DE23}" presName="rootText1" presStyleLbl="node0" presStyleIdx="0" presStyleCnt="1" custScaleX="128891">
        <dgm:presLayoutVars>
          <dgm:chPref val="3"/>
        </dgm:presLayoutVars>
      </dgm:prSet>
      <dgm:spPr/>
    </dgm:pt>
    <dgm:pt modelId="{252A7E7C-44AA-4615-9CB6-A21BD4284464}" type="pres">
      <dgm:prSet presAssocID="{1FFFEFB2-8E89-4ABA-B2BB-C6DC3419DE23}" presName="rootConnector1" presStyleLbl="node1" presStyleIdx="0" presStyleCnt="0"/>
      <dgm:spPr/>
    </dgm:pt>
    <dgm:pt modelId="{7B610E8D-0EBF-444D-92CD-19B8827B4BC9}" type="pres">
      <dgm:prSet presAssocID="{1FFFEFB2-8E89-4ABA-B2BB-C6DC3419DE23}" presName="hierChild2" presStyleCnt="0"/>
      <dgm:spPr/>
    </dgm:pt>
    <dgm:pt modelId="{B60038E8-95DF-46B8-BB18-91072956F7E4}" type="pres">
      <dgm:prSet presAssocID="{E8B0763B-F494-429B-BCFF-2CA94E0EC91B}" presName="Name37" presStyleLbl="parChTrans1D2" presStyleIdx="0" presStyleCnt="1"/>
      <dgm:spPr/>
    </dgm:pt>
    <dgm:pt modelId="{ABE38F33-C18A-4181-B0E0-F68A9BDD4304}" type="pres">
      <dgm:prSet presAssocID="{F93BF8B5-E529-4273-851A-A87EDCB6C23D}" presName="hierRoot2" presStyleCnt="0">
        <dgm:presLayoutVars>
          <dgm:hierBranch val="init"/>
        </dgm:presLayoutVars>
      </dgm:prSet>
      <dgm:spPr/>
    </dgm:pt>
    <dgm:pt modelId="{CCEF6FA9-CEA2-433A-813C-A8FB2D6033B5}" type="pres">
      <dgm:prSet presAssocID="{F93BF8B5-E529-4273-851A-A87EDCB6C23D}" presName="rootComposite" presStyleCnt="0"/>
      <dgm:spPr/>
    </dgm:pt>
    <dgm:pt modelId="{97A18054-D52A-43FE-B188-E70D47AE538D}" type="pres">
      <dgm:prSet presAssocID="{F93BF8B5-E529-4273-851A-A87EDCB6C23D}" presName="rootText" presStyleLbl="node2" presStyleIdx="0" presStyleCnt="1" custScaleX="127359">
        <dgm:presLayoutVars>
          <dgm:chPref val="3"/>
        </dgm:presLayoutVars>
      </dgm:prSet>
      <dgm:spPr/>
    </dgm:pt>
    <dgm:pt modelId="{D6B4B0FE-E27D-403F-868D-CF8B978FA2DD}" type="pres">
      <dgm:prSet presAssocID="{F93BF8B5-E529-4273-851A-A87EDCB6C23D}" presName="rootConnector" presStyleLbl="node2" presStyleIdx="0" presStyleCnt="1"/>
      <dgm:spPr/>
    </dgm:pt>
    <dgm:pt modelId="{669F4C78-BCFA-469F-9C4B-CEE6A53D1A5A}" type="pres">
      <dgm:prSet presAssocID="{F93BF8B5-E529-4273-851A-A87EDCB6C23D}" presName="hierChild4" presStyleCnt="0"/>
      <dgm:spPr/>
    </dgm:pt>
    <dgm:pt modelId="{1DB56761-78D3-45DD-B72F-E63D945DB887}" type="pres">
      <dgm:prSet presAssocID="{F93BF8B5-E529-4273-851A-A87EDCB6C23D}" presName="hierChild5" presStyleCnt="0"/>
      <dgm:spPr/>
    </dgm:pt>
    <dgm:pt modelId="{FC1E4199-86BA-48E1-81AF-19B6A8F2173D}" type="pres">
      <dgm:prSet presAssocID="{4D838336-04AA-45F2-A046-60052B7B9438}" presName="Name111" presStyleLbl="parChTrans1D3" presStyleIdx="0" presStyleCnt="2"/>
      <dgm:spPr/>
    </dgm:pt>
    <dgm:pt modelId="{C41F325A-F7DB-4EEA-9DB1-BD213BE7EF0C}" type="pres">
      <dgm:prSet presAssocID="{305F5A22-7CF1-4E23-9DA1-C85C41406FBC}" presName="hierRoot3" presStyleCnt="0">
        <dgm:presLayoutVars>
          <dgm:hierBranch val="init"/>
        </dgm:presLayoutVars>
      </dgm:prSet>
      <dgm:spPr/>
    </dgm:pt>
    <dgm:pt modelId="{2BEE3ED4-6739-465D-B9C9-AF13076FCDD8}" type="pres">
      <dgm:prSet presAssocID="{305F5A22-7CF1-4E23-9DA1-C85C41406FBC}" presName="rootComposite3" presStyleCnt="0"/>
      <dgm:spPr/>
    </dgm:pt>
    <dgm:pt modelId="{8FB9442E-D6C2-4725-AC56-991D0954EB6E}" type="pres">
      <dgm:prSet presAssocID="{305F5A22-7CF1-4E23-9DA1-C85C41406FBC}" presName="rootText3" presStyleLbl="asst2" presStyleIdx="0" presStyleCnt="2">
        <dgm:presLayoutVars>
          <dgm:chPref val="3"/>
        </dgm:presLayoutVars>
      </dgm:prSet>
      <dgm:spPr/>
    </dgm:pt>
    <dgm:pt modelId="{C0B66535-F883-4CCC-BAFC-DE0068CB45E1}" type="pres">
      <dgm:prSet presAssocID="{305F5A22-7CF1-4E23-9DA1-C85C41406FBC}" presName="rootConnector3" presStyleLbl="asst2" presStyleIdx="0" presStyleCnt="2"/>
      <dgm:spPr/>
    </dgm:pt>
    <dgm:pt modelId="{81C1EC07-D3A0-497B-B921-0ADA4FC98ABB}" type="pres">
      <dgm:prSet presAssocID="{305F5A22-7CF1-4E23-9DA1-C85C41406FBC}" presName="hierChild6" presStyleCnt="0"/>
      <dgm:spPr/>
    </dgm:pt>
    <dgm:pt modelId="{D2FF3E11-D224-4AF5-AE68-1D69D57BB0E1}" type="pres">
      <dgm:prSet presAssocID="{B6821A36-8E38-431E-AC9D-9B9EEB8AA0D9}" presName="Name37" presStyleLbl="parChTrans1D4" presStyleIdx="0" presStyleCnt="5"/>
      <dgm:spPr/>
    </dgm:pt>
    <dgm:pt modelId="{C371D8F0-5BC5-4C84-9DB7-6D32E1052023}" type="pres">
      <dgm:prSet presAssocID="{C445247A-7453-456A-AD72-BC2207A64ED4}" presName="hierRoot2" presStyleCnt="0">
        <dgm:presLayoutVars>
          <dgm:hierBranch val="init"/>
        </dgm:presLayoutVars>
      </dgm:prSet>
      <dgm:spPr/>
    </dgm:pt>
    <dgm:pt modelId="{C1335756-BE02-44D7-BACE-E6CC29EE6A26}" type="pres">
      <dgm:prSet presAssocID="{C445247A-7453-456A-AD72-BC2207A64ED4}" presName="rootComposite" presStyleCnt="0"/>
      <dgm:spPr/>
    </dgm:pt>
    <dgm:pt modelId="{EC8752EF-22E6-410A-B499-B728C67ABB12}" type="pres">
      <dgm:prSet presAssocID="{C445247A-7453-456A-AD72-BC2207A64ED4}" presName="rootText" presStyleLbl="node4" presStyleIdx="0" presStyleCnt="3">
        <dgm:presLayoutVars>
          <dgm:chPref val="3"/>
        </dgm:presLayoutVars>
      </dgm:prSet>
      <dgm:spPr/>
    </dgm:pt>
    <dgm:pt modelId="{A67DB56D-16BB-4EB4-A3DA-7C12A356FB42}" type="pres">
      <dgm:prSet presAssocID="{C445247A-7453-456A-AD72-BC2207A64ED4}" presName="rootConnector" presStyleLbl="node4" presStyleIdx="0" presStyleCnt="3"/>
      <dgm:spPr/>
    </dgm:pt>
    <dgm:pt modelId="{82F4C8A0-61F5-41DA-A1CC-900B0C91BCE8}" type="pres">
      <dgm:prSet presAssocID="{C445247A-7453-456A-AD72-BC2207A64ED4}" presName="hierChild4" presStyleCnt="0"/>
      <dgm:spPr/>
    </dgm:pt>
    <dgm:pt modelId="{3D69F302-3493-49A0-9CC0-569DB18647D6}" type="pres">
      <dgm:prSet presAssocID="{0FB4600B-60AC-4BA0-B8AC-5FEB2302F4F4}" presName="Name37" presStyleLbl="parChTrans1D4" presStyleIdx="1" presStyleCnt="5"/>
      <dgm:spPr/>
    </dgm:pt>
    <dgm:pt modelId="{4E9D6188-EE2E-4C0F-9F23-9AA47EA6557E}" type="pres">
      <dgm:prSet presAssocID="{238256BD-DAF4-4AE6-B9F1-8AE1278BD154}" presName="hierRoot2" presStyleCnt="0">
        <dgm:presLayoutVars>
          <dgm:hierBranch val="init"/>
        </dgm:presLayoutVars>
      </dgm:prSet>
      <dgm:spPr/>
    </dgm:pt>
    <dgm:pt modelId="{6B47FF24-80FA-42F7-A223-40E88530F5CE}" type="pres">
      <dgm:prSet presAssocID="{238256BD-DAF4-4AE6-B9F1-8AE1278BD154}" presName="rootComposite" presStyleCnt="0"/>
      <dgm:spPr/>
    </dgm:pt>
    <dgm:pt modelId="{4A43DA82-C224-4715-90B2-D8E680C05D3D}" type="pres">
      <dgm:prSet presAssocID="{238256BD-DAF4-4AE6-B9F1-8AE1278BD154}" presName="rootText" presStyleLbl="node4" presStyleIdx="1" presStyleCnt="3">
        <dgm:presLayoutVars>
          <dgm:chPref val="3"/>
        </dgm:presLayoutVars>
      </dgm:prSet>
      <dgm:spPr/>
    </dgm:pt>
    <dgm:pt modelId="{C371F3CF-7560-4B9B-A354-71C27E293942}" type="pres">
      <dgm:prSet presAssocID="{238256BD-DAF4-4AE6-B9F1-8AE1278BD154}" presName="rootConnector" presStyleLbl="node4" presStyleIdx="1" presStyleCnt="3"/>
      <dgm:spPr/>
    </dgm:pt>
    <dgm:pt modelId="{1DAF3B03-3181-468C-B8D9-8861EC6F6185}" type="pres">
      <dgm:prSet presAssocID="{238256BD-DAF4-4AE6-B9F1-8AE1278BD154}" presName="hierChild4" presStyleCnt="0"/>
      <dgm:spPr/>
    </dgm:pt>
    <dgm:pt modelId="{0572F29E-7527-49EF-AA8D-24D40269818C}" type="pres">
      <dgm:prSet presAssocID="{238256BD-DAF4-4AE6-B9F1-8AE1278BD154}" presName="hierChild5" presStyleCnt="0"/>
      <dgm:spPr/>
    </dgm:pt>
    <dgm:pt modelId="{4FE0C735-BFB7-47BB-92A1-7071E8C03D99}" type="pres">
      <dgm:prSet presAssocID="{DE794E1A-8283-464C-A962-B0B6517BE2F5}" presName="Name111" presStyleLbl="parChTrans1D4" presStyleIdx="2" presStyleCnt="5"/>
      <dgm:spPr/>
    </dgm:pt>
    <dgm:pt modelId="{6C8EA474-579F-4431-8E89-6C181C33B261}" type="pres">
      <dgm:prSet presAssocID="{F84645D7-0C00-42AD-8D26-6D515B03E409}" presName="hierRoot3" presStyleCnt="0">
        <dgm:presLayoutVars>
          <dgm:hierBranch val="init"/>
        </dgm:presLayoutVars>
      </dgm:prSet>
      <dgm:spPr/>
    </dgm:pt>
    <dgm:pt modelId="{0B6ECAA4-5049-49BB-8D0E-61CFB48F2DF0}" type="pres">
      <dgm:prSet presAssocID="{F84645D7-0C00-42AD-8D26-6D515B03E409}" presName="rootComposite3" presStyleCnt="0"/>
      <dgm:spPr/>
    </dgm:pt>
    <dgm:pt modelId="{938D83CF-15A8-4199-A683-4283829A8CC5}" type="pres">
      <dgm:prSet presAssocID="{F84645D7-0C00-42AD-8D26-6D515B03E409}" presName="rootText3" presStyleLbl="asst4" presStyleIdx="0" presStyleCnt="2" custScaleX="127590" custLinFactNeighborX="-23" custLinFactNeighborY="31605">
        <dgm:presLayoutVars>
          <dgm:chPref val="3"/>
        </dgm:presLayoutVars>
      </dgm:prSet>
      <dgm:spPr/>
    </dgm:pt>
    <dgm:pt modelId="{781E7534-DD83-4187-BDEF-01A6F0B56DBD}" type="pres">
      <dgm:prSet presAssocID="{F84645D7-0C00-42AD-8D26-6D515B03E409}" presName="rootConnector3" presStyleLbl="asst4" presStyleIdx="0" presStyleCnt="2"/>
      <dgm:spPr/>
    </dgm:pt>
    <dgm:pt modelId="{96069283-A0B5-47A6-B255-583B40DB4672}" type="pres">
      <dgm:prSet presAssocID="{F84645D7-0C00-42AD-8D26-6D515B03E409}" presName="hierChild6" presStyleCnt="0"/>
      <dgm:spPr/>
    </dgm:pt>
    <dgm:pt modelId="{FB814B61-F0BC-4F9A-98D8-1FF0B79AFADA}" type="pres">
      <dgm:prSet presAssocID="{F84645D7-0C00-42AD-8D26-6D515B03E409}" presName="hierChild7" presStyleCnt="0"/>
      <dgm:spPr/>
    </dgm:pt>
    <dgm:pt modelId="{43ADB411-5FCF-4952-83EB-39B51BC53346}" type="pres">
      <dgm:prSet presAssocID="{8D3093A6-283B-4473-B09C-8B3F81118BCD}" presName="Name111" presStyleLbl="parChTrans1D4" presStyleIdx="3" presStyleCnt="5"/>
      <dgm:spPr/>
    </dgm:pt>
    <dgm:pt modelId="{6B77EB43-C3F2-40BC-84F2-75D6F46C6411}" type="pres">
      <dgm:prSet presAssocID="{E9E17ABF-E538-4222-8585-21744FB57D13}" presName="hierRoot3" presStyleCnt="0">
        <dgm:presLayoutVars>
          <dgm:hierBranch val="init"/>
        </dgm:presLayoutVars>
      </dgm:prSet>
      <dgm:spPr/>
    </dgm:pt>
    <dgm:pt modelId="{E4ED9B48-354C-434C-9DCE-589FC8F0D483}" type="pres">
      <dgm:prSet presAssocID="{E9E17ABF-E538-4222-8585-21744FB57D13}" presName="rootComposite3" presStyleCnt="0"/>
      <dgm:spPr/>
    </dgm:pt>
    <dgm:pt modelId="{D046F005-936C-4743-A8A2-682C1DF6FF5A}" type="pres">
      <dgm:prSet presAssocID="{E9E17ABF-E538-4222-8585-21744FB57D13}" presName="rootText3" presStyleLbl="asst4" presStyleIdx="1" presStyleCnt="2" custScaleX="136965" custLinFactNeighborY="20390">
        <dgm:presLayoutVars>
          <dgm:chPref val="3"/>
        </dgm:presLayoutVars>
      </dgm:prSet>
      <dgm:spPr/>
    </dgm:pt>
    <dgm:pt modelId="{5ABE5F67-04BF-45E3-9B1B-99C3631B5DD2}" type="pres">
      <dgm:prSet presAssocID="{E9E17ABF-E538-4222-8585-21744FB57D13}" presName="rootConnector3" presStyleLbl="asst4" presStyleIdx="1" presStyleCnt="2"/>
      <dgm:spPr/>
    </dgm:pt>
    <dgm:pt modelId="{663915B0-8911-4453-9E11-700AC4CC5E21}" type="pres">
      <dgm:prSet presAssocID="{E9E17ABF-E538-4222-8585-21744FB57D13}" presName="hierChild6" presStyleCnt="0"/>
      <dgm:spPr/>
    </dgm:pt>
    <dgm:pt modelId="{134C30FD-13D2-4FBF-8E45-B93B17603AE6}" type="pres">
      <dgm:prSet presAssocID="{E9E17ABF-E538-4222-8585-21744FB57D13}" presName="hierChild7" presStyleCnt="0"/>
      <dgm:spPr/>
    </dgm:pt>
    <dgm:pt modelId="{FF696848-18E7-43FA-8A88-093368FC008F}" type="pres">
      <dgm:prSet presAssocID="{C445247A-7453-456A-AD72-BC2207A64ED4}" presName="hierChild5" presStyleCnt="0"/>
      <dgm:spPr/>
    </dgm:pt>
    <dgm:pt modelId="{2B5F51C9-9E5E-436C-8144-42628F49F895}" type="pres">
      <dgm:prSet presAssocID="{305F5A22-7CF1-4E23-9DA1-C85C41406FBC}" presName="hierChild7" presStyleCnt="0"/>
      <dgm:spPr/>
    </dgm:pt>
    <dgm:pt modelId="{3E0BDC05-CC26-49B5-8DBA-21FED9EECD56}" type="pres">
      <dgm:prSet presAssocID="{2A60C497-3545-42D8-BF17-2DC41C519DE1}" presName="Name111" presStyleLbl="parChTrans1D3" presStyleIdx="1" presStyleCnt="2"/>
      <dgm:spPr/>
    </dgm:pt>
    <dgm:pt modelId="{576522A7-C8CF-4488-AD8A-62B4659BA546}" type="pres">
      <dgm:prSet presAssocID="{9B07A955-D2CD-402C-8557-95EAE3D07966}" presName="hierRoot3" presStyleCnt="0">
        <dgm:presLayoutVars>
          <dgm:hierBranch/>
        </dgm:presLayoutVars>
      </dgm:prSet>
      <dgm:spPr/>
    </dgm:pt>
    <dgm:pt modelId="{92F9D2C3-93C8-4762-987F-97BFCA95A39E}" type="pres">
      <dgm:prSet presAssocID="{9B07A955-D2CD-402C-8557-95EAE3D07966}" presName="rootComposite3" presStyleCnt="0"/>
      <dgm:spPr/>
    </dgm:pt>
    <dgm:pt modelId="{44166800-2B33-4A61-AE02-0DB35C14ED54}" type="pres">
      <dgm:prSet presAssocID="{9B07A955-D2CD-402C-8557-95EAE3D07966}" presName="rootText3" presStyleLbl="asst2" presStyleIdx="1" presStyleCnt="2" custScaleX="124714">
        <dgm:presLayoutVars>
          <dgm:chPref val="3"/>
        </dgm:presLayoutVars>
      </dgm:prSet>
      <dgm:spPr/>
    </dgm:pt>
    <dgm:pt modelId="{14363F04-D2CD-4FB9-9ABE-0CFB6850BBF0}" type="pres">
      <dgm:prSet presAssocID="{9B07A955-D2CD-402C-8557-95EAE3D07966}" presName="rootConnector3" presStyleLbl="asst2" presStyleIdx="1" presStyleCnt="2"/>
      <dgm:spPr/>
    </dgm:pt>
    <dgm:pt modelId="{AAA6DBE4-D04C-4EEE-B707-9069F05CBEEF}" type="pres">
      <dgm:prSet presAssocID="{9B07A955-D2CD-402C-8557-95EAE3D07966}" presName="hierChild6" presStyleCnt="0"/>
      <dgm:spPr/>
    </dgm:pt>
    <dgm:pt modelId="{E44DB6E0-D612-40E9-A984-66B591ECF765}" type="pres">
      <dgm:prSet presAssocID="{B91FAB76-4246-460C-B7FA-B84216B3257E}" presName="Name35" presStyleLbl="parChTrans1D4" presStyleIdx="4" presStyleCnt="5"/>
      <dgm:spPr/>
    </dgm:pt>
    <dgm:pt modelId="{8722AC9D-E552-4497-8B90-09339ABC72A7}" type="pres">
      <dgm:prSet presAssocID="{955B2A55-EC7E-4A42-8E25-2C873260F5F9}" presName="hierRoot2" presStyleCnt="0">
        <dgm:presLayoutVars>
          <dgm:hierBranch val="init"/>
        </dgm:presLayoutVars>
      </dgm:prSet>
      <dgm:spPr/>
    </dgm:pt>
    <dgm:pt modelId="{AB8C4703-7A77-4BA9-A1D6-31AE40435089}" type="pres">
      <dgm:prSet presAssocID="{955B2A55-EC7E-4A42-8E25-2C873260F5F9}" presName="rootComposite" presStyleCnt="0"/>
      <dgm:spPr/>
    </dgm:pt>
    <dgm:pt modelId="{E3C37A5B-2385-4A41-AAB4-C7A34F4A5EB9}" type="pres">
      <dgm:prSet presAssocID="{955B2A55-EC7E-4A42-8E25-2C873260F5F9}" presName="rootText" presStyleLbl="node4" presStyleIdx="2" presStyleCnt="3" custScaleX="124714">
        <dgm:presLayoutVars>
          <dgm:chPref val="3"/>
        </dgm:presLayoutVars>
      </dgm:prSet>
      <dgm:spPr/>
    </dgm:pt>
    <dgm:pt modelId="{60C3DD1A-CC74-4B09-898B-1E17A4450B32}" type="pres">
      <dgm:prSet presAssocID="{955B2A55-EC7E-4A42-8E25-2C873260F5F9}" presName="rootConnector" presStyleLbl="node4" presStyleIdx="2" presStyleCnt="3"/>
      <dgm:spPr/>
    </dgm:pt>
    <dgm:pt modelId="{1AC8F652-B616-4437-8E7D-199166B65D0D}" type="pres">
      <dgm:prSet presAssocID="{955B2A55-EC7E-4A42-8E25-2C873260F5F9}" presName="hierChild4" presStyleCnt="0"/>
      <dgm:spPr/>
    </dgm:pt>
    <dgm:pt modelId="{341ECE2E-3B62-40D6-B770-8351C663425B}" type="pres">
      <dgm:prSet presAssocID="{955B2A55-EC7E-4A42-8E25-2C873260F5F9}" presName="hierChild5" presStyleCnt="0"/>
      <dgm:spPr/>
    </dgm:pt>
    <dgm:pt modelId="{4D4BE00F-A09B-44A0-BCC1-6610C9858E9E}" type="pres">
      <dgm:prSet presAssocID="{9B07A955-D2CD-402C-8557-95EAE3D07966}" presName="hierChild7" presStyleCnt="0"/>
      <dgm:spPr/>
    </dgm:pt>
    <dgm:pt modelId="{20BC8D4E-577E-42F2-B478-E9C9D2A8EBCB}" type="pres">
      <dgm:prSet presAssocID="{1FFFEFB2-8E89-4ABA-B2BB-C6DC3419DE23}" presName="hierChild3" presStyleCnt="0"/>
      <dgm:spPr/>
    </dgm:pt>
  </dgm:ptLst>
  <dgm:cxnLst>
    <dgm:cxn modelId="{FCE14808-1DFF-4518-AEE6-2092F38D0CFB}" type="presOf" srcId="{F93BF8B5-E529-4273-851A-A87EDCB6C23D}" destId="{D6B4B0FE-E27D-403F-868D-CF8B978FA2DD}" srcOrd="1" destOrd="0" presId="urn:microsoft.com/office/officeart/2005/8/layout/orgChart1"/>
    <dgm:cxn modelId="{BFC4FD0A-9A1A-415B-A197-F9CD32C395DF}" type="presOf" srcId="{1FFFEFB2-8E89-4ABA-B2BB-C6DC3419DE23}" destId="{0995ED72-A0CD-4AA6-AECA-F0F18CBCBA53}" srcOrd="0" destOrd="0" presId="urn:microsoft.com/office/officeart/2005/8/layout/orgChart1"/>
    <dgm:cxn modelId="{F7CF3B0E-5C72-4019-8B0F-63BD0CA8C07E}" type="presOf" srcId="{C445247A-7453-456A-AD72-BC2207A64ED4}" destId="{EC8752EF-22E6-410A-B499-B728C67ABB12}" srcOrd="0" destOrd="0" presId="urn:microsoft.com/office/officeart/2005/8/layout/orgChart1"/>
    <dgm:cxn modelId="{3EC7600E-237E-4F1A-B489-4D68EEB7C3D6}" type="presOf" srcId="{305F5A22-7CF1-4E23-9DA1-C85C41406FBC}" destId="{C0B66535-F883-4CCC-BAFC-DE0068CB45E1}" srcOrd="1" destOrd="0" presId="urn:microsoft.com/office/officeart/2005/8/layout/orgChart1"/>
    <dgm:cxn modelId="{DC7F5A10-8026-4721-A4AE-5A121F5A4E7F}" type="presOf" srcId="{9B07A955-D2CD-402C-8557-95EAE3D07966}" destId="{14363F04-D2CD-4FB9-9ABE-0CFB6850BBF0}" srcOrd="1" destOrd="0" presId="urn:microsoft.com/office/officeart/2005/8/layout/orgChart1"/>
    <dgm:cxn modelId="{FB8AEA15-5F8B-461C-9C5B-D6BB7F5DE1B3}" type="presOf" srcId="{9B07A955-D2CD-402C-8557-95EAE3D07966}" destId="{44166800-2B33-4A61-AE02-0DB35C14ED54}" srcOrd="0" destOrd="0" presId="urn:microsoft.com/office/officeart/2005/8/layout/orgChart1"/>
    <dgm:cxn modelId="{CDA1B91B-44D5-4100-A95B-699CC8E977DE}" srcId="{7D3E9415-C3F2-44C3-ADE0-0E58DD2BD611}" destId="{1FFFEFB2-8E89-4ABA-B2BB-C6DC3419DE23}" srcOrd="0" destOrd="0" parTransId="{F41B6842-A4F6-410E-8499-8ECDE46AE69F}" sibTransId="{3E15CE44-9CA8-452E-A7B2-E3259065CD47}"/>
    <dgm:cxn modelId="{E4D1E925-FDAE-413E-B410-25572AC9625B}" srcId="{9B07A955-D2CD-402C-8557-95EAE3D07966}" destId="{955B2A55-EC7E-4A42-8E25-2C873260F5F9}" srcOrd="0" destOrd="0" parTransId="{B91FAB76-4246-460C-B7FA-B84216B3257E}" sibTransId="{EF20B56B-417F-4FD7-9451-FFE146784747}"/>
    <dgm:cxn modelId="{D147452A-236E-49B0-8C3A-0243F89A3030}" type="presOf" srcId="{0FB4600B-60AC-4BA0-B8AC-5FEB2302F4F4}" destId="{3D69F302-3493-49A0-9CC0-569DB18647D6}" srcOrd="0" destOrd="0" presId="urn:microsoft.com/office/officeart/2005/8/layout/orgChart1"/>
    <dgm:cxn modelId="{A9C6D42A-5F9D-437E-8D6B-EAE042A10516}" srcId="{F93BF8B5-E529-4273-851A-A87EDCB6C23D}" destId="{9B07A955-D2CD-402C-8557-95EAE3D07966}" srcOrd="1" destOrd="0" parTransId="{2A60C497-3545-42D8-BF17-2DC41C519DE1}" sibTransId="{4C16AFBD-ED03-4652-81B3-560F2FD5C878}"/>
    <dgm:cxn modelId="{AD315C2E-C495-4391-BAF9-A83A5F33BEDD}" type="presOf" srcId="{E9E17ABF-E538-4222-8585-21744FB57D13}" destId="{5ABE5F67-04BF-45E3-9B1B-99C3631B5DD2}" srcOrd="1" destOrd="0" presId="urn:microsoft.com/office/officeart/2005/8/layout/orgChart1"/>
    <dgm:cxn modelId="{A108802E-F565-455A-A4B2-ADC26B404790}" type="presOf" srcId="{8D3093A6-283B-4473-B09C-8B3F81118BCD}" destId="{43ADB411-5FCF-4952-83EB-39B51BC53346}" srcOrd="0" destOrd="0" presId="urn:microsoft.com/office/officeart/2005/8/layout/orgChart1"/>
    <dgm:cxn modelId="{8BB6D02F-A7C2-477F-A2B3-733483088B4B}" type="presOf" srcId="{238256BD-DAF4-4AE6-B9F1-8AE1278BD154}" destId="{4A43DA82-C224-4715-90B2-D8E680C05D3D}" srcOrd="0" destOrd="0" presId="urn:microsoft.com/office/officeart/2005/8/layout/orgChart1"/>
    <dgm:cxn modelId="{59F42743-5A76-4704-8D13-14A2CE25FBFA}" srcId="{C445247A-7453-456A-AD72-BC2207A64ED4}" destId="{238256BD-DAF4-4AE6-B9F1-8AE1278BD154}" srcOrd="0" destOrd="0" parTransId="{0FB4600B-60AC-4BA0-B8AC-5FEB2302F4F4}" sibTransId="{7911CF51-9165-42B3-8A53-647A0AEDC245}"/>
    <dgm:cxn modelId="{02545A64-DCE2-405D-B2C1-01BD7935B07E}" srcId="{1FFFEFB2-8E89-4ABA-B2BB-C6DC3419DE23}" destId="{F93BF8B5-E529-4273-851A-A87EDCB6C23D}" srcOrd="0" destOrd="0" parTransId="{E8B0763B-F494-429B-BCFF-2CA94E0EC91B}" sibTransId="{EDF0C3C2-3AA5-4ABA-A2EB-B65D33BB9EF3}"/>
    <dgm:cxn modelId="{79A7E547-FC61-4387-BAE7-D1774B87DECC}" type="presOf" srcId="{1FFFEFB2-8E89-4ABA-B2BB-C6DC3419DE23}" destId="{252A7E7C-44AA-4615-9CB6-A21BD4284464}" srcOrd="1" destOrd="0" presId="urn:microsoft.com/office/officeart/2005/8/layout/orgChart1"/>
    <dgm:cxn modelId="{1286E24A-A7E9-447E-B031-FF72838ED75B}" type="presOf" srcId="{F93BF8B5-E529-4273-851A-A87EDCB6C23D}" destId="{97A18054-D52A-43FE-B188-E70D47AE538D}" srcOrd="0" destOrd="0" presId="urn:microsoft.com/office/officeart/2005/8/layout/orgChart1"/>
    <dgm:cxn modelId="{AB34B26E-3D1E-4CB8-8D10-70BCA19E9CA9}" srcId="{238256BD-DAF4-4AE6-B9F1-8AE1278BD154}" destId="{E9E17ABF-E538-4222-8585-21744FB57D13}" srcOrd="1" destOrd="0" parTransId="{8D3093A6-283B-4473-B09C-8B3F81118BCD}" sibTransId="{6148D299-C660-4FB8-982B-7C16FD913EE1}"/>
    <dgm:cxn modelId="{B6A8ED71-9B88-47E8-B871-727058DD6867}" type="presOf" srcId="{305F5A22-7CF1-4E23-9DA1-C85C41406FBC}" destId="{8FB9442E-D6C2-4725-AC56-991D0954EB6E}" srcOrd="0" destOrd="0" presId="urn:microsoft.com/office/officeart/2005/8/layout/orgChart1"/>
    <dgm:cxn modelId="{70D3BE75-D0D1-447B-BB8C-18B7161BF72C}" type="presOf" srcId="{B6821A36-8E38-431E-AC9D-9B9EEB8AA0D9}" destId="{D2FF3E11-D224-4AF5-AE68-1D69D57BB0E1}" srcOrd="0" destOrd="0" presId="urn:microsoft.com/office/officeart/2005/8/layout/orgChart1"/>
    <dgm:cxn modelId="{6927E855-5494-4200-9244-C5ED313CD0D2}" type="presOf" srcId="{955B2A55-EC7E-4A42-8E25-2C873260F5F9}" destId="{60C3DD1A-CC74-4B09-898B-1E17A4450B32}" srcOrd="1" destOrd="0" presId="urn:microsoft.com/office/officeart/2005/8/layout/orgChart1"/>
    <dgm:cxn modelId="{5154A677-778C-470D-95F5-D1E3115B684B}" type="presOf" srcId="{F84645D7-0C00-42AD-8D26-6D515B03E409}" destId="{781E7534-DD83-4187-BDEF-01A6F0B56DBD}" srcOrd="1" destOrd="0" presId="urn:microsoft.com/office/officeart/2005/8/layout/orgChart1"/>
    <dgm:cxn modelId="{69D4037D-EB22-488E-92BE-50BBA4AF3B8C}" srcId="{305F5A22-7CF1-4E23-9DA1-C85C41406FBC}" destId="{C445247A-7453-456A-AD72-BC2207A64ED4}" srcOrd="0" destOrd="0" parTransId="{B6821A36-8E38-431E-AC9D-9B9EEB8AA0D9}" sibTransId="{2C20AE92-03FF-4BEB-8400-4F4DAAFB5F99}"/>
    <dgm:cxn modelId="{4092F57F-AEFB-4091-B34F-7EAE1DA08C46}" type="presOf" srcId="{B91FAB76-4246-460C-B7FA-B84216B3257E}" destId="{E44DB6E0-D612-40E9-A984-66B591ECF765}" srcOrd="0" destOrd="0" presId="urn:microsoft.com/office/officeart/2005/8/layout/orgChart1"/>
    <dgm:cxn modelId="{0B21DDA0-A16A-4ED8-9279-FCDEE37D04AC}" srcId="{F93BF8B5-E529-4273-851A-A87EDCB6C23D}" destId="{305F5A22-7CF1-4E23-9DA1-C85C41406FBC}" srcOrd="0" destOrd="0" parTransId="{4D838336-04AA-45F2-A046-60052B7B9438}" sibTransId="{0021D5B8-3CA9-444B-972D-A2C973C28A02}"/>
    <dgm:cxn modelId="{5536E2A3-405F-497E-A4D4-F735B6394EA6}" type="presOf" srcId="{238256BD-DAF4-4AE6-B9F1-8AE1278BD154}" destId="{C371F3CF-7560-4B9B-A354-71C27E293942}" srcOrd="1" destOrd="0" presId="urn:microsoft.com/office/officeart/2005/8/layout/orgChart1"/>
    <dgm:cxn modelId="{038272B5-C7B7-4964-8F62-BAD893B7F0B7}" type="presOf" srcId="{C445247A-7453-456A-AD72-BC2207A64ED4}" destId="{A67DB56D-16BB-4EB4-A3DA-7C12A356FB42}" srcOrd="1" destOrd="0" presId="urn:microsoft.com/office/officeart/2005/8/layout/orgChart1"/>
    <dgm:cxn modelId="{921CDCB9-54D1-4283-A1BF-81798608E128}" type="presOf" srcId="{4D838336-04AA-45F2-A046-60052B7B9438}" destId="{FC1E4199-86BA-48E1-81AF-19B6A8F2173D}" srcOrd="0" destOrd="0" presId="urn:microsoft.com/office/officeart/2005/8/layout/orgChart1"/>
    <dgm:cxn modelId="{DC58D7BB-7878-4B10-9879-72B7D5380BE7}" type="presOf" srcId="{955B2A55-EC7E-4A42-8E25-2C873260F5F9}" destId="{E3C37A5B-2385-4A41-AAB4-C7A34F4A5EB9}" srcOrd="0" destOrd="0" presId="urn:microsoft.com/office/officeart/2005/8/layout/orgChart1"/>
    <dgm:cxn modelId="{B1A2BEC0-BF39-4053-A68C-320A705C3031}" type="presOf" srcId="{7D3E9415-C3F2-44C3-ADE0-0E58DD2BD611}" destId="{03710141-60B6-4CAB-90C3-68A3540EFBF5}" srcOrd="0" destOrd="0" presId="urn:microsoft.com/office/officeart/2005/8/layout/orgChart1"/>
    <dgm:cxn modelId="{744F5ACB-94E7-4DB1-A7C7-47B995F27329}" type="presOf" srcId="{F84645D7-0C00-42AD-8D26-6D515B03E409}" destId="{938D83CF-15A8-4199-A683-4283829A8CC5}" srcOrd="0" destOrd="0" presId="urn:microsoft.com/office/officeart/2005/8/layout/orgChart1"/>
    <dgm:cxn modelId="{B1D084CE-0C96-4224-867A-F92DCD8EF359}" type="presOf" srcId="{E8B0763B-F494-429B-BCFF-2CA94E0EC91B}" destId="{B60038E8-95DF-46B8-BB18-91072956F7E4}" srcOrd="0" destOrd="0" presId="urn:microsoft.com/office/officeart/2005/8/layout/orgChart1"/>
    <dgm:cxn modelId="{BAD572DC-5F06-4C98-957B-CBB48F6D88CD}" type="presOf" srcId="{DE794E1A-8283-464C-A962-B0B6517BE2F5}" destId="{4FE0C735-BFB7-47BB-92A1-7071E8C03D99}" srcOrd="0" destOrd="0" presId="urn:microsoft.com/office/officeart/2005/8/layout/orgChart1"/>
    <dgm:cxn modelId="{418F21E4-D831-452A-AADB-7152AB08FCCF}" type="presOf" srcId="{2A60C497-3545-42D8-BF17-2DC41C519DE1}" destId="{3E0BDC05-CC26-49B5-8DBA-21FED9EECD56}" srcOrd="0" destOrd="0" presId="urn:microsoft.com/office/officeart/2005/8/layout/orgChart1"/>
    <dgm:cxn modelId="{07E3EDE8-9904-49F3-9B2F-DEED0205E29A}" type="presOf" srcId="{E9E17ABF-E538-4222-8585-21744FB57D13}" destId="{D046F005-936C-4743-A8A2-682C1DF6FF5A}" srcOrd="0" destOrd="0" presId="urn:microsoft.com/office/officeart/2005/8/layout/orgChart1"/>
    <dgm:cxn modelId="{970A39EC-5526-4841-B048-A3BB7773AE28}" srcId="{238256BD-DAF4-4AE6-B9F1-8AE1278BD154}" destId="{F84645D7-0C00-42AD-8D26-6D515B03E409}" srcOrd="0" destOrd="0" parTransId="{DE794E1A-8283-464C-A962-B0B6517BE2F5}" sibTransId="{CF82C199-A17D-4180-A59B-4E67D8D84666}"/>
    <dgm:cxn modelId="{44C468C7-1B0C-4490-BF8E-0855221FDA44}" type="presParOf" srcId="{03710141-60B6-4CAB-90C3-68A3540EFBF5}" destId="{5F124E28-FC32-47DC-99C3-765831992988}" srcOrd="0" destOrd="0" presId="urn:microsoft.com/office/officeart/2005/8/layout/orgChart1"/>
    <dgm:cxn modelId="{0F8D6E96-7BA8-44E0-AB02-BA086B228342}" type="presParOf" srcId="{5F124E28-FC32-47DC-99C3-765831992988}" destId="{C4BCC3B3-56D8-45AF-8916-EDDEDE9A4C11}" srcOrd="0" destOrd="0" presId="urn:microsoft.com/office/officeart/2005/8/layout/orgChart1"/>
    <dgm:cxn modelId="{391B4CAF-18A4-41F1-B5BF-943315E6F9FC}" type="presParOf" srcId="{C4BCC3B3-56D8-45AF-8916-EDDEDE9A4C11}" destId="{0995ED72-A0CD-4AA6-AECA-F0F18CBCBA53}" srcOrd="0" destOrd="0" presId="urn:microsoft.com/office/officeart/2005/8/layout/orgChart1"/>
    <dgm:cxn modelId="{618C487E-7976-4BC7-8349-9C65D4AFAF79}" type="presParOf" srcId="{C4BCC3B3-56D8-45AF-8916-EDDEDE9A4C11}" destId="{252A7E7C-44AA-4615-9CB6-A21BD4284464}" srcOrd="1" destOrd="0" presId="urn:microsoft.com/office/officeart/2005/8/layout/orgChart1"/>
    <dgm:cxn modelId="{28CFCF9E-34A7-4045-89B8-1D5EDD51FAD9}" type="presParOf" srcId="{5F124E28-FC32-47DC-99C3-765831992988}" destId="{7B610E8D-0EBF-444D-92CD-19B8827B4BC9}" srcOrd="1" destOrd="0" presId="urn:microsoft.com/office/officeart/2005/8/layout/orgChart1"/>
    <dgm:cxn modelId="{F9C37790-7363-45DC-A4CA-39630157FEC7}" type="presParOf" srcId="{7B610E8D-0EBF-444D-92CD-19B8827B4BC9}" destId="{B60038E8-95DF-46B8-BB18-91072956F7E4}" srcOrd="0" destOrd="0" presId="urn:microsoft.com/office/officeart/2005/8/layout/orgChart1"/>
    <dgm:cxn modelId="{D172C6FC-3D66-48FB-BF3E-8C2693200963}" type="presParOf" srcId="{7B610E8D-0EBF-444D-92CD-19B8827B4BC9}" destId="{ABE38F33-C18A-4181-B0E0-F68A9BDD4304}" srcOrd="1" destOrd="0" presId="urn:microsoft.com/office/officeart/2005/8/layout/orgChart1"/>
    <dgm:cxn modelId="{EC6F63E6-DFD0-4DBD-A816-F83A8922FF92}" type="presParOf" srcId="{ABE38F33-C18A-4181-B0E0-F68A9BDD4304}" destId="{CCEF6FA9-CEA2-433A-813C-A8FB2D6033B5}" srcOrd="0" destOrd="0" presId="urn:microsoft.com/office/officeart/2005/8/layout/orgChart1"/>
    <dgm:cxn modelId="{7FBB2B08-27FA-4682-B78C-A07BF42EE761}" type="presParOf" srcId="{CCEF6FA9-CEA2-433A-813C-A8FB2D6033B5}" destId="{97A18054-D52A-43FE-B188-E70D47AE538D}" srcOrd="0" destOrd="0" presId="urn:microsoft.com/office/officeart/2005/8/layout/orgChart1"/>
    <dgm:cxn modelId="{C32DD1A9-EB14-47AF-B007-400785CAAD9B}" type="presParOf" srcId="{CCEF6FA9-CEA2-433A-813C-A8FB2D6033B5}" destId="{D6B4B0FE-E27D-403F-868D-CF8B978FA2DD}" srcOrd="1" destOrd="0" presId="urn:microsoft.com/office/officeart/2005/8/layout/orgChart1"/>
    <dgm:cxn modelId="{9975E46E-B0A1-491D-ADFC-E0ED8246A7FB}" type="presParOf" srcId="{ABE38F33-C18A-4181-B0E0-F68A9BDD4304}" destId="{669F4C78-BCFA-469F-9C4B-CEE6A53D1A5A}" srcOrd="1" destOrd="0" presId="urn:microsoft.com/office/officeart/2005/8/layout/orgChart1"/>
    <dgm:cxn modelId="{03F57DB1-A76B-4E47-A40F-C4031E55C0DF}" type="presParOf" srcId="{ABE38F33-C18A-4181-B0E0-F68A9BDD4304}" destId="{1DB56761-78D3-45DD-B72F-E63D945DB887}" srcOrd="2" destOrd="0" presId="urn:microsoft.com/office/officeart/2005/8/layout/orgChart1"/>
    <dgm:cxn modelId="{3F89BA37-33EF-40A5-A4FF-BC463F270487}" type="presParOf" srcId="{1DB56761-78D3-45DD-B72F-E63D945DB887}" destId="{FC1E4199-86BA-48E1-81AF-19B6A8F2173D}" srcOrd="0" destOrd="0" presId="urn:microsoft.com/office/officeart/2005/8/layout/orgChart1"/>
    <dgm:cxn modelId="{65FEA79C-F7B9-4891-AE96-B1BB66AD0270}" type="presParOf" srcId="{1DB56761-78D3-45DD-B72F-E63D945DB887}" destId="{C41F325A-F7DB-4EEA-9DB1-BD213BE7EF0C}" srcOrd="1" destOrd="0" presId="urn:microsoft.com/office/officeart/2005/8/layout/orgChart1"/>
    <dgm:cxn modelId="{350E5D11-53A0-40E1-A2D0-0357E9036BA0}" type="presParOf" srcId="{C41F325A-F7DB-4EEA-9DB1-BD213BE7EF0C}" destId="{2BEE3ED4-6739-465D-B9C9-AF13076FCDD8}" srcOrd="0" destOrd="0" presId="urn:microsoft.com/office/officeart/2005/8/layout/orgChart1"/>
    <dgm:cxn modelId="{86E6359D-737C-4C92-A4F0-A5255493CC5D}" type="presParOf" srcId="{2BEE3ED4-6739-465D-B9C9-AF13076FCDD8}" destId="{8FB9442E-D6C2-4725-AC56-991D0954EB6E}" srcOrd="0" destOrd="0" presId="urn:microsoft.com/office/officeart/2005/8/layout/orgChart1"/>
    <dgm:cxn modelId="{79462114-BEEA-4620-BD34-A4A4DD1296E4}" type="presParOf" srcId="{2BEE3ED4-6739-465D-B9C9-AF13076FCDD8}" destId="{C0B66535-F883-4CCC-BAFC-DE0068CB45E1}" srcOrd="1" destOrd="0" presId="urn:microsoft.com/office/officeart/2005/8/layout/orgChart1"/>
    <dgm:cxn modelId="{FE4B7DC1-B72F-4F6C-829A-CAC30697F8BE}" type="presParOf" srcId="{C41F325A-F7DB-4EEA-9DB1-BD213BE7EF0C}" destId="{81C1EC07-D3A0-497B-B921-0ADA4FC98ABB}" srcOrd="1" destOrd="0" presId="urn:microsoft.com/office/officeart/2005/8/layout/orgChart1"/>
    <dgm:cxn modelId="{C29F19F9-51B0-4490-94C9-87D8711BBB90}" type="presParOf" srcId="{81C1EC07-D3A0-497B-B921-0ADA4FC98ABB}" destId="{D2FF3E11-D224-4AF5-AE68-1D69D57BB0E1}" srcOrd="0" destOrd="0" presId="urn:microsoft.com/office/officeart/2005/8/layout/orgChart1"/>
    <dgm:cxn modelId="{C06DF308-A8A8-43EB-B077-1A973478FF16}" type="presParOf" srcId="{81C1EC07-D3A0-497B-B921-0ADA4FC98ABB}" destId="{C371D8F0-5BC5-4C84-9DB7-6D32E1052023}" srcOrd="1" destOrd="0" presId="urn:microsoft.com/office/officeart/2005/8/layout/orgChart1"/>
    <dgm:cxn modelId="{C3738F1A-63A6-49D3-BD8C-B79AE325AA33}" type="presParOf" srcId="{C371D8F0-5BC5-4C84-9DB7-6D32E1052023}" destId="{C1335756-BE02-44D7-BACE-E6CC29EE6A26}" srcOrd="0" destOrd="0" presId="urn:microsoft.com/office/officeart/2005/8/layout/orgChart1"/>
    <dgm:cxn modelId="{791F3EDF-A98A-4985-BF52-BFAD7BB7FE79}" type="presParOf" srcId="{C1335756-BE02-44D7-BACE-E6CC29EE6A26}" destId="{EC8752EF-22E6-410A-B499-B728C67ABB12}" srcOrd="0" destOrd="0" presId="urn:microsoft.com/office/officeart/2005/8/layout/orgChart1"/>
    <dgm:cxn modelId="{3C938E48-114D-40CE-AD89-C020E3845459}" type="presParOf" srcId="{C1335756-BE02-44D7-BACE-E6CC29EE6A26}" destId="{A67DB56D-16BB-4EB4-A3DA-7C12A356FB42}" srcOrd="1" destOrd="0" presId="urn:microsoft.com/office/officeart/2005/8/layout/orgChart1"/>
    <dgm:cxn modelId="{971AA7F2-C12E-4BBE-8BC2-E0F5AE92E62F}" type="presParOf" srcId="{C371D8F0-5BC5-4C84-9DB7-6D32E1052023}" destId="{82F4C8A0-61F5-41DA-A1CC-900B0C91BCE8}" srcOrd="1" destOrd="0" presId="urn:microsoft.com/office/officeart/2005/8/layout/orgChart1"/>
    <dgm:cxn modelId="{D060E202-14CE-4F30-9A53-71E4DBF4E57F}" type="presParOf" srcId="{82F4C8A0-61F5-41DA-A1CC-900B0C91BCE8}" destId="{3D69F302-3493-49A0-9CC0-569DB18647D6}" srcOrd="0" destOrd="0" presId="urn:microsoft.com/office/officeart/2005/8/layout/orgChart1"/>
    <dgm:cxn modelId="{D4421091-DBD4-467B-80A7-5A1A8202E151}" type="presParOf" srcId="{82F4C8A0-61F5-41DA-A1CC-900B0C91BCE8}" destId="{4E9D6188-EE2E-4C0F-9F23-9AA47EA6557E}" srcOrd="1" destOrd="0" presId="urn:microsoft.com/office/officeart/2005/8/layout/orgChart1"/>
    <dgm:cxn modelId="{B272EB76-1E7B-4F71-B069-AF7DEA4DEEDB}" type="presParOf" srcId="{4E9D6188-EE2E-4C0F-9F23-9AA47EA6557E}" destId="{6B47FF24-80FA-42F7-A223-40E88530F5CE}" srcOrd="0" destOrd="0" presId="urn:microsoft.com/office/officeart/2005/8/layout/orgChart1"/>
    <dgm:cxn modelId="{B5422305-E61E-484A-B6C7-472C942FCF95}" type="presParOf" srcId="{6B47FF24-80FA-42F7-A223-40E88530F5CE}" destId="{4A43DA82-C224-4715-90B2-D8E680C05D3D}" srcOrd="0" destOrd="0" presId="urn:microsoft.com/office/officeart/2005/8/layout/orgChart1"/>
    <dgm:cxn modelId="{9D98FE1F-E8C5-44FD-93E6-84770DEB7C39}" type="presParOf" srcId="{6B47FF24-80FA-42F7-A223-40E88530F5CE}" destId="{C371F3CF-7560-4B9B-A354-71C27E293942}" srcOrd="1" destOrd="0" presId="urn:microsoft.com/office/officeart/2005/8/layout/orgChart1"/>
    <dgm:cxn modelId="{324AB253-A974-4D98-B483-5F29A3F5621B}" type="presParOf" srcId="{4E9D6188-EE2E-4C0F-9F23-9AA47EA6557E}" destId="{1DAF3B03-3181-468C-B8D9-8861EC6F6185}" srcOrd="1" destOrd="0" presId="urn:microsoft.com/office/officeart/2005/8/layout/orgChart1"/>
    <dgm:cxn modelId="{0E6D1D98-8FD6-4D8C-8D4E-A49CB9487034}" type="presParOf" srcId="{4E9D6188-EE2E-4C0F-9F23-9AA47EA6557E}" destId="{0572F29E-7527-49EF-AA8D-24D40269818C}" srcOrd="2" destOrd="0" presId="urn:microsoft.com/office/officeart/2005/8/layout/orgChart1"/>
    <dgm:cxn modelId="{23B13D6A-6887-4DFA-AAB6-E078A931EB49}" type="presParOf" srcId="{0572F29E-7527-49EF-AA8D-24D40269818C}" destId="{4FE0C735-BFB7-47BB-92A1-7071E8C03D99}" srcOrd="0" destOrd="0" presId="urn:microsoft.com/office/officeart/2005/8/layout/orgChart1"/>
    <dgm:cxn modelId="{75380289-E45C-4FE5-B114-78BEDFE7C719}" type="presParOf" srcId="{0572F29E-7527-49EF-AA8D-24D40269818C}" destId="{6C8EA474-579F-4431-8E89-6C181C33B261}" srcOrd="1" destOrd="0" presId="urn:microsoft.com/office/officeart/2005/8/layout/orgChart1"/>
    <dgm:cxn modelId="{20A4D29E-B5D3-4953-8252-E28717681D28}" type="presParOf" srcId="{6C8EA474-579F-4431-8E89-6C181C33B261}" destId="{0B6ECAA4-5049-49BB-8D0E-61CFB48F2DF0}" srcOrd="0" destOrd="0" presId="urn:microsoft.com/office/officeart/2005/8/layout/orgChart1"/>
    <dgm:cxn modelId="{41A02DD6-E248-41B6-B3F8-02C8805BC8DA}" type="presParOf" srcId="{0B6ECAA4-5049-49BB-8D0E-61CFB48F2DF0}" destId="{938D83CF-15A8-4199-A683-4283829A8CC5}" srcOrd="0" destOrd="0" presId="urn:microsoft.com/office/officeart/2005/8/layout/orgChart1"/>
    <dgm:cxn modelId="{6BDEFDE0-2A24-45D7-B87F-F6CDF917E1A6}" type="presParOf" srcId="{0B6ECAA4-5049-49BB-8D0E-61CFB48F2DF0}" destId="{781E7534-DD83-4187-BDEF-01A6F0B56DBD}" srcOrd="1" destOrd="0" presId="urn:microsoft.com/office/officeart/2005/8/layout/orgChart1"/>
    <dgm:cxn modelId="{76642CF4-760A-4F77-A3DB-C9DDFDA754A8}" type="presParOf" srcId="{6C8EA474-579F-4431-8E89-6C181C33B261}" destId="{96069283-A0B5-47A6-B255-583B40DB4672}" srcOrd="1" destOrd="0" presId="urn:microsoft.com/office/officeart/2005/8/layout/orgChart1"/>
    <dgm:cxn modelId="{EEDD5CFF-AFFF-4D07-83D3-EC2224D975BD}" type="presParOf" srcId="{6C8EA474-579F-4431-8E89-6C181C33B261}" destId="{FB814B61-F0BC-4F9A-98D8-1FF0B79AFADA}" srcOrd="2" destOrd="0" presId="urn:microsoft.com/office/officeart/2005/8/layout/orgChart1"/>
    <dgm:cxn modelId="{6DCA28EB-716C-4FAE-BA0E-15FA86C5BEF3}" type="presParOf" srcId="{0572F29E-7527-49EF-AA8D-24D40269818C}" destId="{43ADB411-5FCF-4952-83EB-39B51BC53346}" srcOrd="2" destOrd="0" presId="urn:microsoft.com/office/officeart/2005/8/layout/orgChart1"/>
    <dgm:cxn modelId="{985BF4E1-A27D-4C4D-A9C4-5B04EF5C1B93}" type="presParOf" srcId="{0572F29E-7527-49EF-AA8D-24D40269818C}" destId="{6B77EB43-C3F2-40BC-84F2-75D6F46C6411}" srcOrd="3" destOrd="0" presId="urn:microsoft.com/office/officeart/2005/8/layout/orgChart1"/>
    <dgm:cxn modelId="{9362E03D-C383-4095-8DB7-D33459AB7CA7}" type="presParOf" srcId="{6B77EB43-C3F2-40BC-84F2-75D6F46C6411}" destId="{E4ED9B48-354C-434C-9DCE-589FC8F0D483}" srcOrd="0" destOrd="0" presId="urn:microsoft.com/office/officeart/2005/8/layout/orgChart1"/>
    <dgm:cxn modelId="{7009FF2E-E297-4138-9EA1-96471BBC2A32}" type="presParOf" srcId="{E4ED9B48-354C-434C-9DCE-589FC8F0D483}" destId="{D046F005-936C-4743-A8A2-682C1DF6FF5A}" srcOrd="0" destOrd="0" presId="urn:microsoft.com/office/officeart/2005/8/layout/orgChart1"/>
    <dgm:cxn modelId="{0ED76BF8-911E-4FF8-AFC2-AE4DA390E2B4}" type="presParOf" srcId="{E4ED9B48-354C-434C-9DCE-589FC8F0D483}" destId="{5ABE5F67-04BF-45E3-9B1B-99C3631B5DD2}" srcOrd="1" destOrd="0" presId="urn:microsoft.com/office/officeart/2005/8/layout/orgChart1"/>
    <dgm:cxn modelId="{CB0D500A-2489-4AB1-A7C2-BDEE5D763B66}" type="presParOf" srcId="{6B77EB43-C3F2-40BC-84F2-75D6F46C6411}" destId="{663915B0-8911-4453-9E11-700AC4CC5E21}" srcOrd="1" destOrd="0" presId="urn:microsoft.com/office/officeart/2005/8/layout/orgChart1"/>
    <dgm:cxn modelId="{D14F90A9-5B22-4B91-8093-52A2A0CE2C77}" type="presParOf" srcId="{6B77EB43-C3F2-40BC-84F2-75D6F46C6411}" destId="{134C30FD-13D2-4FBF-8E45-B93B17603AE6}" srcOrd="2" destOrd="0" presId="urn:microsoft.com/office/officeart/2005/8/layout/orgChart1"/>
    <dgm:cxn modelId="{509D5F41-136E-4441-9AB3-3FB60DA7147E}" type="presParOf" srcId="{C371D8F0-5BC5-4C84-9DB7-6D32E1052023}" destId="{FF696848-18E7-43FA-8A88-093368FC008F}" srcOrd="2" destOrd="0" presId="urn:microsoft.com/office/officeart/2005/8/layout/orgChart1"/>
    <dgm:cxn modelId="{8ED8A338-803D-4110-95BC-44ABECDD3A94}" type="presParOf" srcId="{C41F325A-F7DB-4EEA-9DB1-BD213BE7EF0C}" destId="{2B5F51C9-9E5E-436C-8144-42628F49F895}" srcOrd="2" destOrd="0" presId="urn:microsoft.com/office/officeart/2005/8/layout/orgChart1"/>
    <dgm:cxn modelId="{4749408C-76CC-436B-8962-BAA466B703E7}" type="presParOf" srcId="{1DB56761-78D3-45DD-B72F-E63D945DB887}" destId="{3E0BDC05-CC26-49B5-8DBA-21FED9EECD56}" srcOrd="2" destOrd="0" presId="urn:microsoft.com/office/officeart/2005/8/layout/orgChart1"/>
    <dgm:cxn modelId="{D5BB36F4-339B-44D8-9552-EF93A25A3D42}" type="presParOf" srcId="{1DB56761-78D3-45DD-B72F-E63D945DB887}" destId="{576522A7-C8CF-4488-AD8A-62B4659BA546}" srcOrd="3" destOrd="0" presId="urn:microsoft.com/office/officeart/2005/8/layout/orgChart1"/>
    <dgm:cxn modelId="{372FB49B-86B6-4256-B9FF-E4211AE277DE}" type="presParOf" srcId="{576522A7-C8CF-4488-AD8A-62B4659BA546}" destId="{92F9D2C3-93C8-4762-987F-97BFCA95A39E}" srcOrd="0" destOrd="0" presId="urn:microsoft.com/office/officeart/2005/8/layout/orgChart1"/>
    <dgm:cxn modelId="{EECFBC4E-C606-4066-A061-580B55A38FE1}" type="presParOf" srcId="{92F9D2C3-93C8-4762-987F-97BFCA95A39E}" destId="{44166800-2B33-4A61-AE02-0DB35C14ED54}" srcOrd="0" destOrd="0" presId="urn:microsoft.com/office/officeart/2005/8/layout/orgChart1"/>
    <dgm:cxn modelId="{EDD54E2C-0DC4-4367-B99A-2310C299727F}" type="presParOf" srcId="{92F9D2C3-93C8-4762-987F-97BFCA95A39E}" destId="{14363F04-D2CD-4FB9-9ABE-0CFB6850BBF0}" srcOrd="1" destOrd="0" presId="urn:microsoft.com/office/officeart/2005/8/layout/orgChart1"/>
    <dgm:cxn modelId="{B0A06FC9-38F7-46C8-B434-440CF0182D22}" type="presParOf" srcId="{576522A7-C8CF-4488-AD8A-62B4659BA546}" destId="{AAA6DBE4-D04C-4EEE-B707-9069F05CBEEF}" srcOrd="1" destOrd="0" presId="urn:microsoft.com/office/officeart/2005/8/layout/orgChart1"/>
    <dgm:cxn modelId="{AADD623C-5AEC-4C8E-A13C-5F15F8CEFD89}" type="presParOf" srcId="{AAA6DBE4-D04C-4EEE-B707-9069F05CBEEF}" destId="{E44DB6E0-D612-40E9-A984-66B591ECF765}" srcOrd="0" destOrd="0" presId="urn:microsoft.com/office/officeart/2005/8/layout/orgChart1"/>
    <dgm:cxn modelId="{C51D3DCC-6FB8-4323-894A-9C264131C8AF}" type="presParOf" srcId="{AAA6DBE4-D04C-4EEE-B707-9069F05CBEEF}" destId="{8722AC9D-E552-4497-8B90-09339ABC72A7}" srcOrd="1" destOrd="0" presId="urn:microsoft.com/office/officeart/2005/8/layout/orgChart1"/>
    <dgm:cxn modelId="{11946F8F-EABB-4D67-BF99-047D55D465F0}" type="presParOf" srcId="{8722AC9D-E552-4497-8B90-09339ABC72A7}" destId="{AB8C4703-7A77-4BA9-A1D6-31AE40435089}" srcOrd="0" destOrd="0" presId="urn:microsoft.com/office/officeart/2005/8/layout/orgChart1"/>
    <dgm:cxn modelId="{293A6633-16DF-453E-B239-FB3BCD4C3367}" type="presParOf" srcId="{AB8C4703-7A77-4BA9-A1D6-31AE40435089}" destId="{E3C37A5B-2385-4A41-AAB4-C7A34F4A5EB9}" srcOrd="0" destOrd="0" presId="urn:microsoft.com/office/officeart/2005/8/layout/orgChart1"/>
    <dgm:cxn modelId="{2F8BA9C0-A077-481D-A88B-9723EFC9A001}" type="presParOf" srcId="{AB8C4703-7A77-4BA9-A1D6-31AE40435089}" destId="{60C3DD1A-CC74-4B09-898B-1E17A4450B32}" srcOrd="1" destOrd="0" presId="urn:microsoft.com/office/officeart/2005/8/layout/orgChart1"/>
    <dgm:cxn modelId="{0C0B248C-4E51-4971-A317-97712C23D6F7}" type="presParOf" srcId="{8722AC9D-E552-4497-8B90-09339ABC72A7}" destId="{1AC8F652-B616-4437-8E7D-199166B65D0D}" srcOrd="1" destOrd="0" presId="urn:microsoft.com/office/officeart/2005/8/layout/orgChart1"/>
    <dgm:cxn modelId="{8AC13B0D-5A38-4B5A-B6B9-976267C09B77}" type="presParOf" srcId="{8722AC9D-E552-4497-8B90-09339ABC72A7}" destId="{341ECE2E-3B62-40D6-B770-8351C663425B}" srcOrd="2" destOrd="0" presId="urn:microsoft.com/office/officeart/2005/8/layout/orgChart1"/>
    <dgm:cxn modelId="{33097B71-234E-45DC-9B29-7C446C15EA20}" type="presParOf" srcId="{576522A7-C8CF-4488-AD8A-62B4659BA546}" destId="{4D4BE00F-A09B-44A0-BCC1-6610C9858E9E}" srcOrd="2" destOrd="0" presId="urn:microsoft.com/office/officeart/2005/8/layout/orgChart1"/>
    <dgm:cxn modelId="{1B382124-04B3-4069-91D8-1EEBD562A722}" type="presParOf" srcId="{5F124E28-FC32-47DC-99C3-765831992988}" destId="{20BC8D4E-577E-42F2-B478-E9C9D2A8EBCB}" srcOrd="2" destOrd="0" presId="urn:microsoft.com/office/officeart/2005/8/layout/orgChart1"/>
  </dgm:cxnLst>
  <dgm:bg/>
  <dgm:whole>
    <a:ln w="9525">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DB6E0-D612-40E9-A984-66B591ECF765}">
      <dsp:nvSpPr>
        <dsp:cNvPr id="0" name=""/>
        <dsp:cNvSpPr/>
      </dsp:nvSpPr>
      <dsp:spPr>
        <a:xfrm>
          <a:off x="4191436" y="2260726"/>
          <a:ext cx="91440" cy="24104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E0BDC05-CC26-49B5-8DBA-21FED9EECD56}">
      <dsp:nvSpPr>
        <dsp:cNvPr id="0" name=""/>
        <dsp:cNvSpPr/>
      </dsp:nvSpPr>
      <dsp:spPr>
        <a:xfrm>
          <a:off x="3400871" y="1445757"/>
          <a:ext cx="120523" cy="528008"/>
        </a:xfrm>
        <a:custGeom>
          <a:avLst/>
          <a:gdLst/>
          <a:ahLst/>
          <a:cxnLst/>
          <a:rect l="0" t="0" r="0" b="0"/>
          <a:pathLst>
            <a:path>
              <a:moveTo>
                <a:pt x="0" y="0"/>
              </a:moveTo>
              <a:lnTo>
                <a:pt x="0" y="540582"/>
              </a:lnTo>
              <a:lnTo>
                <a:pt x="123393" y="54058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3ADB411-5FCF-4952-83EB-39B51BC53346}">
      <dsp:nvSpPr>
        <dsp:cNvPr id="0" name=""/>
        <dsp:cNvSpPr/>
      </dsp:nvSpPr>
      <dsp:spPr>
        <a:xfrm>
          <a:off x="1587680" y="3890664"/>
          <a:ext cx="120523" cy="584874"/>
        </a:xfrm>
        <a:custGeom>
          <a:avLst/>
          <a:gdLst/>
          <a:ahLst/>
          <a:cxnLst/>
          <a:rect l="0" t="0" r="0" b="0"/>
          <a:pathLst>
            <a:path>
              <a:moveTo>
                <a:pt x="0" y="0"/>
              </a:moveTo>
              <a:lnTo>
                <a:pt x="0" y="542092"/>
              </a:lnTo>
              <a:lnTo>
                <a:pt x="123393" y="54209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FE0C735-BFB7-47BB-92A1-7071E8C03D99}">
      <dsp:nvSpPr>
        <dsp:cNvPr id="0" name=""/>
        <dsp:cNvSpPr/>
      </dsp:nvSpPr>
      <dsp:spPr>
        <a:xfrm>
          <a:off x="1466892" y="3890664"/>
          <a:ext cx="120787" cy="584874"/>
        </a:xfrm>
        <a:custGeom>
          <a:avLst/>
          <a:gdLst/>
          <a:ahLst/>
          <a:cxnLst/>
          <a:rect l="0" t="0" r="0" b="0"/>
          <a:pathLst>
            <a:path>
              <a:moveTo>
                <a:pt x="123664" y="0"/>
              </a:moveTo>
              <a:lnTo>
                <a:pt x="123664" y="542092"/>
              </a:lnTo>
              <a:lnTo>
                <a:pt x="0" y="54209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D69F302-3493-49A0-9CC0-569DB18647D6}">
      <dsp:nvSpPr>
        <dsp:cNvPr id="0" name=""/>
        <dsp:cNvSpPr/>
      </dsp:nvSpPr>
      <dsp:spPr>
        <a:xfrm>
          <a:off x="1541960" y="3075695"/>
          <a:ext cx="91440" cy="24104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2FF3E11-D224-4AF5-AE68-1D69D57BB0E1}">
      <dsp:nvSpPr>
        <dsp:cNvPr id="0" name=""/>
        <dsp:cNvSpPr/>
      </dsp:nvSpPr>
      <dsp:spPr>
        <a:xfrm>
          <a:off x="1541960" y="2260726"/>
          <a:ext cx="91440" cy="241047"/>
        </a:xfrm>
        <a:custGeom>
          <a:avLst/>
          <a:gdLst/>
          <a:ahLst/>
          <a:cxnLst/>
          <a:rect l="0" t="0" r="0" b="0"/>
          <a:pathLst>
            <a:path>
              <a:moveTo>
                <a:pt x="45720" y="0"/>
              </a:moveTo>
              <a:lnTo>
                <a:pt x="45720" y="246787"/>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C1E4199-86BA-48E1-81AF-19B6A8F2173D}">
      <dsp:nvSpPr>
        <dsp:cNvPr id="0" name=""/>
        <dsp:cNvSpPr/>
      </dsp:nvSpPr>
      <dsp:spPr>
        <a:xfrm>
          <a:off x="2161602" y="1445757"/>
          <a:ext cx="1239269" cy="528008"/>
        </a:xfrm>
        <a:custGeom>
          <a:avLst/>
          <a:gdLst/>
          <a:ahLst/>
          <a:cxnLst/>
          <a:rect l="0" t="0" r="0" b="0"/>
          <a:pathLst>
            <a:path>
              <a:moveTo>
                <a:pt x="834377" y="0"/>
              </a:moveTo>
              <a:lnTo>
                <a:pt x="834377" y="540582"/>
              </a:lnTo>
              <a:lnTo>
                <a:pt x="0" y="540582"/>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60038E8-95DF-46B8-BB18-91072956F7E4}">
      <dsp:nvSpPr>
        <dsp:cNvPr id="0" name=""/>
        <dsp:cNvSpPr/>
      </dsp:nvSpPr>
      <dsp:spPr>
        <a:xfrm>
          <a:off x="3355151" y="630788"/>
          <a:ext cx="91440" cy="241047"/>
        </a:xfrm>
        <a:custGeom>
          <a:avLst/>
          <a:gdLst/>
          <a:ahLst/>
          <a:cxnLst/>
          <a:rect l="0" t="0" r="0" b="0"/>
          <a:pathLst>
            <a:path>
              <a:moveTo>
                <a:pt x="45720" y="0"/>
              </a:moveTo>
              <a:lnTo>
                <a:pt x="45720" y="24678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95ED72-A0CD-4AA6-AECA-F0F18CBCBA53}">
      <dsp:nvSpPr>
        <dsp:cNvPr id="0" name=""/>
        <dsp:cNvSpPr/>
      </dsp:nvSpPr>
      <dsp:spPr>
        <a:xfrm>
          <a:off x="2661138" y="56866"/>
          <a:ext cx="1479467"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PrEP client presents to clinic for HIV testing</a:t>
          </a:r>
        </a:p>
      </dsp:txBody>
      <dsp:txXfrm>
        <a:off x="2661138" y="56866"/>
        <a:ext cx="1479467" cy="573921"/>
      </dsp:txXfrm>
    </dsp:sp>
    <dsp:sp modelId="{97A18054-D52A-43FE-B188-E70D47AE538D}">
      <dsp:nvSpPr>
        <dsp:cNvPr id="0" name=""/>
        <dsp:cNvSpPr/>
      </dsp:nvSpPr>
      <dsp:spPr>
        <a:xfrm>
          <a:off x="2669930" y="871835"/>
          <a:ext cx="1461882"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Assess HIV status</a:t>
          </a:r>
        </a:p>
      </dsp:txBody>
      <dsp:txXfrm>
        <a:off x="2669930" y="871835"/>
        <a:ext cx="1461882" cy="573921"/>
      </dsp:txXfrm>
    </dsp:sp>
    <dsp:sp modelId="{8FB9442E-D6C2-4725-AC56-991D0954EB6E}">
      <dsp:nvSpPr>
        <dsp:cNvPr id="0" name=""/>
        <dsp:cNvSpPr/>
      </dsp:nvSpPr>
      <dsp:spPr>
        <a:xfrm>
          <a:off x="1013758" y="1686804"/>
          <a:ext cx="1147843"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Document HIV-positive status</a:t>
          </a:r>
        </a:p>
      </dsp:txBody>
      <dsp:txXfrm>
        <a:off x="1013758" y="1686804"/>
        <a:ext cx="1147843" cy="573921"/>
      </dsp:txXfrm>
    </dsp:sp>
    <dsp:sp modelId="{EC8752EF-22E6-410A-B499-B728C67ABB12}">
      <dsp:nvSpPr>
        <dsp:cNvPr id="0" name=""/>
        <dsp:cNvSpPr/>
      </dsp:nvSpPr>
      <dsp:spPr>
        <a:xfrm>
          <a:off x="1013758" y="2501773"/>
          <a:ext cx="1147843"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Provide routine services</a:t>
          </a:r>
        </a:p>
      </dsp:txBody>
      <dsp:txXfrm>
        <a:off x="1013758" y="2501773"/>
        <a:ext cx="1147843" cy="573921"/>
      </dsp:txXfrm>
    </dsp:sp>
    <dsp:sp modelId="{4A43DA82-C224-4715-90B2-D8E680C05D3D}">
      <dsp:nvSpPr>
        <dsp:cNvPr id="0" name=""/>
        <dsp:cNvSpPr/>
      </dsp:nvSpPr>
      <dsp:spPr>
        <a:xfrm>
          <a:off x="1013758" y="3316742"/>
          <a:ext cx="1147843"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Review consent for sample collection</a:t>
          </a:r>
        </a:p>
      </dsp:txBody>
      <dsp:txXfrm>
        <a:off x="1013758" y="3316742"/>
        <a:ext cx="1147843" cy="573921"/>
      </dsp:txXfrm>
    </dsp:sp>
    <dsp:sp modelId="{938D83CF-15A8-4199-A683-4283829A8CC5}">
      <dsp:nvSpPr>
        <dsp:cNvPr id="0" name=""/>
        <dsp:cNvSpPr/>
      </dsp:nvSpPr>
      <dsp:spPr>
        <a:xfrm>
          <a:off x="2358" y="4188578"/>
          <a:ext cx="1464534"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Collect blood </a:t>
          </a:r>
          <a:r>
            <a:rPr lang="en-US" sz="1000" u="none" kern="1200">
              <a:solidFill>
                <a:schemeClr val="tx2">
                  <a:lumMod val="75000"/>
                </a:schemeClr>
              </a:solidFill>
              <a:latin typeface="Calibri"/>
              <a:ea typeface="+mn-ea"/>
              <a:cs typeface="+mn-cs"/>
            </a:rPr>
            <a:t>and/or ring samples </a:t>
          </a:r>
          <a:r>
            <a:rPr lang="en-US" sz="1000" kern="1200">
              <a:solidFill>
                <a:schemeClr val="tx2">
                  <a:lumMod val="75000"/>
                </a:schemeClr>
              </a:solidFill>
              <a:latin typeface="Calibri"/>
              <a:ea typeface="+mn-ea"/>
              <a:cs typeface="+mn-cs"/>
            </a:rPr>
            <a:t>and send to laboratory for testing</a:t>
          </a:r>
        </a:p>
      </dsp:txBody>
      <dsp:txXfrm>
        <a:off x="2358" y="4188578"/>
        <a:ext cx="1464534" cy="573921"/>
      </dsp:txXfrm>
    </dsp:sp>
    <dsp:sp modelId="{D046F005-936C-4743-A8A2-682C1DF6FF5A}">
      <dsp:nvSpPr>
        <dsp:cNvPr id="0" name=""/>
        <dsp:cNvSpPr/>
      </dsp:nvSpPr>
      <dsp:spPr>
        <a:xfrm>
          <a:off x="1708203" y="4188578"/>
          <a:ext cx="1572144"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Thank client; ensure linkage to care to ART provider</a:t>
          </a:r>
        </a:p>
      </dsp:txBody>
      <dsp:txXfrm>
        <a:off x="1708203" y="4188578"/>
        <a:ext cx="1572144" cy="573921"/>
      </dsp:txXfrm>
    </dsp:sp>
    <dsp:sp modelId="{44166800-2B33-4A61-AE02-0DB35C14ED54}">
      <dsp:nvSpPr>
        <dsp:cNvPr id="0" name=""/>
        <dsp:cNvSpPr/>
      </dsp:nvSpPr>
      <dsp:spPr>
        <a:xfrm>
          <a:off x="3521395" y="1686804"/>
          <a:ext cx="1431522"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Document HIV-negative status</a:t>
          </a:r>
        </a:p>
      </dsp:txBody>
      <dsp:txXfrm>
        <a:off x="3521395" y="1686804"/>
        <a:ext cx="1431522" cy="573921"/>
      </dsp:txXfrm>
    </dsp:sp>
    <dsp:sp modelId="{E3C37A5B-2385-4A41-AAB4-C7A34F4A5EB9}">
      <dsp:nvSpPr>
        <dsp:cNvPr id="0" name=""/>
        <dsp:cNvSpPr/>
      </dsp:nvSpPr>
      <dsp:spPr>
        <a:xfrm>
          <a:off x="3521395" y="2501773"/>
          <a:ext cx="1431522" cy="57392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lumMod val="75000"/>
                </a:schemeClr>
              </a:solidFill>
              <a:latin typeface="Calibri"/>
              <a:ea typeface="+mn-ea"/>
              <a:cs typeface="+mn-cs"/>
            </a:rPr>
            <a:t>Continue with PrEP regimen, as needed</a:t>
          </a:r>
        </a:p>
      </dsp:txBody>
      <dsp:txXfrm>
        <a:off x="3521395" y="2501773"/>
        <a:ext cx="1431522" cy="5739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SAIC Theme 2">
  <a:themeElements>
    <a:clrScheme name="MOSAIC">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16B0B6"/>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 Theme 2" id="{D8447026-B611-1040-A708-85BDE0F13E25}" vid="{FDDAADCD-A2E2-864C-BBF7-63340091822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9" ma:contentTypeDescription="Create a new document." ma:contentTypeScope="" ma:versionID="3cff87fddb90f81932586291e1d251ff">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9d8bd0b17af9155d43b6427327c1e26e"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FDE23-8727-4D9D-B4B5-918939E38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8B569-5280-41FB-824C-63EAA44BEDD0}">
  <ds:schemaRefs>
    <ds:schemaRef ds:uri="1865d82a-bf83-4eaa-817a-e97c662b7d46"/>
    <ds:schemaRef ds:uri="http://schemas.microsoft.com/office/infopath/2007/PartnerControl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d35616bd-f3ab-4ee4-8f55-73cb5167d911"/>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FFACC6B-23B1-4D00-A712-52EF1C28121B}">
  <ds:schemaRefs>
    <ds:schemaRef ds:uri="http://schemas.microsoft.com/sharepoint/v3/contenttype/forms"/>
  </ds:schemaRefs>
</ds:datastoreItem>
</file>

<file path=customXml/itemProps4.xml><?xml version="1.0" encoding="utf-8"?>
<ds:datastoreItem xmlns:ds="http://schemas.openxmlformats.org/officeDocument/2006/customXml" ds:itemID="{8C52E2BA-AE90-4ACB-B6E4-C3E0212F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5381</Words>
  <Characters>30672</Characters>
  <Application>Microsoft Office Word</Application>
  <DocSecurity>0</DocSecurity>
  <Lines>255</Lines>
  <Paragraphs>71</Paragraphs>
  <ScaleCrop>false</ScaleCrop>
  <Company>FHI</Company>
  <LinksUpToDate>false</LinksUpToDate>
  <CharactersWithSpaces>35982</CharactersWithSpaces>
  <SharedDoc>false</SharedDoc>
  <HLinks>
    <vt:vector size="180" baseType="variant">
      <vt:variant>
        <vt:i4>1900597</vt:i4>
      </vt:variant>
      <vt:variant>
        <vt:i4>176</vt:i4>
      </vt:variant>
      <vt:variant>
        <vt:i4>0</vt:i4>
      </vt:variant>
      <vt:variant>
        <vt:i4>5</vt:i4>
      </vt:variant>
      <vt:variant>
        <vt:lpwstr/>
      </vt:variant>
      <vt:variant>
        <vt:lpwstr>_Toc130465280</vt:lpwstr>
      </vt:variant>
      <vt:variant>
        <vt:i4>1179701</vt:i4>
      </vt:variant>
      <vt:variant>
        <vt:i4>170</vt:i4>
      </vt:variant>
      <vt:variant>
        <vt:i4>0</vt:i4>
      </vt:variant>
      <vt:variant>
        <vt:i4>5</vt:i4>
      </vt:variant>
      <vt:variant>
        <vt:lpwstr/>
      </vt:variant>
      <vt:variant>
        <vt:lpwstr>_Toc130465279</vt:lpwstr>
      </vt:variant>
      <vt:variant>
        <vt:i4>1179701</vt:i4>
      </vt:variant>
      <vt:variant>
        <vt:i4>164</vt:i4>
      </vt:variant>
      <vt:variant>
        <vt:i4>0</vt:i4>
      </vt:variant>
      <vt:variant>
        <vt:i4>5</vt:i4>
      </vt:variant>
      <vt:variant>
        <vt:lpwstr/>
      </vt:variant>
      <vt:variant>
        <vt:lpwstr>_Toc130465278</vt:lpwstr>
      </vt:variant>
      <vt:variant>
        <vt:i4>1179701</vt:i4>
      </vt:variant>
      <vt:variant>
        <vt:i4>158</vt:i4>
      </vt:variant>
      <vt:variant>
        <vt:i4>0</vt:i4>
      </vt:variant>
      <vt:variant>
        <vt:i4>5</vt:i4>
      </vt:variant>
      <vt:variant>
        <vt:lpwstr/>
      </vt:variant>
      <vt:variant>
        <vt:lpwstr>_Toc130465277</vt:lpwstr>
      </vt:variant>
      <vt:variant>
        <vt:i4>1179701</vt:i4>
      </vt:variant>
      <vt:variant>
        <vt:i4>152</vt:i4>
      </vt:variant>
      <vt:variant>
        <vt:i4>0</vt:i4>
      </vt:variant>
      <vt:variant>
        <vt:i4>5</vt:i4>
      </vt:variant>
      <vt:variant>
        <vt:lpwstr/>
      </vt:variant>
      <vt:variant>
        <vt:lpwstr>_Toc130465276</vt:lpwstr>
      </vt:variant>
      <vt:variant>
        <vt:i4>1179701</vt:i4>
      </vt:variant>
      <vt:variant>
        <vt:i4>146</vt:i4>
      </vt:variant>
      <vt:variant>
        <vt:i4>0</vt:i4>
      </vt:variant>
      <vt:variant>
        <vt:i4>5</vt:i4>
      </vt:variant>
      <vt:variant>
        <vt:lpwstr/>
      </vt:variant>
      <vt:variant>
        <vt:lpwstr>_Toc130465275</vt:lpwstr>
      </vt:variant>
      <vt:variant>
        <vt:i4>1179701</vt:i4>
      </vt:variant>
      <vt:variant>
        <vt:i4>140</vt:i4>
      </vt:variant>
      <vt:variant>
        <vt:i4>0</vt:i4>
      </vt:variant>
      <vt:variant>
        <vt:i4>5</vt:i4>
      </vt:variant>
      <vt:variant>
        <vt:lpwstr/>
      </vt:variant>
      <vt:variant>
        <vt:lpwstr>_Toc130465274</vt:lpwstr>
      </vt:variant>
      <vt:variant>
        <vt:i4>1179701</vt:i4>
      </vt:variant>
      <vt:variant>
        <vt:i4>134</vt:i4>
      </vt:variant>
      <vt:variant>
        <vt:i4>0</vt:i4>
      </vt:variant>
      <vt:variant>
        <vt:i4>5</vt:i4>
      </vt:variant>
      <vt:variant>
        <vt:lpwstr/>
      </vt:variant>
      <vt:variant>
        <vt:lpwstr>_Toc130465273</vt:lpwstr>
      </vt:variant>
      <vt:variant>
        <vt:i4>1179701</vt:i4>
      </vt:variant>
      <vt:variant>
        <vt:i4>128</vt:i4>
      </vt:variant>
      <vt:variant>
        <vt:i4>0</vt:i4>
      </vt:variant>
      <vt:variant>
        <vt:i4>5</vt:i4>
      </vt:variant>
      <vt:variant>
        <vt:lpwstr/>
      </vt:variant>
      <vt:variant>
        <vt:lpwstr>_Toc130465272</vt:lpwstr>
      </vt:variant>
      <vt:variant>
        <vt:i4>1179701</vt:i4>
      </vt:variant>
      <vt:variant>
        <vt:i4>122</vt:i4>
      </vt:variant>
      <vt:variant>
        <vt:i4>0</vt:i4>
      </vt:variant>
      <vt:variant>
        <vt:i4>5</vt:i4>
      </vt:variant>
      <vt:variant>
        <vt:lpwstr/>
      </vt:variant>
      <vt:variant>
        <vt:lpwstr>_Toc130465271</vt:lpwstr>
      </vt:variant>
      <vt:variant>
        <vt:i4>1179701</vt:i4>
      </vt:variant>
      <vt:variant>
        <vt:i4>116</vt:i4>
      </vt:variant>
      <vt:variant>
        <vt:i4>0</vt:i4>
      </vt:variant>
      <vt:variant>
        <vt:i4>5</vt:i4>
      </vt:variant>
      <vt:variant>
        <vt:lpwstr/>
      </vt:variant>
      <vt:variant>
        <vt:lpwstr>_Toc130465270</vt:lpwstr>
      </vt:variant>
      <vt:variant>
        <vt:i4>1245237</vt:i4>
      </vt:variant>
      <vt:variant>
        <vt:i4>110</vt:i4>
      </vt:variant>
      <vt:variant>
        <vt:i4>0</vt:i4>
      </vt:variant>
      <vt:variant>
        <vt:i4>5</vt:i4>
      </vt:variant>
      <vt:variant>
        <vt:lpwstr/>
      </vt:variant>
      <vt:variant>
        <vt:lpwstr>_Toc130465269</vt:lpwstr>
      </vt:variant>
      <vt:variant>
        <vt:i4>1245237</vt:i4>
      </vt:variant>
      <vt:variant>
        <vt:i4>104</vt:i4>
      </vt:variant>
      <vt:variant>
        <vt:i4>0</vt:i4>
      </vt:variant>
      <vt:variant>
        <vt:i4>5</vt:i4>
      </vt:variant>
      <vt:variant>
        <vt:lpwstr/>
      </vt:variant>
      <vt:variant>
        <vt:lpwstr>_Toc130465268</vt:lpwstr>
      </vt:variant>
      <vt:variant>
        <vt:i4>1245237</vt:i4>
      </vt:variant>
      <vt:variant>
        <vt:i4>98</vt:i4>
      </vt:variant>
      <vt:variant>
        <vt:i4>0</vt:i4>
      </vt:variant>
      <vt:variant>
        <vt:i4>5</vt:i4>
      </vt:variant>
      <vt:variant>
        <vt:lpwstr/>
      </vt:variant>
      <vt:variant>
        <vt:lpwstr>_Toc130465267</vt:lpwstr>
      </vt:variant>
      <vt:variant>
        <vt:i4>1245237</vt:i4>
      </vt:variant>
      <vt:variant>
        <vt:i4>92</vt:i4>
      </vt:variant>
      <vt:variant>
        <vt:i4>0</vt:i4>
      </vt:variant>
      <vt:variant>
        <vt:i4>5</vt:i4>
      </vt:variant>
      <vt:variant>
        <vt:lpwstr/>
      </vt:variant>
      <vt:variant>
        <vt:lpwstr>_Toc130465266</vt:lpwstr>
      </vt:variant>
      <vt:variant>
        <vt:i4>1245237</vt:i4>
      </vt:variant>
      <vt:variant>
        <vt:i4>86</vt:i4>
      </vt:variant>
      <vt:variant>
        <vt:i4>0</vt:i4>
      </vt:variant>
      <vt:variant>
        <vt:i4>5</vt:i4>
      </vt:variant>
      <vt:variant>
        <vt:lpwstr/>
      </vt:variant>
      <vt:variant>
        <vt:lpwstr>_Toc130465265</vt:lpwstr>
      </vt:variant>
      <vt:variant>
        <vt:i4>1245237</vt:i4>
      </vt:variant>
      <vt:variant>
        <vt:i4>80</vt:i4>
      </vt:variant>
      <vt:variant>
        <vt:i4>0</vt:i4>
      </vt:variant>
      <vt:variant>
        <vt:i4>5</vt:i4>
      </vt:variant>
      <vt:variant>
        <vt:lpwstr/>
      </vt:variant>
      <vt:variant>
        <vt:lpwstr>_Toc130465264</vt:lpwstr>
      </vt:variant>
      <vt:variant>
        <vt:i4>1245237</vt:i4>
      </vt:variant>
      <vt:variant>
        <vt:i4>74</vt:i4>
      </vt:variant>
      <vt:variant>
        <vt:i4>0</vt:i4>
      </vt:variant>
      <vt:variant>
        <vt:i4>5</vt:i4>
      </vt:variant>
      <vt:variant>
        <vt:lpwstr/>
      </vt:variant>
      <vt:variant>
        <vt:lpwstr>_Toc130465263</vt:lpwstr>
      </vt:variant>
      <vt:variant>
        <vt:i4>1245237</vt:i4>
      </vt:variant>
      <vt:variant>
        <vt:i4>68</vt:i4>
      </vt:variant>
      <vt:variant>
        <vt:i4>0</vt:i4>
      </vt:variant>
      <vt:variant>
        <vt:i4>5</vt:i4>
      </vt:variant>
      <vt:variant>
        <vt:lpwstr/>
      </vt:variant>
      <vt:variant>
        <vt:lpwstr>_Toc130465262</vt:lpwstr>
      </vt:variant>
      <vt:variant>
        <vt:i4>1245237</vt:i4>
      </vt:variant>
      <vt:variant>
        <vt:i4>62</vt:i4>
      </vt:variant>
      <vt:variant>
        <vt:i4>0</vt:i4>
      </vt:variant>
      <vt:variant>
        <vt:i4>5</vt:i4>
      </vt:variant>
      <vt:variant>
        <vt:lpwstr/>
      </vt:variant>
      <vt:variant>
        <vt:lpwstr>_Toc130465261</vt:lpwstr>
      </vt:variant>
      <vt:variant>
        <vt:i4>1245237</vt:i4>
      </vt:variant>
      <vt:variant>
        <vt:i4>56</vt:i4>
      </vt:variant>
      <vt:variant>
        <vt:i4>0</vt:i4>
      </vt:variant>
      <vt:variant>
        <vt:i4>5</vt:i4>
      </vt:variant>
      <vt:variant>
        <vt:lpwstr/>
      </vt:variant>
      <vt:variant>
        <vt:lpwstr>_Toc130465260</vt:lpwstr>
      </vt:variant>
      <vt:variant>
        <vt:i4>1048629</vt:i4>
      </vt:variant>
      <vt:variant>
        <vt:i4>50</vt:i4>
      </vt:variant>
      <vt:variant>
        <vt:i4>0</vt:i4>
      </vt:variant>
      <vt:variant>
        <vt:i4>5</vt:i4>
      </vt:variant>
      <vt:variant>
        <vt:lpwstr/>
      </vt:variant>
      <vt:variant>
        <vt:lpwstr>_Toc130465259</vt:lpwstr>
      </vt:variant>
      <vt:variant>
        <vt:i4>1048629</vt:i4>
      </vt:variant>
      <vt:variant>
        <vt:i4>44</vt:i4>
      </vt:variant>
      <vt:variant>
        <vt:i4>0</vt:i4>
      </vt:variant>
      <vt:variant>
        <vt:i4>5</vt:i4>
      </vt:variant>
      <vt:variant>
        <vt:lpwstr/>
      </vt:variant>
      <vt:variant>
        <vt:lpwstr>_Toc130465258</vt:lpwstr>
      </vt:variant>
      <vt:variant>
        <vt:i4>1048629</vt:i4>
      </vt:variant>
      <vt:variant>
        <vt:i4>38</vt:i4>
      </vt:variant>
      <vt:variant>
        <vt:i4>0</vt:i4>
      </vt:variant>
      <vt:variant>
        <vt:i4>5</vt:i4>
      </vt:variant>
      <vt:variant>
        <vt:lpwstr/>
      </vt:variant>
      <vt:variant>
        <vt:lpwstr>_Toc130465257</vt:lpwstr>
      </vt:variant>
      <vt:variant>
        <vt:i4>1048629</vt:i4>
      </vt:variant>
      <vt:variant>
        <vt:i4>32</vt:i4>
      </vt:variant>
      <vt:variant>
        <vt:i4>0</vt:i4>
      </vt:variant>
      <vt:variant>
        <vt:i4>5</vt:i4>
      </vt:variant>
      <vt:variant>
        <vt:lpwstr/>
      </vt:variant>
      <vt:variant>
        <vt:lpwstr>_Toc130465256</vt:lpwstr>
      </vt:variant>
      <vt:variant>
        <vt:i4>1048629</vt:i4>
      </vt:variant>
      <vt:variant>
        <vt:i4>26</vt:i4>
      </vt:variant>
      <vt:variant>
        <vt:i4>0</vt:i4>
      </vt:variant>
      <vt:variant>
        <vt:i4>5</vt:i4>
      </vt:variant>
      <vt:variant>
        <vt:lpwstr/>
      </vt:variant>
      <vt:variant>
        <vt:lpwstr>_Toc130465255</vt:lpwstr>
      </vt:variant>
      <vt:variant>
        <vt:i4>1048629</vt:i4>
      </vt:variant>
      <vt:variant>
        <vt:i4>20</vt:i4>
      </vt:variant>
      <vt:variant>
        <vt:i4>0</vt:i4>
      </vt:variant>
      <vt:variant>
        <vt:i4>5</vt:i4>
      </vt:variant>
      <vt:variant>
        <vt:lpwstr/>
      </vt:variant>
      <vt:variant>
        <vt:lpwstr>_Toc130465254</vt:lpwstr>
      </vt:variant>
      <vt:variant>
        <vt:i4>1048629</vt:i4>
      </vt:variant>
      <vt:variant>
        <vt:i4>14</vt:i4>
      </vt:variant>
      <vt:variant>
        <vt:i4>0</vt:i4>
      </vt:variant>
      <vt:variant>
        <vt:i4>5</vt:i4>
      </vt:variant>
      <vt:variant>
        <vt:lpwstr/>
      </vt:variant>
      <vt:variant>
        <vt:lpwstr>_Toc130465253</vt:lpwstr>
      </vt:variant>
      <vt:variant>
        <vt:i4>1048629</vt:i4>
      </vt:variant>
      <vt:variant>
        <vt:i4>8</vt:i4>
      </vt:variant>
      <vt:variant>
        <vt:i4>0</vt:i4>
      </vt:variant>
      <vt:variant>
        <vt:i4>5</vt:i4>
      </vt:variant>
      <vt:variant>
        <vt:lpwstr/>
      </vt:variant>
      <vt:variant>
        <vt:lpwstr>_Toc130465252</vt:lpwstr>
      </vt:variant>
      <vt:variant>
        <vt:i4>1048629</vt:i4>
      </vt:variant>
      <vt:variant>
        <vt:i4>2</vt:i4>
      </vt:variant>
      <vt:variant>
        <vt:i4>0</vt:i4>
      </vt:variant>
      <vt:variant>
        <vt:i4>5</vt:i4>
      </vt:variant>
      <vt:variant>
        <vt:lpwstr/>
      </vt:variant>
      <vt:variant>
        <vt:lpwstr>_Toc130465251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Introduction</dc:subject>
  <dc:creator>Anne Coletti</dc:creator>
  <cp:keywords/>
  <cp:lastModifiedBy>Lisa Levy</cp:lastModifiedBy>
  <cp:revision>2</cp:revision>
  <cp:lastPrinted>2023-03-24T00:06:00Z</cp:lastPrinted>
  <dcterms:created xsi:type="dcterms:W3CDTF">2023-08-10T17:27:00Z</dcterms:created>
  <dcterms:modified xsi:type="dcterms:W3CDTF">2023-08-10T17:27:00Z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y fmtid="{D5CDD505-2E9C-101B-9397-08002B2CF9AE}" pid="4" name="GrammarlyDocumentId">
    <vt:lpwstr>3644985b630f84ea97b03ccdd0202bbb205ec24aa16fb0d2a312278bb9ea3290</vt:lpwstr>
  </property>
</Properties>
</file>